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80"/>
        <w:jc w:val="left"/>
      </w:pPr>
      <w:r>
        <w:rPr>
          <w:rFonts w:ascii="Microsoft YaHei" w:hAnsi="Microsoft YaHei" w:eastAsia="Microsoft YaHei"/>
          <w:b/>
          <w:color w:val="253247"/>
          <w:sz w:val="42"/>
        </w:rPr>
        <w:t>紫苏梅子酱产品素材制作信息</w:t>
      </w:r>
    </w:p>
    <w:p>
      <w:pPr>
        <w:spacing w:after="240"/>
      </w:pPr>
      <w:r>
        <w:rPr>
          <w:rFonts w:ascii="Microsoft YaHei" w:hAnsi="Microsoft YaHei" w:eastAsia="Microsoft YaHei"/>
          <w:b/>
          <w:color w:val="C4552D"/>
          <w:sz w:val="20"/>
        </w:rPr>
        <w:t>效果类项目素材资料</w:t>
      </w:r>
    </w:p>
    <w:p>
      <w:pPr>
        <w:spacing w:before="40" w:after="240" w:line="324" w:lineRule="auto"/>
        <w:ind w:left="198" w:right="198"/>
        <w:shd w:val="clear" w:color="auto" w:fill="FFF5EF"/>
      </w:pPr>
      <w:r>
        <w:rPr>
          <w:rFonts w:ascii="Microsoft YaHei" w:hAnsi="Microsoft YaHei" w:eastAsia="Microsoft YaHei"/>
          <w:b w:val="0"/>
          <w:color w:val="667085"/>
          <w:sz w:val="19"/>
        </w:rPr>
        <w:t>说明：本资料包只填写产品基础、卖点、用户与场景信息。时长、画幅、分辨率、投放渠道、禁用元素和视觉风格均在资料导入节点配置，本资料包不重复填写。</w:t>
      </w:r>
    </w:p>
    <w:p>
      <w:pPr>
        <w:pStyle w:val="Heading1"/>
        <w:pBdr>
          <w:bottom w:val="single" w:sz="8" w:space="4" w:color="E6C8BA"/>
        </w:pBdr>
      </w:pPr>
      <w:r>
        <w:t>产品基础层</w:t>
      </w:r>
    </w:p>
    <w:p>
      <w:pPr>
        <w:pStyle w:val="Heading2"/>
      </w:pPr>
      <w:r>
        <w:t>品类</w:t>
      </w:r>
    </w:p>
    <w:p>
      <w:pPr>
        <w:pStyle w:val="FieldValue"/>
      </w:pPr>
      <w:r>
        <w:t>复合调味酱</w:t>
      </w:r>
    </w:p>
    <w:p>
      <w:pPr>
        <w:pStyle w:val="Heading2"/>
      </w:pPr>
      <w:r>
        <w:t>产品名称</w:t>
      </w:r>
    </w:p>
    <w:p>
      <w:pPr>
        <w:pStyle w:val="FieldValue"/>
      </w:pPr>
      <w:r>
        <w:t>紫苏梅子酱</w:t>
      </w:r>
    </w:p>
    <w:p>
      <w:pPr>
        <w:pStyle w:val="Heading2"/>
      </w:pPr>
      <w:r>
        <w:t>核心规格</w:t>
      </w:r>
    </w:p>
    <w:p>
      <w:pPr>
        <w:pStyle w:val="FieldValue"/>
      </w:pPr>
      <w:r>
        <w:t>220g 玻璃瓶装</w:t>
      </w:r>
    </w:p>
    <w:p>
      <w:pPr>
        <w:pStyle w:val="Heading2"/>
      </w:pPr>
      <w:r>
        <w:t>价格带</w:t>
      </w:r>
    </w:p>
    <w:p>
      <w:pPr>
        <w:pStyle w:val="FieldValue"/>
      </w:pPr>
      <w:r>
        <w:t>32 元/瓶</w:t>
      </w:r>
    </w:p>
    <w:p>
      <w:pPr>
        <w:pStyle w:val="Heading2"/>
      </w:pPr>
      <w:r>
        <w:t>核心外观特征</w:t>
      </w:r>
    </w:p>
    <w:p>
      <w:pPr>
        <w:pStyle w:val="FieldValue"/>
      </w:pPr>
      <w:r>
        <w:t>酱体呈深红紫色，质地浓稠，可见梅子果肉与细小紫苏碎，玻璃瓶装形态清晰。</w:t>
      </w:r>
    </w:p>
    <w:p>
      <w:pPr>
        <w:pStyle w:val="Heading1"/>
        <w:pBdr>
          <w:bottom w:val="single" w:sz="8" w:space="4" w:color="E6C8BA"/>
        </w:pBdr>
      </w:pPr>
      <w:r>
        <w:t>卖点分层</w:t>
      </w:r>
    </w:p>
    <w:p>
      <w:pPr>
        <w:pStyle w:val="Heading2"/>
      </w:pPr>
      <w:r>
        <w:t>核心卖点</w:t>
      </w:r>
    </w:p>
    <w:p>
      <w:pPr>
        <w:pStyle w:val="ListBullet"/>
      </w:pPr>
      <w:r>
        <w:t>梅子果肉与紫苏风味融合</w:t>
      </w:r>
    </w:p>
    <w:p>
      <w:pPr>
        <w:pStyle w:val="ListBullet"/>
      </w:pPr>
      <w:r>
        <w:t>酸甜咸鲜复合口感</w:t>
      </w:r>
    </w:p>
    <w:p>
      <w:pPr>
        <w:pStyle w:val="ListBullet"/>
      </w:pPr>
      <w:r>
        <w:t>浓稠质地便于蘸、拌、刷</w:t>
      </w:r>
    </w:p>
    <w:p>
      <w:pPr>
        <w:pStyle w:val="Heading2"/>
      </w:pPr>
      <w:r>
        <w:t>次要卖点</w:t>
      </w:r>
    </w:p>
    <w:p>
      <w:pPr>
        <w:pStyle w:val="ListBullet"/>
      </w:pPr>
      <w:r>
        <w:t>酱体可见梅子果肉</w:t>
      </w:r>
    </w:p>
    <w:p>
      <w:pPr>
        <w:pStyle w:val="ListBullet"/>
      </w:pPr>
      <w:r>
        <w:t>深红紫色泽自然浓郁</w:t>
      </w:r>
    </w:p>
    <w:p>
      <w:pPr>
        <w:pStyle w:val="ListBullet"/>
      </w:pPr>
      <w:r>
        <w:t>适合烤肉、沙拉与冷菜搭配</w:t>
      </w:r>
    </w:p>
    <w:p>
      <w:pPr>
        <w:pStyle w:val="ListBullet"/>
      </w:pPr>
      <w:r>
        <w:t>玻璃瓶装便于观察与取用</w:t>
      </w:r>
    </w:p>
    <w:p>
      <w:pPr>
        <w:pStyle w:val="Heading2"/>
      </w:pPr>
      <w:r>
        <w:t>辅助信任背书</w:t>
      </w:r>
    </w:p>
    <w:p>
      <w:pPr>
        <w:pStyle w:val="FieldValue"/>
      </w:pPr>
      <w:r>
        <w:t>暂无。</w:t>
      </w:r>
    </w:p>
    <w:p>
      <w:pPr>
        <w:pStyle w:val="Heading1"/>
        <w:pBdr>
          <w:bottom w:val="single" w:sz="8" w:space="4" w:color="E6C8BA"/>
        </w:pBdr>
      </w:pPr>
      <w:r>
        <w:t>用户层</w:t>
      </w:r>
    </w:p>
    <w:p>
      <w:pPr>
        <w:pStyle w:val="Heading2"/>
      </w:pPr>
      <w:r>
        <w:t>目标受众画像</w:t>
      </w:r>
    </w:p>
    <w:p>
      <w:pPr>
        <w:pStyle w:val="ListBullet"/>
      </w:pPr>
      <w:r>
        <w:t>家庭调味品采购者</w:t>
      </w:r>
    </w:p>
    <w:p>
      <w:pPr>
        <w:pStyle w:val="ListBullet"/>
      </w:pPr>
      <w:r>
        <w:t>酸甜口味爱好者</w:t>
      </w:r>
    </w:p>
    <w:p>
      <w:pPr>
        <w:pStyle w:val="ListBullet"/>
      </w:pPr>
      <w:r>
        <w:t>轻食与烤肉烹饪人群</w:t>
      </w:r>
    </w:p>
    <w:p>
      <w:pPr>
        <w:pStyle w:val="ListBullet"/>
      </w:pPr>
      <w:r>
        <w:t>喜欢创意蘸酱的年轻消费者</w:t>
      </w:r>
    </w:p>
    <w:p>
      <w:pPr>
        <w:pStyle w:val="Heading2"/>
      </w:pPr>
      <w:r>
        <w:t>核心痛点</w:t>
      </w:r>
    </w:p>
    <w:p>
      <w:pPr>
        <w:pStyle w:val="ListBullet"/>
      </w:pPr>
      <w:r>
        <w:t>日常菜肴味型单一，需要快速增加酸甜层次</w:t>
      </w:r>
    </w:p>
    <w:p>
      <w:pPr>
        <w:pStyle w:val="ListBullet"/>
      </w:pPr>
      <w:r>
        <w:t>自制蘸料步骤多，希望开瓶即可使用</w:t>
      </w:r>
    </w:p>
    <w:p>
      <w:pPr>
        <w:pStyle w:val="ListBullet"/>
      </w:pPr>
      <w:r>
        <w:t>担心果酱过甜或调味酱缺少果肉感</w:t>
      </w:r>
    </w:p>
    <w:p>
      <w:pPr>
        <w:pStyle w:val="Heading2"/>
      </w:pPr>
      <w:r>
        <w:t>决策动因</w:t>
      </w:r>
    </w:p>
    <w:p>
      <w:pPr>
        <w:pStyle w:val="ListBullet"/>
      </w:pPr>
      <w:r>
        <w:t>关注梅子酸甜与紫苏草本香是否平衡</w:t>
      </w:r>
    </w:p>
    <w:p>
      <w:pPr>
        <w:pStyle w:val="ListBullet"/>
      </w:pPr>
      <w:r>
        <w:t>看重可见果肉和浓稠质地</w:t>
      </w:r>
    </w:p>
    <w:p>
      <w:pPr>
        <w:pStyle w:val="ListBullet"/>
      </w:pPr>
      <w:r>
        <w:t>需要蘸食、拌菜和刷烤多用途</w:t>
      </w:r>
    </w:p>
    <w:p>
      <w:pPr>
        <w:pStyle w:val="ListBullet"/>
      </w:pPr>
      <w:r>
        <w:t>偏好玻璃瓶装的取用与储存体验</w:t>
      </w:r>
    </w:p>
    <w:p>
      <w:pPr>
        <w:pStyle w:val="Heading2"/>
      </w:pPr>
      <w:r>
        <w:t>营销目标</w:t>
      </w:r>
    </w:p>
    <w:p>
      <w:pPr>
        <w:pStyle w:val="FieldValue"/>
      </w:pPr>
      <w:r>
        <w:t>通过深红紫酱色、可见果肉和多种搭配方式展示复合风味，促进家庭调味场景转化。</w:t>
      </w:r>
    </w:p>
    <w:p>
      <w:pPr>
        <w:pStyle w:val="Heading1"/>
        <w:pBdr>
          <w:bottom w:val="single" w:sz="8" w:space="4" w:color="E6C8BA"/>
        </w:pBdr>
      </w:pPr>
      <w:r>
        <w:t>场景层</w:t>
      </w:r>
    </w:p>
    <w:p>
      <w:pPr>
        <w:pStyle w:val="Heading2"/>
      </w:pPr>
      <w:r>
        <w:t>核心使用场景</w:t>
      </w:r>
    </w:p>
    <w:p>
      <w:pPr>
        <w:pStyle w:val="ListBullet"/>
      </w:pPr>
      <w:r>
        <w:t>烤鸭与烤肉蘸食</w:t>
      </w:r>
    </w:p>
    <w:p>
      <w:pPr>
        <w:pStyle w:val="ListBullet"/>
      </w:pPr>
      <w:r>
        <w:t>沙拉与凉菜拌酱</w:t>
      </w:r>
    </w:p>
    <w:p>
      <w:pPr>
        <w:pStyle w:val="ListBullet"/>
      </w:pPr>
      <w:r>
        <w:t>面包与小食涂抹</w:t>
      </w:r>
    </w:p>
    <w:p>
      <w:pPr>
        <w:pStyle w:val="ListBullet"/>
      </w:pPr>
      <w:r>
        <w:t>家庭聚餐佐味</w:t>
      </w:r>
    </w:p>
    <w:p>
      <w:pPr>
        <w:pStyle w:val="Heading2"/>
      </w:pPr>
      <w:r>
        <w:t>购买场景</w:t>
      </w:r>
    </w:p>
    <w:p>
      <w:pPr>
        <w:pStyle w:val="ListBullet"/>
      </w:pPr>
      <w:r>
        <w:t>家庭调味品补货</w:t>
      </w:r>
    </w:p>
    <w:p>
      <w:pPr>
        <w:pStyle w:val="ListBullet"/>
      </w:pPr>
      <w:r>
        <w:t>烤肉聚会采购</w:t>
      </w:r>
    </w:p>
    <w:p>
      <w:pPr>
        <w:pStyle w:val="ListBullet"/>
      </w:pPr>
      <w:r>
        <w:t>地方风味尝鲜</w:t>
      </w:r>
    </w:p>
    <w:p>
      <w:pPr>
        <w:pStyle w:val="Heading2"/>
      </w:pPr>
      <w:r>
        <w:t>情绪共鸣场景</w:t>
      </w:r>
    </w:p>
    <w:p>
      <w:pPr>
        <w:pStyle w:val="ListBullet"/>
      </w:pPr>
      <w:r>
        <w:t>酸甜开胃带来的食欲感</w:t>
      </w:r>
    </w:p>
    <w:p>
      <w:pPr>
        <w:pStyle w:val="ListBullet"/>
      </w:pPr>
      <w:r>
        <w:t>一酱多用的轻松成就感</w:t>
      </w:r>
    </w:p>
    <w:p>
      <w:pPr>
        <w:pStyle w:val="ListBullet"/>
      </w:pPr>
      <w:r>
        <w:t>聚餐蘸食分享的新鲜感</w:t>
      </w:r>
    </w:p>
    <w:p>
      <w:pPr>
        <w:spacing w:before="320" w:after="0"/>
        <w:shd w:val="clear" w:color="auto" w:fill="F7F8FA"/>
      </w:pPr>
      <w:r>
        <w:rPr>
          <w:rFonts w:ascii="Microsoft YaHei" w:hAnsi="Microsoft YaHei" w:eastAsia="Microsoft YaHei"/>
          <w:b w:val="0"/>
          <w:color w:val="667085"/>
          <w:sz w:val="19"/>
        </w:rPr>
        <w:t>填写确认：以上内容由资料提供方确认，作为本次效果类项目的信息提炼依据。</w:t>
      </w:r>
    </w:p>
    <w:sectPr w:rsidR="00FC693F" w:rsidRPr="0006063C" w:rsidSect="00034616">
      <w:footerReference w:type="default" r:id="rId9"/>
      <w:pgSz w:w="11906" w:h="16838"/>
      <w:pgMar w:top="1020" w:right="1247" w:bottom="1020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98A2B3"/>
        <w:sz w:val="17"/>
      </w:rPr>
      <w:t>广式三七瘦腊肠 · 产品素材制作信息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48" w:lineRule="auto"/>
    </w:pPr>
    <w:rPr>
      <w:rFonts w:ascii="Microsoft YaHei" w:hAnsi="Microsoft YaHei" w:eastAsia="Microsoft YaHei"/>
      <w:color w:val="2532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A351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53247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24" w:lineRule="auto"/>
      <w:ind w:left="510" w:hanging="198"/>
      <w:contextualSpacing/>
    </w:pPr>
    <w:rPr>
      <w:rFonts w:ascii="Microsoft YaHei" w:hAnsi="Microsoft YaHei" w:eastAsia="Microsoft YaHei"/>
      <w:color w:val="253247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eldValue">
    <w:name w:val="Field Value"/>
    <w:basedOn w:val="Normal"/>
    <w:pPr>
      <w:spacing w:after="120"/>
      <w:ind w:left="255"/>
    </w:pPr>
    <w:rPr>
      <w:rFonts w:ascii="Microsoft YaHei" w:hAnsi="Microsoft YaHei" w:eastAsia="Microsoft YaHei"/>
      <w:color w:val="253247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