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星河市数字档案平台招标文件</w:t>
      </w:r>
    </w:p>
    <w:p>
      <w:r>
        <w:t>本文件中的单位、项目和数据均为虚构内容，仅用于软件演示。</w:t>
      </w:r>
    </w:p>
    <w:p>
      <w:pPr>
        <w:pStyle w:val="Heading2"/>
      </w:pPr>
      <w:r>
        <w:t>一、资格审查</w:t>
      </w:r>
    </w:p>
    <w:p>
      <w:r>
        <w:t>投标人须提供有效的营业执照复印件并加盖公章。</w:t>
      </w:r>
    </w:p>
    <w:p>
      <w:pPr>
        <w:pStyle w:val="Heading2"/>
      </w:pPr>
      <w:r>
        <w:t>二、工期要求</w:t>
      </w:r>
    </w:p>
    <w:p>
      <w:r>
        <w:t>项目建设工期不得超过150日历天。</w:t>
      </w:r>
    </w:p>
    <w:p>
      <w:pPr>
        <w:pStyle w:val="Heading2"/>
      </w:pPr>
      <w:r>
        <w:t>三、评分标准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要求</w:t>
            </w:r>
          </w:p>
        </w:tc>
      </w:tr>
      <w:tr>
        <w:tc>
          <w:tcPr>
            <w:tcW w:type="dxa" w:w="2880"/>
          </w:tcPr>
          <w:p>
            <w:r>
              <w:t>实施方案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内容完整、计划合理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