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E7D46A" w14:textId="77777777" w:rsidR="00FC7FFE" w:rsidRPr="00026313" w:rsidRDefault="00FC7FFE" w:rsidP="00026313">
      <w:pPr>
        <w:jc w:val="center"/>
        <w:rPr>
          <w:b/>
          <w:sz w:val="28"/>
        </w:rPr>
      </w:pPr>
      <w:r w:rsidRPr="00026313">
        <w:rPr>
          <w:b/>
          <w:sz w:val="28"/>
        </w:rPr>
        <w:t>Fast life history traits promote invasion success in amphibians and reptiles</w:t>
      </w:r>
    </w:p>
    <w:p w14:paraId="77CCB28F" w14:textId="77777777" w:rsidR="00FC7FFE" w:rsidRPr="00026313" w:rsidRDefault="00FC7FFE" w:rsidP="00FC7FFE">
      <w:pPr>
        <w:jc w:val="center"/>
        <w:rPr>
          <w:b/>
          <w:i/>
          <w:sz w:val="24"/>
        </w:rPr>
      </w:pPr>
      <w:r w:rsidRPr="00026313">
        <w:rPr>
          <w:b/>
          <w:i/>
          <w:sz w:val="24"/>
        </w:rPr>
        <w:t>Ecology Letters</w:t>
      </w:r>
    </w:p>
    <w:p w14:paraId="02EAFFCE" w14:textId="77777777" w:rsidR="00FC7FFE" w:rsidRDefault="00FC7FFE" w:rsidP="00FC7FFE">
      <w:pPr>
        <w:spacing w:before="100" w:beforeAutospacing="1" w:after="100" w:afterAutospacing="1" w:line="360" w:lineRule="auto"/>
      </w:pPr>
      <w:r w:rsidRPr="00FC7FFE">
        <w:rPr>
          <w:b/>
        </w:rPr>
        <w:t>Authors:</w:t>
      </w:r>
      <w:r>
        <w:t xml:space="preserve"> William L. Allen</w:t>
      </w:r>
      <w:r w:rsidRPr="00D64352">
        <w:rPr>
          <w:vertAlign w:val="superscript"/>
        </w:rPr>
        <w:t>1</w:t>
      </w:r>
      <w:r>
        <w:rPr>
          <w:vertAlign w:val="superscript"/>
        </w:rPr>
        <w:t>,2</w:t>
      </w:r>
      <w:r>
        <w:t>, Sally E. Street</w:t>
      </w:r>
      <w:r w:rsidRPr="00D64352">
        <w:rPr>
          <w:vertAlign w:val="superscript"/>
        </w:rPr>
        <w:t>1</w:t>
      </w:r>
      <w:r>
        <w:t xml:space="preserve"> and Isabella Capellini</w:t>
      </w:r>
      <w:r w:rsidRPr="00D64352">
        <w:rPr>
          <w:vertAlign w:val="superscript"/>
        </w:rPr>
        <w:t>1</w:t>
      </w:r>
    </w:p>
    <w:p w14:paraId="0C642C06" w14:textId="77777777" w:rsidR="00FC7FFE" w:rsidRDefault="00FC7FFE" w:rsidP="00FC7FFE">
      <w:pPr>
        <w:spacing w:before="100" w:beforeAutospacing="1" w:after="100" w:afterAutospacing="1" w:line="360" w:lineRule="auto"/>
      </w:pPr>
      <w:r w:rsidRPr="00963EC2">
        <w:rPr>
          <w:b/>
        </w:rPr>
        <w:t>1</w:t>
      </w:r>
      <w:r>
        <w:t xml:space="preserve"> School of Environmental Sciences, University of Hull, Cottingham Road, Hull HU6 7RX, UK.</w:t>
      </w:r>
    </w:p>
    <w:p w14:paraId="79F99FC5" w14:textId="77777777" w:rsidR="00FC7FFE" w:rsidRDefault="00FC7FFE" w:rsidP="00FC7FFE">
      <w:pPr>
        <w:spacing w:before="100" w:beforeAutospacing="1" w:after="100" w:afterAutospacing="1" w:line="360" w:lineRule="auto"/>
      </w:pPr>
      <w:r w:rsidRPr="00963EC2">
        <w:rPr>
          <w:b/>
        </w:rPr>
        <w:t>2</w:t>
      </w:r>
      <w:r>
        <w:t xml:space="preserve"> Department of Biosciences, Swansea University, Singleton Park, Swansea, SA2 8PP, Wales, UK</w:t>
      </w:r>
    </w:p>
    <w:p w14:paraId="7873453C" w14:textId="77777777" w:rsidR="00FC7FFE" w:rsidRDefault="00FC7FFE" w:rsidP="00FC7FFE">
      <w:pPr>
        <w:spacing w:before="100" w:beforeAutospacing="1" w:after="100" w:afterAutospacing="1" w:line="360" w:lineRule="auto"/>
      </w:pPr>
      <w:r w:rsidRPr="00963EC2">
        <w:rPr>
          <w:b/>
        </w:rPr>
        <w:t>Email:</w:t>
      </w:r>
      <w:r>
        <w:t xml:space="preserve"> </w:t>
      </w:r>
      <w:r w:rsidRPr="005B55B9">
        <w:t>W.L.Allen@swansea.ac.uk</w:t>
      </w:r>
      <w:r>
        <w:t xml:space="preserve">, </w:t>
      </w:r>
      <w:r w:rsidRPr="007F7677">
        <w:t>S.Street@hull.ac.uk</w:t>
      </w:r>
      <w:r>
        <w:t xml:space="preserve">, </w:t>
      </w:r>
      <w:r w:rsidRPr="007F7677">
        <w:t>I.Capellini@hull.ac.uk</w:t>
      </w:r>
    </w:p>
    <w:p w14:paraId="79340974" w14:textId="77777777" w:rsidR="00026313" w:rsidRDefault="00026313" w:rsidP="00FC7FFE">
      <w:pPr>
        <w:pStyle w:val="Subheading"/>
      </w:pPr>
    </w:p>
    <w:p w14:paraId="5C5B8E51" w14:textId="77777777" w:rsidR="00FC7FFE" w:rsidRDefault="00FC7FFE" w:rsidP="00FC7FFE">
      <w:pPr>
        <w:pStyle w:val="Subheading"/>
      </w:pPr>
      <w:r>
        <w:t>Description of the data file</w:t>
      </w:r>
    </w:p>
    <w:p w14:paraId="3F6F97E9" w14:textId="77777777" w:rsidR="00FC7FFE" w:rsidRDefault="00FC7FFE" w:rsidP="00FC7FFE">
      <w:pPr>
        <w:pStyle w:val="BodytextfirstIC"/>
      </w:pPr>
      <w:r>
        <w:t>The data file contains data on the status of alien (non-native) amphibian and reptile species at the global scale</w:t>
      </w:r>
      <w:r w:rsidR="001B4DDC">
        <w:t xml:space="preserve"> and their life history traits</w:t>
      </w:r>
      <w:bookmarkStart w:id="0" w:name="_GoBack"/>
      <w:bookmarkEnd w:id="0"/>
      <w:r>
        <w:t xml:space="preserve">. Here we provide the basic details on the variables in the datafile. Full details on the protocol for the extraction of the data from the literature, classification of the species, and references underling the data can be found in the Supplementary Information of the </w:t>
      </w:r>
      <w:r w:rsidRPr="00A63ACD">
        <w:rPr>
          <w:i/>
        </w:rPr>
        <w:t>Ecology Letters</w:t>
      </w:r>
      <w:r>
        <w:t xml:space="preserve"> paper (Data collection: SI, Section 1.1; Data references: SI, 4.2 and 4.3).</w:t>
      </w:r>
    </w:p>
    <w:p w14:paraId="3723A15C" w14:textId="77777777" w:rsidR="00FC7FFE" w:rsidRDefault="00FC7FFE" w:rsidP="00FC7FFE">
      <w:pPr>
        <w:pStyle w:val="BodytextfirstIC"/>
      </w:pPr>
      <w:r>
        <w:t xml:space="preserve">The status of alien amphibians and reptiles have been assessed through information available in three main sources </w:t>
      </w:r>
      <w:r>
        <w:rPr>
          <w:rFonts w:cs="Arial"/>
          <w:color w:val="000000"/>
          <w:shd w:val="clear" w:color="auto" w:fill="FFFFFF"/>
        </w:rPr>
        <w:fldChar w:fldCharType="begin" w:fldLock="1"/>
      </w:r>
      <w:r>
        <w:rPr>
          <w:rFonts w:cs="Arial"/>
          <w:color w:val="000000"/>
          <w:shd w:val="clear" w:color="auto" w:fill="FFFFFF"/>
        </w:rPr>
        <w:instrText>ADDIN CSL_CITATION { "citationItems" : [ { "id" : "ITEM-1", "itemData" : { "URL" : "http://www.issg.org/database", "author" : [ { "dropping-particle" : "", "family" : "Invasive Species Specialist Group ISSG", "given" : "", "non-dropping-particle" : "", "parse-names" : false, "suffix" : "" } ], "id" : "ITEM-1", "issued" : { "date-parts" : [ [ "2014" ] ] }, "title" : "The Global Invasive Species Database. Version 2014.1", "type" : "webpage" }, "prefix" : "ISSG", "suppress-author" : 1, "uris" : [ "http://www.mendeley.com/documents/?uuid=bc51f424-40c5-4027-bfdb-2b9944bb9879" ] }, { "id" : "ITEM-2", "itemData" : { "author" : [ { "dropping-particle" : "", "family" : "DAISIE", "given" : "", "non-dropping-particle" : "", "parse-names" : false, "suffix" : "" } ], "id" : "ITEM-2", "issued" : { "date-parts" : [ [ "2008" ] ] }, "publisher" : "Springer", "title" : "Handbook of alien species in Europe", "type" : "book" }, "uris" : [ "http://www.mendeley.com/documents/?uuid=11e9d5dc-3296-41f0-8f7e-fb196158197a" ] }, { "id" : "ITEM-3", "itemData" : { "author" : [ { "dropping-particle" : "", "family" : "Kraus", "given" : "Fred", "non-dropping-particle" : "", "parse-names" : false, "suffix" : "" } ], "id" : "ITEM-3", "issued" : { "date-parts" : [ [ "2009" ] ] }, "publisher" : "Springer Verlag", "publisher-place" : "Dordrecht, Holland", "title" : "Alien reptiles and amphibians: a scientific compendium and analysis series", "type" : "book" }, "uris" : [ "http://www.mendeley.com/documents/?uuid=0003f527-2727-4ee4-8c52-dc60523d9381" ] }, { "id" : "ITEM-4", "itemData" : { "author" : [ { "dropping-particle" : "", "family" : "Lever", "given" : "", "non-dropping-particle" : "", "parse-names" : false, "suffix" : "" } ], "id" : "ITEM-4", "issued" : { "date-parts" : [ [ "2003" ] ] }, "publisher" : "Oxford University Press", "publisher-place" : "New York", "title" : "Naturalized Reptiles and Amphibians of the World", "type" : "book" }, "uris" : [ "http://www.mendeley.com/documents/?uuid=adc6e3c8-273e-46c1-a96d-8e88bc4ed8c7" ] } ], "mendeley" : { "formattedCitation" : "(Lever 2003; DAISIE 2008; Kraus 2009; ISSG 2014)", "plainTextFormattedCitation" : "(Lever 2003; DAISIE 2008; Kraus 2009; ISSG 2014)", "previouslyFormattedCitation" : "(Lever 2003; DAISIE 2008; Kraus 2009; ISSG 2014)" }, "properties" : { "noteIndex" : 0 }, "schema" : "https://github.com/citation-style-language/schema/raw/master/csl-citation.json" }</w:instrText>
      </w:r>
      <w:r>
        <w:rPr>
          <w:rFonts w:cs="Arial"/>
          <w:color w:val="000000"/>
          <w:shd w:val="clear" w:color="auto" w:fill="FFFFFF"/>
        </w:rPr>
        <w:fldChar w:fldCharType="separate"/>
      </w:r>
      <w:r w:rsidRPr="00EA2497">
        <w:rPr>
          <w:rFonts w:cs="Arial"/>
          <w:noProof/>
          <w:color w:val="000000"/>
          <w:shd w:val="clear" w:color="auto" w:fill="FFFFFF"/>
        </w:rPr>
        <w:t>(Lever 2003; DAISIE 2008; Kraus 2009; ISSG 2014)</w:t>
      </w:r>
      <w:r>
        <w:rPr>
          <w:rFonts w:cs="Arial"/>
          <w:color w:val="000000"/>
          <w:shd w:val="clear" w:color="auto" w:fill="FFFFFF"/>
        </w:rPr>
        <w:fldChar w:fldCharType="end"/>
      </w:r>
      <w:r>
        <w:t xml:space="preserve"> which have been integrated, cross-checked and updated with more recent sources (see Sections 1.1.1 and 4.2 of the SI). </w:t>
      </w:r>
    </w:p>
    <w:p w14:paraId="6CF2067C" w14:textId="77777777" w:rsidR="00FC7FFE" w:rsidRDefault="00FC7FFE" w:rsidP="00FC7FFE">
      <w:pPr>
        <w:pStyle w:val="BodytextfirstIC"/>
      </w:pPr>
      <w:r>
        <w:t>We quantify the magnitude of introduction effort as the number of unique locations of introduction a species has been introduced to; these data are available from the same sources containing information on the status of alien species (SI, Sections 1.1.3 and 4.2).</w:t>
      </w:r>
    </w:p>
    <w:p w14:paraId="1BEFA881" w14:textId="77777777" w:rsidR="00FC7FFE" w:rsidRDefault="00FC7FFE" w:rsidP="00FC7FFE">
      <w:pPr>
        <w:pStyle w:val="BodytextfirstIC"/>
      </w:pPr>
      <w:r>
        <w:t xml:space="preserve">For all species in the dataset, we extracted data on mean life history traits from multiple life history databases (SI, Section 4.3). When we obtained multiple records of a trait for a </w:t>
      </w:r>
      <w:r>
        <w:lastRenderedPageBreak/>
        <w:t xml:space="preserve">species we recorded the mean of unique values, with the exception of longevity, where we recorded the maximum lifespan recorded for a species. Reproductive lifespan is calculated as the difference between the maximum recorded lifespan and age at </w:t>
      </w:r>
      <w:r w:rsidR="009F0A37">
        <w:t>sexual maturity</w:t>
      </w:r>
      <w:r>
        <w:t>, recorded in years. Finally, for reptiles we compute an offspring value index as an estimate of current versus future reproductive effort following previous studies (B</w:t>
      </w:r>
      <w:r>
        <w:rPr>
          <w:rFonts w:cs="Helvetica"/>
          <w:szCs w:val="22"/>
          <w:lang w:eastAsia="en-GB"/>
        </w:rPr>
        <w:t>ó</w:t>
      </w:r>
      <w:r>
        <w:t xml:space="preserve">kony </w:t>
      </w:r>
      <w:r w:rsidRPr="00600F30">
        <w:rPr>
          <w:i/>
        </w:rPr>
        <w:t>et al.</w:t>
      </w:r>
      <w:r>
        <w:t xml:space="preserve"> 2009; Sol </w:t>
      </w:r>
      <w:r w:rsidRPr="00600F30">
        <w:rPr>
          <w:i/>
        </w:rPr>
        <w:t>et al</w:t>
      </w:r>
      <w:r>
        <w:rPr>
          <w:i/>
        </w:rPr>
        <w:t>.</w:t>
      </w:r>
      <w:r>
        <w:t xml:space="preserve"> 2012) as:</w:t>
      </w:r>
    </w:p>
    <w:p w14:paraId="54200E3D" w14:textId="77777777" w:rsidR="00FC7FFE" w:rsidRDefault="00FC7FFE" w:rsidP="00FC7FFE">
      <w:pPr>
        <w:pStyle w:val="BodytextfirstIC"/>
      </w:pPr>
      <m:oMathPara>
        <m:oMath>
          <m:r>
            <m:rPr>
              <m:sty m:val="b"/>
            </m:rPr>
            <w:rPr>
              <w:rFonts w:ascii="Cambria Math" w:hAnsi="Cambria Math"/>
            </w:rPr>
            <m:t>Equation 1</m:t>
          </m:r>
          <m:r>
            <m:rPr>
              <m:sty m:val="p"/>
            </m:rPr>
            <w:rPr>
              <w:rFonts w:ascii="Cambria Math" w:hAnsi="Cambria Math"/>
            </w:rPr>
            <m:t xml:space="preserve">: </m:t>
          </m:r>
          <m:r>
            <w:rPr>
              <w:rFonts w:ascii="Cambria Math" w:hAnsi="Cambria Math"/>
            </w:rPr>
            <m:t>OV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t>
              </m:r>
              <m:r>
                <w:rPr>
                  <w:rFonts w:ascii="Cambria Math" w:hAnsi="Cambria Math"/>
                </w:rPr>
                <m:t>Clutches</m:t>
              </m:r>
              <m:r>
                <m:rPr>
                  <m:sty m:val="p"/>
                </m:rPr>
                <w:rPr>
                  <w:rFonts w:ascii="Cambria Math" w:hAnsi="Cambria Math"/>
                </w:rPr>
                <m:t xml:space="preserve"> </m:t>
              </m:r>
              <m:r>
                <w:rPr>
                  <w:rFonts w:ascii="Cambria Math" w:hAnsi="Cambria Math"/>
                </w:rPr>
                <m:t>per</m:t>
              </m:r>
              <m:r>
                <m:rPr>
                  <m:sty m:val="p"/>
                </m:rPr>
                <w:rPr>
                  <w:rFonts w:ascii="Cambria Math" w:hAnsi="Cambria Math"/>
                </w:rPr>
                <m:t xml:space="preserve"> </m:t>
              </m:r>
              <m:r>
                <w:rPr>
                  <w:rFonts w:ascii="Cambria Math" w:hAnsi="Cambria Math"/>
                </w:rPr>
                <m:t>year</m:t>
              </m:r>
              <m:r>
                <m:rPr>
                  <m:sty m:val="p"/>
                </m:rPr>
                <w:rPr>
                  <w:rFonts w:ascii="Cambria Math" w:hAnsi="Cambria Math"/>
                </w:rPr>
                <m:t>)*(</m:t>
              </m:r>
              <m:r>
                <w:rPr>
                  <w:rFonts w:ascii="Cambria Math" w:hAnsi="Cambria Math"/>
                </w:rPr>
                <m:t>Reproductive</m:t>
              </m:r>
              <m:r>
                <m:rPr>
                  <m:sty m:val="p"/>
                </m:rPr>
                <w:rPr>
                  <w:rFonts w:ascii="Cambria Math" w:hAnsi="Cambria Math"/>
                </w:rPr>
                <m:t xml:space="preserve"> </m:t>
              </m:r>
              <m:r>
                <w:rPr>
                  <w:rFonts w:ascii="Cambria Math" w:hAnsi="Cambria Math"/>
                </w:rPr>
                <m:t>Lifespan</m:t>
              </m:r>
              <m:r>
                <m:rPr>
                  <m:sty m:val="p"/>
                </m:rPr>
                <w:rPr>
                  <w:rFonts w:ascii="Cambria Math" w:hAnsi="Cambria Math"/>
                </w:rPr>
                <m:t>)</m:t>
              </m:r>
            </m:den>
          </m:f>
        </m:oMath>
      </m:oMathPara>
    </w:p>
    <w:p w14:paraId="6CCF2EE5" w14:textId="77777777" w:rsidR="00FC7FFE" w:rsidRPr="009D4141" w:rsidRDefault="00FC7FFE" w:rsidP="00FC7FFE">
      <w:pPr>
        <w:pStyle w:val="Subheading"/>
      </w:pPr>
      <w:r w:rsidRPr="009D4141">
        <w:t>Data column descri</w:t>
      </w:r>
      <w:r>
        <w:t>p</w:t>
      </w:r>
      <w:r w:rsidRPr="009D4141">
        <w:t>tion:</w:t>
      </w:r>
    </w:p>
    <w:p w14:paraId="6347073E" w14:textId="77777777" w:rsidR="009F0A37" w:rsidRDefault="009F0A37" w:rsidP="009F0A37">
      <w:pPr>
        <w:pStyle w:val="BodytextfirstIC"/>
      </w:pPr>
      <w:r>
        <w:rPr>
          <w:u w:val="single"/>
        </w:rPr>
        <w:t>Order</w:t>
      </w:r>
      <w:r>
        <w:t xml:space="preserve">: taxonomic order as recognized in </w:t>
      </w:r>
      <w:r w:rsidR="00EA2F40" w:rsidRPr="00092C31">
        <w:rPr>
          <w:rFonts w:ascii="Calibri" w:hAnsi="Calibri"/>
          <w:i/>
          <w:iCs/>
          <w:noProof/>
        </w:rPr>
        <w:t>Amphibian Species of the World</w:t>
      </w:r>
      <w:r w:rsidR="00EA2F40">
        <w:rPr>
          <w:rFonts w:ascii="Calibri" w:hAnsi="Calibri"/>
          <w:i/>
          <w:iCs/>
          <w:noProof/>
        </w:rPr>
        <w:t xml:space="preserve"> </w:t>
      </w:r>
      <w:r w:rsidR="00EA2F40" w:rsidRPr="00EA2F40">
        <w:rPr>
          <w:rFonts w:ascii="Calibri" w:hAnsi="Calibri"/>
          <w:iCs/>
          <w:noProof/>
        </w:rPr>
        <w:t>(Frost 2015)</w:t>
      </w:r>
      <w:r w:rsidR="00EA2F40">
        <w:rPr>
          <w:rFonts w:ascii="Calibri" w:hAnsi="Calibri"/>
          <w:i/>
          <w:iCs/>
          <w:noProof/>
        </w:rPr>
        <w:t xml:space="preserve"> </w:t>
      </w:r>
      <w:r w:rsidR="00EA2F40" w:rsidRPr="00EA2F40">
        <w:rPr>
          <w:rFonts w:ascii="Calibri" w:hAnsi="Calibri"/>
          <w:iCs/>
          <w:noProof/>
        </w:rPr>
        <w:t xml:space="preserve">and </w:t>
      </w:r>
      <w:r w:rsidR="003A7506">
        <w:rPr>
          <w:rFonts w:ascii="Calibri" w:hAnsi="Calibri"/>
          <w:iCs/>
          <w:noProof/>
        </w:rPr>
        <w:t xml:space="preserve">The Reptile Database (Uetz &amp; </w:t>
      </w:r>
      <w:r w:rsidR="003A7506" w:rsidRPr="00092C31">
        <w:rPr>
          <w:rFonts w:ascii="Calibri" w:hAnsi="Calibri"/>
          <w:noProof/>
        </w:rPr>
        <w:t>Hošek</w:t>
      </w:r>
      <w:r w:rsidR="003A7506">
        <w:rPr>
          <w:rFonts w:ascii="Calibri" w:hAnsi="Calibri"/>
          <w:noProof/>
        </w:rPr>
        <w:t xml:space="preserve"> 2015)</w:t>
      </w:r>
      <w:r w:rsidRPr="00EA2F40">
        <w:t>;</w:t>
      </w:r>
    </w:p>
    <w:p w14:paraId="36EDBFB3" w14:textId="77777777" w:rsidR="009F0A37" w:rsidRDefault="009F0A37" w:rsidP="009F0A37">
      <w:pPr>
        <w:pStyle w:val="BodytextfirstIC"/>
      </w:pPr>
      <w:r>
        <w:rPr>
          <w:u w:val="single"/>
        </w:rPr>
        <w:t>Family</w:t>
      </w:r>
      <w:r>
        <w:t>: taxonomic family as recognized in</w:t>
      </w:r>
      <w:r w:rsidR="003A7506" w:rsidRPr="003A7506">
        <w:rPr>
          <w:rFonts w:ascii="Calibri" w:hAnsi="Calibri"/>
          <w:i/>
          <w:iCs/>
          <w:noProof/>
        </w:rPr>
        <w:t xml:space="preserve"> </w:t>
      </w:r>
      <w:r w:rsidR="003A7506" w:rsidRPr="00092C31">
        <w:rPr>
          <w:rFonts w:ascii="Calibri" w:hAnsi="Calibri"/>
          <w:i/>
          <w:iCs/>
          <w:noProof/>
        </w:rPr>
        <w:t>Amphibian Species of the World</w:t>
      </w:r>
      <w:r w:rsidR="003A7506">
        <w:rPr>
          <w:rFonts w:ascii="Calibri" w:hAnsi="Calibri"/>
          <w:i/>
          <w:iCs/>
          <w:noProof/>
        </w:rPr>
        <w:t xml:space="preserve"> </w:t>
      </w:r>
      <w:r w:rsidR="003A7506" w:rsidRPr="00EA2F40">
        <w:rPr>
          <w:rFonts w:ascii="Calibri" w:hAnsi="Calibri"/>
          <w:iCs/>
          <w:noProof/>
        </w:rPr>
        <w:t>(Frost 2015)</w:t>
      </w:r>
      <w:r w:rsidR="003A7506">
        <w:rPr>
          <w:rFonts w:ascii="Calibri" w:hAnsi="Calibri"/>
          <w:i/>
          <w:iCs/>
          <w:noProof/>
        </w:rPr>
        <w:t xml:space="preserve"> </w:t>
      </w:r>
      <w:r w:rsidR="003A7506" w:rsidRPr="00EA2F40">
        <w:rPr>
          <w:rFonts w:ascii="Calibri" w:hAnsi="Calibri"/>
          <w:iCs/>
          <w:noProof/>
        </w:rPr>
        <w:t xml:space="preserve">and </w:t>
      </w:r>
      <w:r w:rsidR="003A7506">
        <w:rPr>
          <w:rFonts w:ascii="Calibri" w:hAnsi="Calibri"/>
          <w:iCs/>
          <w:noProof/>
        </w:rPr>
        <w:t xml:space="preserve">The Reptile Database (Uetz &amp; </w:t>
      </w:r>
      <w:r w:rsidR="003A7506" w:rsidRPr="00092C31">
        <w:rPr>
          <w:rFonts w:ascii="Calibri" w:hAnsi="Calibri"/>
          <w:noProof/>
        </w:rPr>
        <w:t>Hošek</w:t>
      </w:r>
      <w:r w:rsidR="003A7506">
        <w:rPr>
          <w:rFonts w:ascii="Calibri" w:hAnsi="Calibri"/>
          <w:noProof/>
        </w:rPr>
        <w:t xml:space="preserve"> 2015)</w:t>
      </w:r>
      <w:r>
        <w:t>;</w:t>
      </w:r>
    </w:p>
    <w:p w14:paraId="59DFF843" w14:textId="77777777" w:rsidR="00FC7FFE" w:rsidRDefault="009F0A37" w:rsidP="00FC7FFE">
      <w:pPr>
        <w:pStyle w:val="BodytextfirstIC"/>
      </w:pPr>
      <w:r>
        <w:rPr>
          <w:u w:val="single"/>
        </w:rPr>
        <w:t>Species</w:t>
      </w:r>
      <w:r w:rsidR="00FC7FFE">
        <w:t>: species Latin name;</w:t>
      </w:r>
    </w:p>
    <w:p w14:paraId="00441210" w14:textId="77777777" w:rsidR="00FC7FFE" w:rsidRDefault="00FC7FFE" w:rsidP="00FC7FFE">
      <w:pPr>
        <w:pStyle w:val="BodytextfirstIC"/>
      </w:pPr>
      <w:r w:rsidRPr="008704B6">
        <w:rPr>
          <w:u w:val="single"/>
        </w:rPr>
        <w:t>Intro (Introduction stage)</w:t>
      </w:r>
      <w:r>
        <w:t>: whether a species has been introduced, accidentally or intentionally, by humans outside its native range at least once (‘yes’ coded as 1, ‘no’ coded as 0) (SI, section 1.1.</w:t>
      </w:r>
      <w:r w:rsidR="00026313">
        <w:t>2</w:t>
      </w:r>
      <w:r>
        <w:t>);</w:t>
      </w:r>
    </w:p>
    <w:p w14:paraId="4E759C9E" w14:textId="77777777" w:rsidR="00FC7FFE" w:rsidRDefault="00FC7FFE" w:rsidP="00FC7FFE">
      <w:pPr>
        <w:pStyle w:val="BodytextfirstIC"/>
      </w:pPr>
      <w:r w:rsidRPr="008704B6">
        <w:rPr>
          <w:u w:val="single"/>
        </w:rPr>
        <w:t>Est (Establishment stage)</w:t>
      </w:r>
      <w:r>
        <w:t>: for a species, whether at least one of its alien populations has successfully established (‘yes’ coded as 1, ‘no’ coded as 0), i.e. it persists in the novel habitat for a time interval equal or greater than the species’ maximum recorded lifespan (SI, section 1.1.</w:t>
      </w:r>
      <w:r w:rsidR="00026313">
        <w:t>2</w:t>
      </w:r>
      <w:r>
        <w:t xml:space="preserve">):  </w:t>
      </w:r>
    </w:p>
    <w:p w14:paraId="11064B12" w14:textId="77777777" w:rsidR="00FC7FFE" w:rsidRDefault="00FC7FFE" w:rsidP="00FC7FFE">
      <w:pPr>
        <w:pStyle w:val="BodytextfirstIC"/>
      </w:pPr>
      <w:r w:rsidRPr="00600F30">
        <w:rPr>
          <w:u w:val="single"/>
        </w:rPr>
        <w:t>Spread (Spread stage)</w:t>
      </w:r>
      <w:r>
        <w:t>: for a species, whether at least one of its established alien populations exhibits a remarkable range expansion beyond the introduction location (‘yes’ coded as 1, ‘no’ coded as 0) (SI, section 1.1.</w:t>
      </w:r>
      <w:r w:rsidR="00026313">
        <w:t>2</w:t>
      </w:r>
      <w:r>
        <w:t>);</w:t>
      </w:r>
    </w:p>
    <w:p w14:paraId="397AA218" w14:textId="77777777" w:rsidR="00FC7FFE" w:rsidRDefault="00FC7FFE" w:rsidP="00FC7FFE">
      <w:pPr>
        <w:pStyle w:val="BodytextfirstIC"/>
      </w:pPr>
      <w:r w:rsidRPr="00600F30">
        <w:rPr>
          <w:u w:val="single"/>
        </w:rPr>
        <w:lastRenderedPageBreak/>
        <w:t>NoLocs (Number of locations)</w:t>
      </w:r>
      <w:r>
        <w:t>: number of unique introduction locations a species has been introduced to outside its native range (SI, Section 1.1.3);</w:t>
      </w:r>
    </w:p>
    <w:p w14:paraId="30A9412C" w14:textId="77777777" w:rsidR="00026313" w:rsidRDefault="00026313" w:rsidP="00FC7FFE">
      <w:pPr>
        <w:pStyle w:val="BodytextfirstIC"/>
        <w:rPr>
          <w:u w:val="single"/>
        </w:rPr>
      </w:pPr>
    </w:p>
    <w:p w14:paraId="6835EF47" w14:textId="77777777" w:rsidR="00026313" w:rsidRPr="00026313" w:rsidRDefault="00026313" w:rsidP="00FC7FFE">
      <w:pPr>
        <w:pStyle w:val="BodytextfirstIC"/>
        <w:rPr>
          <w:u w:val="single"/>
        </w:rPr>
      </w:pPr>
      <w:r w:rsidRPr="00026313">
        <w:rPr>
          <w:u w:val="single"/>
        </w:rPr>
        <w:t>Amphibians:</w:t>
      </w:r>
    </w:p>
    <w:p w14:paraId="78295CC4" w14:textId="77777777" w:rsidR="00026313" w:rsidRPr="00026313" w:rsidRDefault="00026313" w:rsidP="00026313">
      <w:pPr>
        <w:rPr>
          <w:rFonts w:ascii="Helvetica" w:eastAsia="Cambria" w:hAnsi="Helvetica" w:cs="Times New Roman"/>
          <w:szCs w:val="24"/>
          <w:lang w:val="en-US"/>
        </w:rPr>
      </w:pPr>
      <w:r w:rsidRPr="00026313">
        <w:rPr>
          <w:rFonts w:ascii="Helvetica" w:eastAsia="Cambria" w:hAnsi="Helvetica" w:cs="Times New Roman"/>
          <w:szCs w:val="24"/>
          <w:lang w:val="en-US"/>
        </w:rPr>
        <w:t>SVL: Snout-vent length in mm</w:t>
      </w:r>
    </w:p>
    <w:p w14:paraId="65D8D392" w14:textId="77777777" w:rsidR="00026313" w:rsidRPr="00026313" w:rsidRDefault="00026313" w:rsidP="00026313">
      <w:pPr>
        <w:rPr>
          <w:rFonts w:ascii="Helvetica" w:eastAsia="Cambria" w:hAnsi="Helvetica" w:cs="Times New Roman"/>
          <w:szCs w:val="24"/>
          <w:lang w:val="en-US"/>
        </w:rPr>
      </w:pPr>
      <w:r w:rsidRPr="00026313">
        <w:rPr>
          <w:rFonts w:ascii="Helvetica" w:eastAsia="Cambria" w:hAnsi="Helvetica" w:cs="Times New Roman"/>
          <w:szCs w:val="24"/>
          <w:lang w:val="en-US"/>
        </w:rPr>
        <w:t>ES: Egg size (diameter) in mm</w:t>
      </w:r>
    </w:p>
    <w:p w14:paraId="4A39785B" w14:textId="77777777" w:rsidR="00026313" w:rsidRPr="00026313" w:rsidRDefault="00026313" w:rsidP="00026313">
      <w:pPr>
        <w:rPr>
          <w:rFonts w:ascii="Helvetica" w:eastAsia="Cambria" w:hAnsi="Helvetica" w:cs="Times New Roman"/>
          <w:szCs w:val="24"/>
          <w:lang w:val="en-US"/>
        </w:rPr>
      </w:pPr>
      <w:r w:rsidRPr="00026313">
        <w:rPr>
          <w:rFonts w:ascii="Helvetica" w:eastAsia="Cambria" w:hAnsi="Helvetica" w:cs="Times New Roman"/>
          <w:szCs w:val="24"/>
          <w:lang w:val="en-US"/>
        </w:rPr>
        <w:t>CS: Clutch size</w:t>
      </w:r>
    </w:p>
    <w:p w14:paraId="19CB1F9D" w14:textId="77777777" w:rsidR="00026313" w:rsidRPr="00026313" w:rsidRDefault="00026313" w:rsidP="00026313">
      <w:pPr>
        <w:rPr>
          <w:rFonts w:ascii="Helvetica" w:eastAsia="Cambria" w:hAnsi="Helvetica" w:cs="Times New Roman"/>
          <w:szCs w:val="24"/>
          <w:lang w:val="en-US"/>
        </w:rPr>
      </w:pPr>
      <w:r w:rsidRPr="00026313">
        <w:rPr>
          <w:rFonts w:ascii="Helvetica" w:eastAsia="Cambria" w:hAnsi="Helvetica" w:cs="Times New Roman"/>
          <w:szCs w:val="24"/>
          <w:lang w:val="en-US"/>
        </w:rPr>
        <w:t>SM: Age at sexual maturity in years</w:t>
      </w:r>
    </w:p>
    <w:p w14:paraId="20889ABC" w14:textId="77777777" w:rsidR="00026313" w:rsidRPr="00026313" w:rsidRDefault="00026313" w:rsidP="00026313">
      <w:pPr>
        <w:rPr>
          <w:rFonts w:ascii="Helvetica" w:eastAsia="Cambria" w:hAnsi="Helvetica" w:cs="Times New Roman"/>
          <w:szCs w:val="24"/>
          <w:lang w:val="en-US"/>
        </w:rPr>
      </w:pPr>
      <w:r w:rsidRPr="00026313">
        <w:rPr>
          <w:rFonts w:ascii="Helvetica" w:eastAsia="Cambria" w:hAnsi="Helvetica" w:cs="Times New Roman"/>
          <w:szCs w:val="24"/>
          <w:lang w:val="en-US"/>
        </w:rPr>
        <w:t>LG: Longevity in years</w:t>
      </w:r>
    </w:p>
    <w:p w14:paraId="33A4E9D3" w14:textId="77777777" w:rsidR="003928A9" w:rsidRDefault="00026313" w:rsidP="00026313">
      <w:pPr>
        <w:rPr>
          <w:rFonts w:ascii="Helvetica" w:eastAsia="Cambria" w:hAnsi="Helvetica" w:cs="Times New Roman"/>
          <w:szCs w:val="24"/>
          <w:lang w:val="en-US"/>
        </w:rPr>
      </w:pPr>
      <w:r w:rsidRPr="00026313">
        <w:rPr>
          <w:rFonts w:ascii="Helvetica" w:eastAsia="Cambria" w:hAnsi="Helvetica" w:cs="Times New Roman"/>
          <w:szCs w:val="24"/>
          <w:lang w:val="en-US"/>
        </w:rPr>
        <w:t>RL: Reproductive lifespan in years (computed from LG and SM)</w:t>
      </w:r>
    </w:p>
    <w:p w14:paraId="58AB2116" w14:textId="77777777" w:rsidR="00026313" w:rsidRDefault="00026313" w:rsidP="00026313">
      <w:pPr>
        <w:pStyle w:val="BodytextfirstIC"/>
        <w:rPr>
          <w:u w:val="single"/>
        </w:rPr>
      </w:pPr>
    </w:p>
    <w:p w14:paraId="3821363D" w14:textId="77777777" w:rsidR="00026313" w:rsidRPr="00026313" w:rsidRDefault="00026313" w:rsidP="00026313">
      <w:pPr>
        <w:pStyle w:val="BodytextfirstIC"/>
        <w:rPr>
          <w:u w:val="single"/>
        </w:rPr>
      </w:pPr>
      <w:r>
        <w:rPr>
          <w:u w:val="single"/>
        </w:rPr>
        <w:t>Reptiles</w:t>
      </w:r>
      <w:r w:rsidRPr="00026313">
        <w:rPr>
          <w:u w:val="single"/>
        </w:rPr>
        <w:t>:</w:t>
      </w:r>
    </w:p>
    <w:p w14:paraId="6D2A958E" w14:textId="77777777" w:rsidR="00026313" w:rsidRPr="00026313" w:rsidRDefault="00026313" w:rsidP="00026313">
      <w:pPr>
        <w:rPr>
          <w:rFonts w:ascii="Helvetica" w:eastAsia="Cambria" w:hAnsi="Helvetica" w:cs="Times New Roman"/>
          <w:szCs w:val="24"/>
          <w:lang w:val="en-US"/>
        </w:rPr>
      </w:pPr>
      <w:r w:rsidRPr="00026313">
        <w:rPr>
          <w:rFonts w:ascii="Helvetica" w:eastAsia="Cambria" w:hAnsi="Helvetica" w:cs="Times New Roman"/>
          <w:szCs w:val="24"/>
          <w:lang w:val="en-US"/>
        </w:rPr>
        <w:t>BM: Body mass in g</w:t>
      </w:r>
    </w:p>
    <w:p w14:paraId="15B848CC" w14:textId="77777777" w:rsidR="00026313" w:rsidRPr="00026313" w:rsidRDefault="00026313" w:rsidP="00026313">
      <w:pPr>
        <w:rPr>
          <w:rFonts w:ascii="Helvetica" w:eastAsia="Cambria" w:hAnsi="Helvetica" w:cs="Times New Roman"/>
          <w:szCs w:val="24"/>
          <w:lang w:val="en-US"/>
        </w:rPr>
      </w:pPr>
      <w:r w:rsidRPr="00026313">
        <w:rPr>
          <w:rFonts w:ascii="Helvetica" w:eastAsia="Cambria" w:hAnsi="Helvetica" w:cs="Times New Roman"/>
          <w:szCs w:val="24"/>
          <w:lang w:val="en-US"/>
        </w:rPr>
        <w:t>HM: Hatchling mass in g</w:t>
      </w:r>
    </w:p>
    <w:p w14:paraId="59CD7647" w14:textId="77777777" w:rsidR="00026313" w:rsidRPr="00026313" w:rsidRDefault="00026313" w:rsidP="00026313">
      <w:pPr>
        <w:rPr>
          <w:rFonts w:ascii="Helvetica" w:eastAsia="Cambria" w:hAnsi="Helvetica" w:cs="Times New Roman"/>
          <w:szCs w:val="24"/>
          <w:lang w:val="en-US"/>
        </w:rPr>
      </w:pPr>
      <w:r w:rsidRPr="00026313">
        <w:rPr>
          <w:rFonts w:ascii="Helvetica" w:eastAsia="Cambria" w:hAnsi="Helvetica" w:cs="Times New Roman"/>
          <w:szCs w:val="24"/>
          <w:lang w:val="en-US"/>
        </w:rPr>
        <w:t>CS: Clutch size</w:t>
      </w:r>
    </w:p>
    <w:p w14:paraId="3A3F562A" w14:textId="77777777" w:rsidR="00026313" w:rsidRPr="00026313" w:rsidRDefault="00026313" w:rsidP="00026313">
      <w:pPr>
        <w:rPr>
          <w:rFonts w:ascii="Helvetica" w:eastAsia="Cambria" w:hAnsi="Helvetica" w:cs="Times New Roman"/>
          <w:szCs w:val="24"/>
          <w:lang w:val="en-US"/>
        </w:rPr>
      </w:pPr>
      <w:r w:rsidRPr="00026313">
        <w:rPr>
          <w:rFonts w:ascii="Helvetica" w:eastAsia="Cambria" w:hAnsi="Helvetica" w:cs="Times New Roman"/>
          <w:szCs w:val="24"/>
          <w:lang w:val="en-US"/>
        </w:rPr>
        <w:t>CY: Clutches per year</w:t>
      </w:r>
    </w:p>
    <w:p w14:paraId="2AD950F7" w14:textId="77777777" w:rsidR="00026313" w:rsidRPr="00026313" w:rsidRDefault="00026313" w:rsidP="00026313">
      <w:pPr>
        <w:rPr>
          <w:rFonts w:ascii="Helvetica" w:eastAsia="Cambria" w:hAnsi="Helvetica" w:cs="Times New Roman"/>
          <w:szCs w:val="24"/>
          <w:lang w:val="en-US"/>
        </w:rPr>
      </w:pPr>
      <w:r w:rsidRPr="00026313">
        <w:rPr>
          <w:rFonts w:ascii="Helvetica" w:eastAsia="Cambria" w:hAnsi="Helvetica" w:cs="Times New Roman"/>
          <w:szCs w:val="24"/>
          <w:lang w:val="en-US"/>
        </w:rPr>
        <w:t>SM: Age at sexual maturity in years</w:t>
      </w:r>
    </w:p>
    <w:p w14:paraId="6E03E70C" w14:textId="77777777" w:rsidR="00026313" w:rsidRPr="00026313" w:rsidRDefault="00026313" w:rsidP="00026313">
      <w:pPr>
        <w:rPr>
          <w:rFonts w:ascii="Helvetica" w:eastAsia="Cambria" w:hAnsi="Helvetica" w:cs="Times New Roman"/>
          <w:szCs w:val="24"/>
          <w:lang w:val="en-US"/>
        </w:rPr>
      </w:pPr>
      <w:r w:rsidRPr="00026313">
        <w:rPr>
          <w:rFonts w:ascii="Helvetica" w:eastAsia="Cambria" w:hAnsi="Helvetica" w:cs="Times New Roman"/>
          <w:szCs w:val="24"/>
          <w:lang w:val="en-US"/>
        </w:rPr>
        <w:t>LG: Longevity in years</w:t>
      </w:r>
    </w:p>
    <w:p w14:paraId="26C3B6F7" w14:textId="77777777" w:rsidR="00026313" w:rsidRPr="00026313" w:rsidRDefault="00026313" w:rsidP="00026313">
      <w:pPr>
        <w:rPr>
          <w:rFonts w:ascii="Helvetica" w:eastAsia="Cambria" w:hAnsi="Helvetica" w:cs="Times New Roman"/>
          <w:szCs w:val="24"/>
          <w:lang w:val="en-US"/>
        </w:rPr>
      </w:pPr>
      <w:r w:rsidRPr="00026313">
        <w:rPr>
          <w:rFonts w:ascii="Helvetica" w:eastAsia="Cambria" w:hAnsi="Helvetica" w:cs="Times New Roman"/>
          <w:szCs w:val="24"/>
          <w:lang w:val="en-US"/>
        </w:rPr>
        <w:t>RL: Reproductive lifespan in years (computed from LG and SM)</w:t>
      </w:r>
    </w:p>
    <w:p w14:paraId="3D4EE218" w14:textId="77777777" w:rsidR="00026313" w:rsidRPr="00026313" w:rsidRDefault="00026313" w:rsidP="00026313">
      <w:pPr>
        <w:rPr>
          <w:rFonts w:ascii="Helvetica" w:eastAsia="Cambria" w:hAnsi="Helvetica" w:cs="Times New Roman"/>
          <w:szCs w:val="24"/>
          <w:lang w:val="en-US"/>
        </w:rPr>
      </w:pPr>
      <w:r w:rsidRPr="00026313">
        <w:rPr>
          <w:rFonts w:ascii="Helvetica" w:eastAsia="Cambria" w:hAnsi="Helvetica" w:cs="Times New Roman"/>
          <w:szCs w:val="24"/>
          <w:lang w:val="en-US"/>
        </w:rPr>
        <w:t>OV: offspring value as per equation (see protocol)</w:t>
      </w:r>
    </w:p>
    <w:p w14:paraId="16448DAF" w14:textId="77777777" w:rsidR="00026313" w:rsidRPr="00026313" w:rsidRDefault="00026313" w:rsidP="00026313">
      <w:pPr>
        <w:rPr>
          <w:rFonts w:ascii="Helvetica" w:eastAsia="Cambria" w:hAnsi="Helvetica" w:cs="Times New Roman"/>
          <w:szCs w:val="24"/>
          <w:lang w:val="en-US"/>
        </w:rPr>
      </w:pPr>
      <w:r w:rsidRPr="00026313">
        <w:rPr>
          <w:rFonts w:ascii="Helvetica" w:eastAsia="Cambria" w:hAnsi="Helvetica" w:cs="Times New Roman"/>
          <w:szCs w:val="24"/>
          <w:lang w:val="en-US"/>
        </w:rPr>
        <w:t>PA: Parity (1 = viviparous or ov</w:t>
      </w:r>
      <w:r>
        <w:rPr>
          <w:rFonts w:ascii="Helvetica" w:eastAsia="Cambria" w:hAnsi="Helvetica" w:cs="Times New Roman"/>
          <w:szCs w:val="24"/>
          <w:lang w:val="en-US"/>
        </w:rPr>
        <w:t>ov</w:t>
      </w:r>
      <w:r w:rsidRPr="00026313">
        <w:rPr>
          <w:rFonts w:ascii="Helvetica" w:eastAsia="Cambria" w:hAnsi="Helvetica" w:cs="Times New Roman"/>
          <w:szCs w:val="24"/>
          <w:lang w:val="en-US"/>
        </w:rPr>
        <w:t>iviparous, 0 = oviparous)</w:t>
      </w:r>
    </w:p>
    <w:p w14:paraId="5EFC39AE" w14:textId="77777777" w:rsidR="00026313" w:rsidRDefault="00026313" w:rsidP="00026313">
      <w:pPr>
        <w:rPr>
          <w:rFonts w:ascii="Helvetica" w:eastAsia="Cambria" w:hAnsi="Helvetica" w:cs="Times New Roman"/>
          <w:szCs w:val="24"/>
          <w:lang w:val="en-US"/>
        </w:rPr>
      </w:pPr>
      <w:r w:rsidRPr="00026313">
        <w:rPr>
          <w:rFonts w:ascii="Helvetica" w:eastAsia="Cambria" w:hAnsi="Helvetica" w:cs="Times New Roman"/>
          <w:szCs w:val="24"/>
          <w:lang w:val="en-US"/>
        </w:rPr>
        <w:t>PG: Known parthenogenetic reproduction</w:t>
      </w:r>
    </w:p>
    <w:p w14:paraId="0D3DB084" w14:textId="77777777" w:rsidR="00026313" w:rsidRDefault="00026313" w:rsidP="00026313">
      <w:pPr>
        <w:rPr>
          <w:rFonts w:ascii="Helvetica" w:eastAsia="Cambria" w:hAnsi="Helvetica" w:cs="Times New Roman"/>
          <w:szCs w:val="24"/>
          <w:lang w:val="en-US"/>
        </w:rPr>
      </w:pPr>
    </w:p>
    <w:p w14:paraId="12A96570" w14:textId="77777777" w:rsidR="00026313" w:rsidRDefault="00026313" w:rsidP="00026313">
      <w:pPr>
        <w:rPr>
          <w:rFonts w:ascii="Helvetica" w:eastAsia="Cambria" w:hAnsi="Helvetica" w:cs="Times New Roman"/>
          <w:b/>
          <w:szCs w:val="24"/>
          <w:lang w:val="en-US"/>
        </w:rPr>
      </w:pPr>
      <w:r w:rsidRPr="00026313">
        <w:rPr>
          <w:rFonts w:ascii="Helvetica" w:eastAsia="Cambria" w:hAnsi="Helvetica" w:cs="Times New Roman"/>
          <w:b/>
          <w:szCs w:val="24"/>
          <w:lang w:val="en-US"/>
        </w:rPr>
        <w:t>References</w:t>
      </w:r>
    </w:p>
    <w:p w14:paraId="07A536FC" w14:textId="77777777" w:rsidR="00EA2F40" w:rsidRPr="00092C31" w:rsidRDefault="00EA2F40" w:rsidP="00EA2F40">
      <w:pPr>
        <w:widowControl w:val="0"/>
        <w:autoSpaceDE w:val="0"/>
        <w:autoSpaceDN w:val="0"/>
        <w:adjustRightInd w:val="0"/>
        <w:spacing w:line="240" w:lineRule="auto"/>
        <w:rPr>
          <w:rFonts w:ascii="Calibri" w:hAnsi="Calibri" w:cs="Times New Roman"/>
          <w:noProof/>
          <w:szCs w:val="24"/>
        </w:rPr>
      </w:pPr>
      <w:r w:rsidRPr="00092C31">
        <w:rPr>
          <w:rFonts w:ascii="Calibri" w:hAnsi="Calibri" w:cs="Times New Roman"/>
          <w:noProof/>
          <w:szCs w:val="24"/>
        </w:rPr>
        <w:t xml:space="preserve">Bókony, V., Lendvai, Á.Z., Liker, A., Angelier, F., Wingfield, J.C. &amp; Chastel, O. (2009). Stress </w:t>
      </w:r>
      <w:r>
        <w:rPr>
          <w:rFonts w:ascii="Calibri" w:hAnsi="Calibri" w:cs="Times New Roman"/>
          <w:noProof/>
          <w:szCs w:val="24"/>
        </w:rPr>
        <w:t>r</w:t>
      </w:r>
      <w:r w:rsidRPr="00092C31">
        <w:rPr>
          <w:rFonts w:ascii="Calibri" w:hAnsi="Calibri" w:cs="Times New Roman"/>
          <w:noProof/>
          <w:szCs w:val="24"/>
        </w:rPr>
        <w:t xml:space="preserve">esponse and the </w:t>
      </w:r>
      <w:r>
        <w:rPr>
          <w:rFonts w:ascii="Calibri" w:hAnsi="Calibri" w:cs="Times New Roman"/>
          <w:noProof/>
          <w:szCs w:val="24"/>
        </w:rPr>
        <w:t>v</w:t>
      </w:r>
      <w:r w:rsidRPr="00092C31">
        <w:rPr>
          <w:rFonts w:ascii="Calibri" w:hAnsi="Calibri" w:cs="Times New Roman"/>
          <w:noProof/>
          <w:szCs w:val="24"/>
        </w:rPr>
        <w:t xml:space="preserve">alue of </w:t>
      </w:r>
      <w:r>
        <w:rPr>
          <w:rFonts w:ascii="Calibri" w:hAnsi="Calibri" w:cs="Times New Roman"/>
          <w:noProof/>
          <w:szCs w:val="24"/>
        </w:rPr>
        <w:t>r</w:t>
      </w:r>
      <w:r w:rsidRPr="00092C31">
        <w:rPr>
          <w:rFonts w:ascii="Calibri" w:hAnsi="Calibri" w:cs="Times New Roman"/>
          <w:noProof/>
          <w:szCs w:val="24"/>
        </w:rPr>
        <w:t xml:space="preserve">eproduction: </w:t>
      </w:r>
      <w:r>
        <w:rPr>
          <w:rFonts w:ascii="Calibri" w:hAnsi="Calibri" w:cs="Times New Roman"/>
          <w:noProof/>
          <w:szCs w:val="24"/>
        </w:rPr>
        <w:t>a</w:t>
      </w:r>
      <w:r w:rsidRPr="00092C31">
        <w:rPr>
          <w:rFonts w:ascii="Calibri" w:hAnsi="Calibri" w:cs="Times New Roman"/>
          <w:noProof/>
          <w:szCs w:val="24"/>
        </w:rPr>
        <w:t xml:space="preserve">re </w:t>
      </w:r>
      <w:r>
        <w:rPr>
          <w:rFonts w:ascii="Calibri" w:hAnsi="Calibri" w:cs="Times New Roman"/>
          <w:noProof/>
          <w:szCs w:val="24"/>
        </w:rPr>
        <w:t>b</w:t>
      </w:r>
      <w:r w:rsidRPr="00092C31">
        <w:rPr>
          <w:rFonts w:ascii="Calibri" w:hAnsi="Calibri" w:cs="Times New Roman"/>
          <w:noProof/>
          <w:szCs w:val="24"/>
        </w:rPr>
        <w:t xml:space="preserve">irds </w:t>
      </w:r>
      <w:r>
        <w:rPr>
          <w:rFonts w:ascii="Calibri" w:hAnsi="Calibri" w:cs="Times New Roman"/>
          <w:noProof/>
          <w:szCs w:val="24"/>
        </w:rPr>
        <w:t>p</w:t>
      </w:r>
      <w:r w:rsidRPr="00092C31">
        <w:rPr>
          <w:rFonts w:ascii="Calibri" w:hAnsi="Calibri" w:cs="Times New Roman"/>
          <w:noProof/>
          <w:szCs w:val="24"/>
        </w:rPr>
        <w:t xml:space="preserve">rudent </w:t>
      </w:r>
      <w:r>
        <w:rPr>
          <w:rFonts w:ascii="Calibri" w:hAnsi="Calibri" w:cs="Times New Roman"/>
          <w:noProof/>
          <w:szCs w:val="24"/>
        </w:rPr>
        <w:t>p</w:t>
      </w:r>
      <w:r w:rsidRPr="00092C31">
        <w:rPr>
          <w:rFonts w:ascii="Calibri" w:hAnsi="Calibri" w:cs="Times New Roman"/>
          <w:noProof/>
          <w:szCs w:val="24"/>
        </w:rPr>
        <w:t xml:space="preserve">arents? </w:t>
      </w:r>
      <w:r w:rsidRPr="00092C31">
        <w:rPr>
          <w:rFonts w:ascii="Calibri" w:hAnsi="Calibri" w:cs="Times New Roman"/>
          <w:i/>
          <w:iCs/>
          <w:noProof/>
          <w:szCs w:val="24"/>
        </w:rPr>
        <w:t>Am. Nat.</w:t>
      </w:r>
      <w:r w:rsidRPr="00092C31">
        <w:rPr>
          <w:rFonts w:ascii="Calibri" w:hAnsi="Calibri" w:cs="Times New Roman"/>
          <w:noProof/>
          <w:szCs w:val="24"/>
        </w:rPr>
        <w:t>, 173, 589–598</w:t>
      </w:r>
    </w:p>
    <w:p w14:paraId="683B04FC" w14:textId="77777777" w:rsidR="00026313" w:rsidRDefault="00026313" w:rsidP="00026313">
      <w:pPr>
        <w:rPr>
          <w:rFonts w:ascii="Calibri" w:hAnsi="Calibri" w:cs="Calibri"/>
          <w:noProof/>
          <w:szCs w:val="24"/>
        </w:rPr>
      </w:pPr>
      <w:r w:rsidRPr="00DD7C81">
        <w:rPr>
          <w:rFonts w:ascii="Calibri" w:hAnsi="Calibri" w:cs="Calibri"/>
          <w:noProof/>
          <w:szCs w:val="24"/>
        </w:rPr>
        <w:t xml:space="preserve">DAISIE. (2008). </w:t>
      </w:r>
      <w:r w:rsidRPr="00DD7C81">
        <w:rPr>
          <w:rFonts w:ascii="Calibri" w:hAnsi="Calibri" w:cs="Calibri"/>
          <w:i/>
          <w:iCs/>
          <w:noProof/>
          <w:szCs w:val="24"/>
        </w:rPr>
        <w:t>Handbook of alien species in Europe</w:t>
      </w:r>
      <w:r w:rsidRPr="00DD7C81">
        <w:rPr>
          <w:rFonts w:ascii="Calibri" w:hAnsi="Calibri" w:cs="Calibri"/>
          <w:noProof/>
          <w:szCs w:val="24"/>
        </w:rPr>
        <w:t>. Springer</w:t>
      </w:r>
      <w:r>
        <w:rPr>
          <w:rFonts w:ascii="Calibri" w:hAnsi="Calibri" w:cs="Calibri"/>
          <w:noProof/>
          <w:szCs w:val="24"/>
        </w:rPr>
        <w:t>, Dordrecht</w:t>
      </w:r>
      <w:r w:rsidRPr="00DD7C81">
        <w:rPr>
          <w:rFonts w:ascii="Calibri" w:hAnsi="Calibri" w:cs="Calibri"/>
          <w:noProof/>
          <w:szCs w:val="24"/>
        </w:rPr>
        <w:t>.</w:t>
      </w:r>
    </w:p>
    <w:p w14:paraId="3B3B3487" w14:textId="77777777" w:rsidR="00EA2F40" w:rsidRDefault="00EA2F40" w:rsidP="00026313">
      <w:pPr>
        <w:rPr>
          <w:rFonts w:ascii="Calibri" w:hAnsi="Calibri" w:cs="Calibri"/>
          <w:noProof/>
          <w:szCs w:val="24"/>
        </w:rPr>
      </w:pPr>
      <w:r w:rsidRPr="00092C31">
        <w:rPr>
          <w:rFonts w:ascii="Calibri" w:hAnsi="Calibri" w:cs="Times New Roman"/>
          <w:noProof/>
          <w:szCs w:val="24"/>
        </w:rPr>
        <w:t xml:space="preserve">Frost, D.R. (2015). </w:t>
      </w:r>
      <w:r w:rsidRPr="00092C31">
        <w:rPr>
          <w:rFonts w:ascii="Calibri" w:hAnsi="Calibri" w:cs="Times New Roman"/>
          <w:i/>
          <w:iCs/>
          <w:noProof/>
          <w:szCs w:val="24"/>
        </w:rPr>
        <w:t>Amphibian Species of the World: an Online Reference.</w:t>
      </w:r>
      <w:r w:rsidRPr="00092C31">
        <w:rPr>
          <w:rFonts w:ascii="Calibri" w:hAnsi="Calibri" w:cs="Times New Roman"/>
          <w:noProof/>
          <w:szCs w:val="24"/>
        </w:rPr>
        <w:t xml:space="preserve"> Available at: http://research.amnh.org/herpetology/amphibia/index.html. Last accessed 15 March 2015</w:t>
      </w:r>
    </w:p>
    <w:p w14:paraId="695AF7FB" w14:textId="77777777" w:rsidR="00026313" w:rsidRDefault="00026313" w:rsidP="00026313">
      <w:pPr>
        <w:rPr>
          <w:rFonts w:ascii="Calibri" w:hAnsi="Calibri" w:cs="Calibri"/>
          <w:noProof/>
          <w:szCs w:val="24"/>
        </w:rPr>
      </w:pPr>
      <w:r w:rsidRPr="00DD7C81">
        <w:rPr>
          <w:rFonts w:ascii="Calibri" w:hAnsi="Calibri" w:cs="Calibri"/>
          <w:noProof/>
          <w:szCs w:val="24"/>
        </w:rPr>
        <w:lastRenderedPageBreak/>
        <w:t>Invasive Species Specialist Group ISSG. (2014). The Global Invasive Species Database. Version 2014.1 [WWW Document]. URL http://www.issg.org/database.</w:t>
      </w:r>
    </w:p>
    <w:p w14:paraId="61E84953" w14:textId="77777777" w:rsidR="00EA2F40" w:rsidRDefault="00026313" w:rsidP="00026313">
      <w:pPr>
        <w:rPr>
          <w:rFonts w:ascii="Calibri" w:hAnsi="Calibri" w:cs="Calibri"/>
          <w:noProof/>
          <w:szCs w:val="24"/>
        </w:rPr>
      </w:pPr>
      <w:r w:rsidRPr="00DD7C81">
        <w:rPr>
          <w:rFonts w:ascii="Calibri" w:hAnsi="Calibri" w:cs="Calibri"/>
          <w:noProof/>
          <w:szCs w:val="24"/>
        </w:rPr>
        <w:t xml:space="preserve">Kraus, F. (2009). </w:t>
      </w:r>
      <w:r w:rsidRPr="00DD7C81">
        <w:rPr>
          <w:rFonts w:ascii="Calibri" w:hAnsi="Calibri" w:cs="Calibri"/>
          <w:i/>
          <w:iCs/>
          <w:noProof/>
          <w:szCs w:val="24"/>
        </w:rPr>
        <w:t>Alien reptiles and amphibians: a scientific compendium and analysis series</w:t>
      </w:r>
      <w:r w:rsidRPr="00DD7C81">
        <w:rPr>
          <w:rFonts w:ascii="Calibri" w:hAnsi="Calibri" w:cs="Calibri"/>
          <w:noProof/>
          <w:szCs w:val="24"/>
        </w:rPr>
        <w:t>. Springer Verlag, Dordrecht, Holland.</w:t>
      </w:r>
    </w:p>
    <w:p w14:paraId="2751D9A2" w14:textId="77777777" w:rsidR="00026313" w:rsidRDefault="00026313" w:rsidP="00026313">
      <w:pPr>
        <w:rPr>
          <w:rFonts w:ascii="Calibri" w:hAnsi="Calibri" w:cs="Calibri"/>
          <w:noProof/>
          <w:szCs w:val="24"/>
        </w:rPr>
      </w:pPr>
      <w:r w:rsidRPr="00DD7C81">
        <w:rPr>
          <w:rFonts w:ascii="Calibri" w:hAnsi="Calibri" w:cs="Calibri"/>
          <w:noProof/>
          <w:szCs w:val="24"/>
        </w:rPr>
        <w:t xml:space="preserve">Lever. (2003). </w:t>
      </w:r>
      <w:r w:rsidRPr="00DD7C81">
        <w:rPr>
          <w:rFonts w:ascii="Calibri" w:hAnsi="Calibri" w:cs="Calibri"/>
          <w:i/>
          <w:iCs/>
          <w:noProof/>
          <w:szCs w:val="24"/>
        </w:rPr>
        <w:t>Naturalized Reptiles and Amphibians of the World</w:t>
      </w:r>
      <w:r w:rsidRPr="00DD7C81">
        <w:rPr>
          <w:rFonts w:ascii="Calibri" w:hAnsi="Calibri" w:cs="Calibri"/>
          <w:noProof/>
          <w:szCs w:val="24"/>
        </w:rPr>
        <w:t>. Oxford University Press, New York.</w:t>
      </w:r>
    </w:p>
    <w:p w14:paraId="0A16E596" w14:textId="77777777" w:rsidR="00EA2F40" w:rsidRDefault="00EA2F40" w:rsidP="00026313">
      <w:pPr>
        <w:rPr>
          <w:rFonts w:ascii="Calibri" w:hAnsi="Calibri" w:cs="Times New Roman"/>
          <w:noProof/>
          <w:szCs w:val="24"/>
        </w:rPr>
      </w:pPr>
      <w:r w:rsidRPr="00092C31">
        <w:rPr>
          <w:rFonts w:ascii="Calibri" w:hAnsi="Calibri" w:cs="Times New Roman"/>
          <w:noProof/>
          <w:szCs w:val="24"/>
        </w:rPr>
        <w:t xml:space="preserve">Sol, D., Maspons, J., Vall-llosera, M., Bartomeus, I., Garcia-Pena, G.E., Pinol, J., </w:t>
      </w:r>
      <w:r w:rsidRPr="00092C31">
        <w:rPr>
          <w:rFonts w:ascii="Calibri" w:hAnsi="Calibri" w:cs="Times New Roman"/>
          <w:i/>
          <w:iCs/>
          <w:noProof/>
          <w:szCs w:val="24"/>
        </w:rPr>
        <w:t>et al.</w:t>
      </w:r>
      <w:r w:rsidRPr="00092C31">
        <w:rPr>
          <w:rFonts w:ascii="Calibri" w:hAnsi="Calibri" w:cs="Times New Roman"/>
          <w:noProof/>
          <w:szCs w:val="24"/>
        </w:rPr>
        <w:t xml:space="preserve"> (2012). Unraveling the Life History of Successful Invaders. </w:t>
      </w:r>
      <w:r w:rsidRPr="00092C31">
        <w:rPr>
          <w:rFonts w:ascii="Calibri" w:hAnsi="Calibri" w:cs="Times New Roman"/>
          <w:i/>
          <w:iCs/>
          <w:noProof/>
          <w:szCs w:val="24"/>
        </w:rPr>
        <w:t>Science (80-. ).</w:t>
      </w:r>
      <w:r w:rsidRPr="00092C31">
        <w:rPr>
          <w:rFonts w:ascii="Calibri" w:hAnsi="Calibri" w:cs="Times New Roman"/>
          <w:noProof/>
          <w:szCs w:val="24"/>
        </w:rPr>
        <w:t>, 337, 580–583</w:t>
      </w:r>
    </w:p>
    <w:p w14:paraId="2B7254C7" w14:textId="77777777" w:rsidR="003A7506" w:rsidRPr="00026313" w:rsidRDefault="003A7506" w:rsidP="00026313">
      <w:pPr>
        <w:rPr>
          <w:b/>
        </w:rPr>
      </w:pPr>
      <w:r w:rsidRPr="00092C31">
        <w:rPr>
          <w:rFonts w:ascii="Calibri" w:hAnsi="Calibri" w:cs="Times New Roman"/>
          <w:noProof/>
          <w:szCs w:val="24"/>
        </w:rPr>
        <w:t xml:space="preserve">Uetz, P. &amp; Hošek, J. (2015). </w:t>
      </w:r>
      <w:r w:rsidRPr="00092C31">
        <w:rPr>
          <w:rFonts w:ascii="Calibri" w:hAnsi="Calibri" w:cs="Times New Roman"/>
          <w:i/>
          <w:iCs/>
          <w:noProof/>
          <w:szCs w:val="24"/>
        </w:rPr>
        <w:t>The Reptile Database</w:t>
      </w:r>
      <w:r w:rsidRPr="00092C31">
        <w:rPr>
          <w:rFonts w:ascii="Calibri" w:hAnsi="Calibri" w:cs="Times New Roman"/>
          <w:noProof/>
          <w:szCs w:val="24"/>
        </w:rPr>
        <w:t>. Available at: http://www.reptile-database.org.</w:t>
      </w:r>
    </w:p>
    <w:sectPr w:rsidR="003A7506" w:rsidRPr="00026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FFE"/>
    <w:rsid w:val="00026313"/>
    <w:rsid w:val="001B4DDC"/>
    <w:rsid w:val="003A7506"/>
    <w:rsid w:val="003E72FF"/>
    <w:rsid w:val="00970FB2"/>
    <w:rsid w:val="009F0A37"/>
    <w:rsid w:val="00C344D3"/>
    <w:rsid w:val="00CB53EE"/>
    <w:rsid w:val="00EA2F40"/>
    <w:rsid w:val="00F20D5E"/>
    <w:rsid w:val="00FC7F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5D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FFE"/>
    <w:pPr>
      <w:spacing w:after="160" w:line="259" w:lineRule="auto"/>
    </w:pPr>
  </w:style>
  <w:style w:type="paragraph" w:styleId="Heading1">
    <w:name w:val="heading 1"/>
    <w:basedOn w:val="Normal"/>
    <w:next w:val="Normal"/>
    <w:link w:val="Heading1Char"/>
    <w:uiPriority w:val="9"/>
    <w:qFormat/>
    <w:rsid w:val="00FC7F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FFE"/>
    <w:rPr>
      <w:rFonts w:asciiTheme="majorHAnsi" w:eastAsiaTheme="majorEastAsia" w:hAnsiTheme="majorHAnsi" w:cstheme="majorBidi"/>
      <w:color w:val="365F91" w:themeColor="accent1" w:themeShade="BF"/>
      <w:sz w:val="32"/>
      <w:szCs w:val="32"/>
    </w:rPr>
  </w:style>
  <w:style w:type="paragraph" w:customStyle="1" w:styleId="Subheading">
    <w:name w:val="Subheading"/>
    <w:basedOn w:val="Normal"/>
    <w:autoRedefine/>
    <w:qFormat/>
    <w:rsid w:val="00FC7FFE"/>
    <w:pPr>
      <w:keepNext/>
      <w:spacing w:after="200" w:line="480" w:lineRule="auto"/>
    </w:pPr>
    <w:rPr>
      <w:rFonts w:ascii="Calibri" w:eastAsia="Cambria" w:hAnsi="Calibri" w:cs="Times New Roman"/>
      <w:b/>
      <w:sz w:val="24"/>
      <w:szCs w:val="24"/>
    </w:rPr>
  </w:style>
  <w:style w:type="paragraph" w:customStyle="1" w:styleId="BodytextfirstIC">
    <w:name w:val="Body text first IC"/>
    <w:basedOn w:val="Normal"/>
    <w:autoRedefine/>
    <w:qFormat/>
    <w:rsid w:val="00FC7FFE"/>
    <w:pPr>
      <w:spacing w:after="200" w:line="480" w:lineRule="auto"/>
    </w:pPr>
    <w:rPr>
      <w:rFonts w:ascii="Helvetica" w:eastAsia="Cambria" w:hAnsi="Helvetica" w:cs="Times New Roman"/>
      <w:szCs w:val="24"/>
      <w:lang w:val="en-US"/>
    </w:rPr>
  </w:style>
  <w:style w:type="paragraph" w:styleId="BalloonText">
    <w:name w:val="Balloon Text"/>
    <w:basedOn w:val="Normal"/>
    <w:link w:val="BalloonTextChar"/>
    <w:uiPriority w:val="99"/>
    <w:semiHidden/>
    <w:unhideWhenUsed/>
    <w:rsid w:val="00FC7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FF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FFE"/>
    <w:pPr>
      <w:spacing w:after="160" w:line="259" w:lineRule="auto"/>
    </w:pPr>
  </w:style>
  <w:style w:type="paragraph" w:styleId="Heading1">
    <w:name w:val="heading 1"/>
    <w:basedOn w:val="Normal"/>
    <w:next w:val="Normal"/>
    <w:link w:val="Heading1Char"/>
    <w:uiPriority w:val="9"/>
    <w:qFormat/>
    <w:rsid w:val="00FC7F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FFE"/>
    <w:rPr>
      <w:rFonts w:asciiTheme="majorHAnsi" w:eastAsiaTheme="majorEastAsia" w:hAnsiTheme="majorHAnsi" w:cstheme="majorBidi"/>
      <w:color w:val="365F91" w:themeColor="accent1" w:themeShade="BF"/>
      <w:sz w:val="32"/>
      <w:szCs w:val="32"/>
    </w:rPr>
  </w:style>
  <w:style w:type="paragraph" w:customStyle="1" w:styleId="Subheading">
    <w:name w:val="Subheading"/>
    <w:basedOn w:val="Normal"/>
    <w:autoRedefine/>
    <w:qFormat/>
    <w:rsid w:val="00FC7FFE"/>
    <w:pPr>
      <w:keepNext/>
      <w:spacing w:after="200" w:line="480" w:lineRule="auto"/>
    </w:pPr>
    <w:rPr>
      <w:rFonts w:ascii="Calibri" w:eastAsia="Cambria" w:hAnsi="Calibri" w:cs="Times New Roman"/>
      <w:b/>
      <w:sz w:val="24"/>
      <w:szCs w:val="24"/>
    </w:rPr>
  </w:style>
  <w:style w:type="paragraph" w:customStyle="1" w:styleId="BodytextfirstIC">
    <w:name w:val="Body text first IC"/>
    <w:basedOn w:val="Normal"/>
    <w:autoRedefine/>
    <w:qFormat/>
    <w:rsid w:val="00FC7FFE"/>
    <w:pPr>
      <w:spacing w:after="200" w:line="480" w:lineRule="auto"/>
    </w:pPr>
    <w:rPr>
      <w:rFonts w:ascii="Helvetica" w:eastAsia="Cambria" w:hAnsi="Helvetica" w:cs="Times New Roman"/>
      <w:szCs w:val="24"/>
      <w:lang w:val="en-US"/>
    </w:rPr>
  </w:style>
  <w:style w:type="paragraph" w:styleId="BalloonText">
    <w:name w:val="Balloon Text"/>
    <w:basedOn w:val="Normal"/>
    <w:link w:val="BalloonTextChar"/>
    <w:uiPriority w:val="99"/>
    <w:semiHidden/>
    <w:unhideWhenUsed/>
    <w:rsid w:val="00FC7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F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062397">
      <w:bodyDiv w:val="1"/>
      <w:marLeft w:val="0"/>
      <w:marRight w:val="0"/>
      <w:marTop w:val="0"/>
      <w:marBottom w:val="0"/>
      <w:divBdr>
        <w:top w:val="none" w:sz="0" w:space="0" w:color="auto"/>
        <w:left w:val="none" w:sz="0" w:space="0" w:color="auto"/>
        <w:bottom w:val="none" w:sz="0" w:space="0" w:color="auto"/>
        <w:right w:val="none" w:sz="0" w:space="0" w:color="auto"/>
      </w:divBdr>
    </w:div>
    <w:div w:id="1767922657">
      <w:bodyDiv w:val="1"/>
      <w:marLeft w:val="0"/>
      <w:marRight w:val="0"/>
      <w:marTop w:val="0"/>
      <w:marBottom w:val="0"/>
      <w:divBdr>
        <w:top w:val="none" w:sz="0" w:space="0" w:color="auto"/>
        <w:left w:val="none" w:sz="0" w:space="0" w:color="auto"/>
        <w:bottom w:val="none" w:sz="0" w:space="0" w:color="auto"/>
        <w:right w:val="none" w:sz="0" w:space="0" w:color="auto"/>
      </w:divBdr>
    </w:div>
    <w:div w:id="20060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EE2D5-80A6-094C-9062-B1B4C33C0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1128</Words>
  <Characters>6435</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Allen</dc:creator>
  <cp:lastModifiedBy>Isabella Capellini</cp:lastModifiedBy>
  <cp:revision>4</cp:revision>
  <dcterms:created xsi:type="dcterms:W3CDTF">2016-12-02T10:38:00Z</dcterms:created>
  <dcterms:modified xsi:type="dcterms:W3CDTF">2016-12-02T15:34:00Z</dcterms:modified>
</cp:coreProperties>
</file>