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F24FB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2025 年部门销售额达到 1200 万元，同比增长 15%。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主要增长来自华东地区的线上渠道，物流成本下降了 8%。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60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2026-05-11T11:51:31Z</dcterms:created>
  <dc:creator>huangyihao</dc:creator>
  <cp:lastModifiedBy>Hank</cp:lastModifiedBy>
  <dcterms:modified xsi:type="dcterms:W3CDTF">2026-05-11T11:51:37Z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eyJoZGlkIjoiYzMzZjkwZjZiMTgxYTM3YmFjNGI2ZGNlZmEwM2FhYzAiLCJ1c2VySWQiOiI4Mzk0MTg1NzQifQ==</vt:lpwstr>
  </property>
  <property fmtid="{D5CDD505-2E9C-101B-9397-08002B2CF9AE}" pid="4" name="ICV">
    <vt:lpwstr>132511850DD04FBA88CF5330968C3418_12</vt:lpwstr>
  </property>
</Properties>
</file>