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</w:rPr>
        <w:t>PHÂN TÍCH QUY TRÌNH QL1 – QUẢN LÝ CHUỖI CUNG ỨNG &amp; THU MUA NÔNG SẢN (PHÊ DUYỆT NCC)</w:t>
      </w:r>
    </w:p>
    <w:p>
      <w:r>
        <w:rPr>
          <w:i/>
        </w:rPr>
        <w:t>Sinh viên: Nguyễn Đức Nghĩa – MSSV 25410262 · Trích Chương 2 – Bộ 6 mục phân tích</w:t>
      </w:r>
    </w:p>
    <w:p>
      <w:pPr>
        <w:pStyle w:val="Heading2"/>
        <w:spacing w:after="200" w:before="400"/>
      </w:pPr>
      <w:r>
        <w:t xml:space="preserve">PHÂN TÍCH QL1 – QUẢN LÝ CHUỖI CUNG ỨNG &amp; THU MUA NÔNG SẢN</w:t>
      </w:r>
    </w:p>
    <w:p>
      <w:pPr>
        <w:pStyle w:val="Heading3"/>
      </w:pPr>
      <w:r>
        <w:t xml:space="preserve">2.5.1 Mục tiêu &amp; Phạm vi</w:t>
      </w:r>
    </w:p>
    <w:p>
      <w:pPr>
        <w:spacing w:after="100"/>
      </w:pPr>
      <w:r>
        <w:t xml:space="preserve">Mục tiêu: Bảo đảm nguồn nông sản ổn định, chất lượng, có khả năng truy xuất được nguồn gốc, giá cạnh tranh và phù hợp ngân sách doanh nghiệp.</w:t>
      </w:r>
    </w:p>
    <w:p>
      <w:pPr>
        <w:spacing w:after="200"/>
      </w:pPr>
      <w:r>
        <w:t xml:space="preserve">Phạm vi: Từ khi Bộ phận Kế hoạch / Cửa hàng phát sinh nhu cầu → Kho &amp; Kế toán xác nhận nhập kho và đối soát thanh toán cho NCC.</w:t>
      </w:r>
    </w:p>
    <w:p>
      <w:pPr>
        <w:pStyle w:val="Heading3"/>
      </w:pPr>
      <w:r>
        <w:t xml:space="preserve">2.5.2 Các bên liên quan (RACI)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500"/>
            <w:shd w:fill="D9E1F2" w:val="clea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t xml:space="preserve">Bên liên quan</w:t>
            </w:r>
          </w:p>
        </w:tc>
        <w:tc>
          <w:tcPr>
            <w:tcW w:type="dxa" w:w="1000"/>
            <w:shd w:fill="D9E1F2" w:val="clea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t xml:space="preserve">R</w:t>
            </w:r>
          </w:p>
        </w:tc>
        <w:tc>
          <w:tcPr>
            <w:tcW w:type="dxa" w:w="1000"/>
            <w:shd w:fill="D9E1F2" w:val="clea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t xml:space="preserve">A</w:t>
            </w:r>
          </w:p>
        </w:tc>
        <w:tc>
          <w:tcPr>
            <w:tcW w:type="dxa" w:w="1000"/>
            <w:shd w:fill="D9E1F2" w:val="clea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t xml:space="preserve">C</w:t>
            </w:r>
          </w:p>
        </w:tc>
        <w:tc>
          <w:tcPr>
            <w:tcW w:type="dxa" w:w="1000"/>
            <w:shd w:fill="D9E1F2" w:val="clea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t xml:space="preserve">I</w:t>
            </w:r>
          </w:p>
        </w:tc>
      </w:tr>
      <w:tr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Bộ phận Kế hoạch / Cửa hàng</w:t>
            </w:r>
          </w:p>
        </w:tc>
        <w:tc>
          <w:tcPr>
            <w:tcW w:type="dxa" w:w="1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✓</w:t>
            </w:r>
          </w:p>
        </w:tc>
        <w:tc>
          <w:tcPr>
            <w:tcW w:type="dxa" w:w="1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</w:p>
        </w:tc>
        <w:tc>
          <w:tcPr>
            <w:tcW w:type="dxa" w:w="1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</w:p>
        </w:tc>
        <w:tc>
          <w:tcPr>
            <w:tcW w:type="dxa" w:w="1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✓</w:t>
            </w:r>
          </w:p>
        </w:tc>
      </w:tr>
      <w:tr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Phòng Thu mua</w:t>
            </w:r>
          </w:p>
        </w:tc>
        <w:tc>
          <w:tcPr>
            <w:tcW w:type="dxa" w:w="1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✓</w:t>
            </w:r>
          </w:p>
        </w:tc>
        <w:tc>
          <w:tcPr>
            <w:tcW w:type="dxa" w:w="1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✓</w:t>
            </w:r>
          </w:p>
        </w:tc>
        <w:tc>
          <w:tcPr>
            <w:tcW w:type="dxa" w:w="1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</w:p>
        </w:tc>
        <w:tc>
          <w:tcPr>
            <w:tcW w:type="dxa" w:w="1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</w:p>
        </w:tc>
      </w:tr>
      <w:tr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Nhà cung cấp (nông trại)</w:t>
            </w:r>
          </w:p>
        </w:tc>
        <w:tc>
          <w:tcPr>
            <w:tcW w:type="dxa" w:w="1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✓</w:t>
            </w:r>
          </w:p>
        </w:tc>
        <w:tc>
          <w:tcPr>
            <w:tcW w:type="dxa" w:w="1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</w:p>
        </w:tc>
        <w:tc>
          <w:tcPr>
            <w:tcW w:type="dxa" w:w="1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✓</w:t>
            </w:r>
          </w:p>
        </w:tc>
        <w:tc>
          <w:tcPr>
            <w:tcW w:type="dxa" w:w="1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</w:p>
        </w:tc>
      </w:tr>
      <w:tr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Phòng QA/QC</w:t>
            </w:r>
          </w:p>
        </w:tc>
        <w:tc>
          <w:tcPr>
            <w:tcW w:type="dxa" w:w="1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✓</w:t>
            </w:r>
          </w:p>
        </w:tc>
        <w:tc>
          <w:tcPr>
            <w:tcW w:type="dxa" w:w="1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</w:p>
        </w:tc>
        <w:tc>
          <w:tcPr>
            <w:tcW w:type="dxa" w:w="1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✓</w:t>
            </w:r>
          </w:p>
        </w:tc>
        <w:tc>
          <w:tcPr>
            <w:tcW w:type="dxa" w:w="1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</w:p>
        </w:tc>
      </w:tr>
      <w:tr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Ban Giám đốc</w:t>
            </w:r>
          </w:p>
        </w:tc>
        <w:tc>
          <w:tcPr>
            <w:tcW w:type="dxa" w:w="1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</w:p>
        </w:tc>
        <w:tc>
          <w:tcPr>
            <w:tcW w:type="dxa" w:w="1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✓</w:t>
            </w:r>
          </w:p>
        </w:tc>
        <w:tc>
          <w:tcPr>
            <w:tcW w:type="dxa" w:w="1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</w:p>
        </w:tc>
        <w:tc>
          <w:tcPr>
            <w:tcW w:type="dxa" w:w="1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✓</w:t>
            </w:r>
          </w:p>
        </w:tc>
      </w:tr>
      <w:tr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Kho &amp; Kế toán</w:t>
            </w:r>
          </w:p>
        </w:tc>
        <w:tc>
          <w:tcPr>
            <w:tcW w:type="dxa" w:w="1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✓</w:t>
            </w:r>
          </w:p>
        </w:tc>
        <w:tc>
          <w:tcPr>
            <w:tcW w:type="dxa" w:w="1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</w:p>
        </w:tc>
        <w:tc>
          <w:tcPr>
            <w:tcW w:type="dxa" w:w="1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</w:p>
        </w:tc>
        <w:tc>
          <w:tcPr>
            <w:tcW w:type="dxa" w:w="1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✓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2.5.3 Đầu vào – Đầu ra (SIPOC)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D9E1F2" w:val="clea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t xml:space="preserve">Yếu tố</w:t>
            </w:r>
          </w:p>
        </w:tc>
        <w:tc>
          <w:tcPr>
            <w:tcW w:type="dxa" w:w="8000"/>
            <w:shd w:fill="D9E1F2" w:val="clea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t xml:space="preserve">Chi tiết</w:t>
            </w:r>
          </w:p>
        </w:tc>
      </w:tr>
      <w:tr>
        <w:tc>
          <w:tcPr>
            <w:tcW w:type="dxa" w:w="2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Suppliers (Nhà cung cấp)</w:t>
            </w:r>
          </w:p>
        </w:tc>
        <w:tc>
          <w:tcPr>
            <w:tcW w:type="dxa" w:w="8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Các nông trại, hợp tác xã, cơ sở sản xuất nông sản đã được phê duyệt hoặc tiềm năng</w:t>
            </w:r>
          </w:p>
        </w:tc>
      </w:tr>
      <w:tr>
        <w:tc>
          <w:tcPr>
            <w:tcW w:type="dxa" w:w="2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Inputs (Đầu vào)</w:t>
            </w:r>
          </w:p>
        </w:tc>
        <w:tc>
          <w:tcPr>
            <w:tcW w:type="dxa" w:w="8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Kế hoạch nhu cầu hàng hóa từ các cửa hàng; Hồ sơ, chứng nhận VietGAP/GlobalGAP, mẫu sản phẩm từ NCC; Yêu cầu ngân sách, giá, điều kiện giao hàng</w:t>
            </w:r>
          </w:p>
        </w:tc>
      </w:tr>
      <w:tr>
        <w:tc>
          <w:tcPr>
            <w:tcW w:type="dxa" w:w="2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Process (Quy trình)</w:t>
            </w:r>
          </w:p>
        </w:tc>
        <w:tc>
          <w:tcPr>
            <w:tcW w:type="dxa" w:w="8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Khảo sát &amp; lập danh sách NCC → Thẩm định hồ sơ &amp; kiểm mẫu → Đàm phán &amp; lập tờ trình → Phê duyệt &amp; ký hợp đồng → Phát hành PO → Nhận hàng &amp; QA/QC → Nhập kho → Đối soát thanh toán</w:t>
            </w:r>
          </w:p>
        </w:tc>
      </w:tr>
      <w:tr>
        <w:tc>
          <w:tcPr>
            <w:tcW w:type="dxa" w:w="2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Outputs (Đầu ra)</w:t>
            </w:r>
          </w:p>
        </w:tc>
        <w:tc>
          <w:tcPr>
            <w:tcW w:type="dxa" w:w="8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NCC được phê duyệt &amp; khai báo trên ERP; Hợp đồng khung &amp; tờ trình phê duyệt; Đơn đặt hàng (PO) hàng tuần; Lô hàng nhập kho với số lượng &amp; hạn dùng chính xác; Thanh toán cho NCC</w:t>
            </w:r>
          </w:p>
        </w:tc>
      </w:tr>
      <w:tr>
        <w:tc>
          <w:tcPr>
            <w:tcW w:type="dxa" w:w="2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Customers (Khách)</w:t>
            </w:r>
          </w:p>
        </w:tc>
        <w:tc>
          <w:tcPr>
            <w:tcW w:type="dxa" w:w="8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Các cửa hàng bán lẻ Farmers Market, khách hàng cuối cùng (qua CL1 &amp; CL2)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2.5.4 Mô tả chi tiết các bước AS-IS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800"/>
            <w:shd w:fill="D9E1F2" w:val="clea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t xml:space="preserve">Bước</w:t>
            </w:r>
          </w:p>
        </w:tc>
        <w:tc>
          <w:tcPr>
            <w:tcW w:type="dxa" w:w="2500"/>
            <w:shd w:fill="D9E1F2" w:val="clea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t xml:space="preserve">Hoạt động</w:t>
            </w:r>
          </w:p>
        </w:tc>
        <w:tc>
          <w:tcPr>
            <w:tcW w:type="dxa" w:w="2000"/>
            <w:shd w:fill="D9E1F2" w:val="clea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t xml:space="preserve">Người thực hiện</w:t>
            </w:r>
          </w:p>
        </w:tc>
        <w:tc>
          <w:tcPr>
            <w:tcW w:type="dxa" w:w="1500"/>
            <w:shd w:fill="D9E1F2" w:val="clea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t xml:space="preserve">Hệ thống</w:t>
            </w:r>
          </w:p>
        </w:tc>
        <w:tc>
          <w:tcPr>
            <w:tcW w:type="dxa" w:w="1200"/>
            <w:shd w:fill="D9E1F2" w:val="clea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t xml:space="preserve">Thời gian</w:t>
            </w:r>
          </w:p>
        </w:tc>
      </w:tr>
      <w:tr>
        <w:tc>
          <w:tcPr>
            <w:tcW w:type="dxa" w:w="8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1</w:t>
            </w:r>
          </w:p>
        </w:tc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Phát sinh nhu cầu nguồn hàng</w:t>
            </w:r>
          </w:p>
        </w:tc>
        <w:tc>
          <w:tcPr>
            <w:tcW w:type="dxa" w:w="2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Kế hoạch / Cửa hàng</w:t>
            </w:r>
          </w:p>
        </w:tc>
        <w:tc>
          <w:tcPr>
            <w:tcW w:type="dxa" w:w="1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ERP</w:t>
            </w:r>
          </w:p>
        </w:tc>
        <w:tc>
          <w:tcPr>
            <w:tcW w:type="dxa" w:w="12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1–2 ngày</w:t>
            </w:r>
          </w:p>
        </w:tc>
      </w:tr>
      <w:tr>
        <w:tc>
          <w:tcPr>
            <w:tcW w:type="dxa" w:w="8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2</w:t>
            </w:r>
          </w:p>
        </w:tc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Khảo sát thị trường, lập danh sách NCC tiềm năng</w:t>
            </w:r>
          </w:p>
        </w:tc>
        <w:tc>
          <w:tcPr>
            <w:tcW w:type="dxa" w:w="2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Thu mua</w:t>
            </w:r>
          </w:p>
        </w:tc>
        <w:tc>
          <w:tcPr>
            <w:tcW w:type="dxa" w:w="1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Excel/CRM</w:t>
            </w:r>
          </w:p>
        </w:tc>
        <w:tc>
          <w:tcPr>
            <w:tcW w:type="dxa" w:w="12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1 tuần</w:t>
            </w:r>
          </w:p>
        </w:tc>
      </w:tr>
      <w:tr>
        <w:tc>
          <w:tcPr>
            <w:tcW w:type="dxa" w:w="8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3</w:t>
            </w:r>
          </w:p>
        </w:tc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NCC nộp hồ sơ năng lực, chứng nhận, mẫu sản phẩm</w:t>
            </w:r>
          </w:p>
        </w:tc>
        <w:tc>
          <w:tcPr>
            <w:tcW w:type="dxa" w:w="2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NCC</w:t>
            </w:r>
          </w:p>
        </w:tc>
        <w:tc>
          <w:tcPr>
            <w:tcW w:type="dxa" w:w="1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Email/Portal</w:t>
            </w:r>
          </w:p>
        </w:tc>
        <w:tc>
          <w:tcPr>
            <w:tcW w:type="dxa" w:w="12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3–5 ngày</w:t>
            </w:r>
          </w:p>
        </w:tc>
      </w:tr>
      <w:tr>
        <w:tc>
          <w:tcPr>
            <w:tcW w:type="dxa" w:w="8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4</w:t>
            </w:r>
          </w:p>
        </w:tc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Thẩm định hồ sơ, kiểm nghiệm mẫu, đánh giá nông trại</w:t>
            </w:r>
          </w:p>
        </w:tc>
        <w:tc>
          <w:tcPr>
            <w:tcW w:type="dxa" w:w="2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QA/QC + Thu mua</w:t>
            </w:r>
          </w:p>
        </w:tc>
        <w:tc>
          <w:tcPr>
            <w:tcW w:type="dxa" w:w="1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Lab + ERP</w:t>
            </w:r>
          </w:p>
        </w:tc>
        <w:tc>
          <w:tcPr>
            <w:tcW w:type="dxa" w:w="12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5–7 ngày</w:t>
            </w:r>
          </w:p>
        </w:tc>
      </w:tr>
      <w:tr>
        <w:tc>
          <w:tcPr>
            <w:tcW w:type="dxa" w:w="8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5</w:t>
            </w:r>
          </w:p>
        </w:tc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Quyết định: Đạt chuẩn ATTP?</w:t>
            </w:r>
          </w:p>
        </w:tc>
        <w:tc>
          <w:tcPr>
            <w:tcW w:type="dxa" w:w="2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Thu mua + QA/QC</w:t>
            </w:r>
          </w:p>
        </w:tc>
        <w:tc>
          <w:tcPr>
            <w:tcW w:type="dxa" w:w="1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HACCP/ISO 22000</w:t>
            </w:r>
          </w:p>
        </w:tc>
        <w:tc>
          <w:tcPr>
            <w:tcW w:type="dxa" w:w="12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1 ngày</w:t>
            </w:r>
          </w:p>
        </w:tc>
      </w:tr>
      <w:tr>
        <w:tc>
          <w:tcPr>
            <w:tcW w:type="dxa" w:w="8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6a</w:t>
            </w:r>
          </w:p>
        </w:tc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[Nếu không đạt] Thông báo không phù hợp, lưu hồ sơ theo dõi</w:t>
            </w:r>
          </w:p>
        </w:tc>
        <w:tc>
          <w:tcPr>
            <w:tcW w:type="dxa" w:w="2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Thu mua</w:t>
            </w:r>
          </w:p>
        </w:tc>
        <w:tc>
          <w:tcPr>
            <w:tcW w:type="dxa" w:w="1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Email</w:t>
            </w:r>
          </w:p>
        </w:tc>
        <w:tc>
          <w:tcPr>
            <w:tcW w:type="dxa" w:w="12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1 ngày</w:t>
            </w:r>
          </w:p>
        </w:tc>
      </w:tr>
      <w:tr>
        <w:tc>
          <w:tcPr>
            <w:tcW w:type="dxa" w:w="8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6b</w:t>
            </w:r>
          </w:p>
        </w:tc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[Nếu đạt] Đàm phán giá, sản lượng, điều khoản giao hàng</w:t>
            </w:r>
          </w:p>
        </w:tc>
        <w:tc>
          <w:tcPr>
            <w:tcW w:type="dxa" w:w="2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Thu mua</w:t>
            </w:r>
          </w:p>
        </w:tc>
        <w:tc>
          <w:tcPr>
            <w:tcW w:type="dxa" w:w="1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Email/Call</w:t>
            </w:r>
          </w:p>
        </w:tc>
        <w:tc>
          <w:tcPr>
            <w:tcW w:type="dxa" w:w="12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3–5 ngày</w:t>
            </w:r>
          </w:p>
        </w:tc>
      </w:tr>
      <w:tr>
        <w:tc>
          <w:tcPr>
            <w:tcW w:type="dxa" w:w="8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7</w:t>
            </w:r>
          </w:p>
        </w:tc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Lập tờ trình phê duyệt nhà cung cấp</w:t>
            </w:r>
          </w:p>
        </w:tc>
        <w:tc>
          <w:tcPr>
            <w:tcW w:type="dxa" w:w="2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Thu mua</w:t>
            </w:r>
          </w:p>
        </w:tc>
        <w:tc>
          <w:tcPr>
            <w:tcW w:type="dxa" w:w="1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Word/ERP</w:t>
            </w:r>
          </w:p>
        </w:tc>
        <w:tc>
          <w:tcPr>
            <w:tcW w:type="dxa" w:w="12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1 ngày</w:t>
            </w:r>
          </w:p>
        </w:tc>
      </w:tr>
      <w:tr>
        <w:tc>
          <w:tcPr>
            <w:tcW w:type="dxa" w:w="8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8</w:t>
            </w:r>
          </w:p>
        </w:tc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Phê duyệt từ Ban Giám đốc</w:t>
            </w:r>
          </w:p>
        </w:tc>
        <w:tc>
          <w:tcPr>
            <w:tcW w:type="dxa" w:w="2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Ban Giám đốc</w:t>
            </w:r>
          </w:p>
        </w:tc>
        <w:tc>
          <w:tcPr>
            <w:tcW w:type="dxa" w:w="1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Tờ trình + Email</w:t>
            </w:r>
          </w:p>
        </w:tc>
        <w:tc>
          <w:tcPr>
            <w:tcW w:type="dxa" w:w="12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1–2 ngày</w:t>
            </w:r>
          </w:p>
        </w:tc>
      </w:tr>
      <w:tr>
        <w:tc>
          <w:tcPr>
            <w:tcW w:type="dxa" w:w="8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9</w:t>
            </w:r>
          </w:p>
        </w:tc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Ký hợp đồng khung, khai báo NCC trên ERP</w:t>
            </w:r>
          </w:p>
        </w:tc>
        <w:tc>
          <w:tcPr>
            <w:tcW w:type="dxa" w:w="2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Thu mua + NCC</w:t>
            </w:r>
          </w:p>
        </w:tc>
        <w:tc>
          <w:tcPr>
            <w:tcW w:type="dxa" w:w="1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ERP + Hợp đồng</w:t>
            </w:r>
          </w:p>
        </w:tc>
        <w:tc>
          <w:tcPr>
            <w:tcW w:type="dxa" w:w="12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1 ngày</w:t>
            </w:r>
          </w:p>
        </w:tc>
      </w:tr>
      <w:tr>
        <w:tc>
          <w:tcPr>
            <w:tcW w:type="dxa" w:w="8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10</w:t>
            </w:r>
          </w:p>
        </w:tc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Phát hành đơn đặt hàng (PO) theo kế hoạch hàng tuần</w:t>
            </w:r>
          </w:p>
        </w:tc>
        <w:tc>
          <w:tcPr>
            <w:tcW w:type="dxa" w:w="2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Thu mua</w:t>
            </w:r>
          </w:p>
        </w:tc>
        <w:tc>
          <w:tcPr>
            <w:tcW w:type="dxa" w:w="1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ERP</w:t>
            </w:r>
          </w:p>
        </w:tc>
        <w:tc>
          <w:tcPr>
            <w:tcW w:type="dxa" w:w="12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Hàng tuần</w:t>
            </w:r>
          </w:p>
        </w:tc>
      </w:tr>
      <w:tr>
        <w:tc>
          <w:tcPr>
            <w:tcW w:type="dxa" w:w="8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11</w:t>
            </w:r>
          </w:p>
        </w:tc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Giao hàng đến kho theo PO</w:t>
            </w:r>
          </w:p>
        </w:tc>
        <w:tc>
          <w:tcPr>
            <w:tcW w:type="dxa" w:w="2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NCC + Logistics</w:t>
            </w:r>
          </w:p>
        </w:tc>
        <w:tc>
          <w:tcPr>
            <w:tcW w:type="dxa" w:w="1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GPS/Tracking</w:t>
            </w:r>
          </w:p>
        </w:tc>
        <w:tc>
          <w:tcPr>
            <w:tcW w:type="dxa" w:w="12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1–3 ngày</w:t>
            </w:r>
          </w:p>
        </w:tc>
      </w:tr>
      <w:tr>
        <w:tc>
          <w:tcPr>
            <w:tcW w:type="dxa" w:w="8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12</w:t>
            </w:r>
          </w:p>
        </w:tc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Kiểm nhận, lấy mẫu test, cân trọng lượng thực tế</w:t>
            </w:r>
          </w:p>
        </w:tc>
        <w:tc>
          <w:tcPr>
            <w:tcW w:type="dxa" w:w="2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Kho + QA/QC</w:t>
            </w:r>
          </w:p>
        </w:tc>
        <w:tc>
          <w:tcPr>
            <w:tcW w:type="dxa" w:w="1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Phiếu kiểm + Lab</w:t>
            </w:r>
          </w:p>
        </w:tc>
        <w:tc>
          <w:tcPr>
            <w:tcW w:type="dxa" w:w="12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2 giờ</w:t>
            </w:r>
          </w:p>
        </w:tc>
      </w:tr>
      <w:tr>
        <w:tc>
          <w:tcPr>
            <w:tcW w:type="dxa" w:w="8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13</w:t>
            </w:r>
          </w:p>
        </w:tc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Quyết định: Lô hàng đạt yêu cầu?</w:t>
            </w:r>
          </w:p>
        </w:tc>
        <w:tc>
          <w:tcPr>
            <w:tcW w:type="dxa" w:w="2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QA/QC + Kho</w:t>
            </w:r>
          </w:p>
        </w:tc>
        <w:tc>
          <w:tcPr>
            <w:tcW w:type="dxa" w:w="1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Tiêu chuẩn QA/QC</w:t>
            </w:r>
          </w:p>
        </w:tc>
        <w:tc>
          <w:tcPr>
            <w:tcW w:type="dxa" w:w="12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1 giờ</w:t>
            </w:r>
          </w:p>
        </w:tc>
      </w:tr>
      <w:tr>
        <w:tc>
          <w:tcPr>
            <w:tcW w:type="dxa" w:w="8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14a</w:t>
            </w:r>
          </w:p>
        </w:tc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[Nếu không đạt] Lập NCR, trả lô hàng</w:t>
            </w:r>
          </w:p>
        </w:tc>
        <w:tc>
          <w:tcPr>
            <w:tcW w:type="dxa" w:w="2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Kho + QA/QC + Thu mua</w:t>
            </w:r>
          </w:p>
        </w:tc>
        <w:tc>
          <w:tcPr>
            <w:tcW w:type="dxa" w:w="1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ERP + NCR</w:t>
            </w:r>
          </w:p>
        </w:tc>
        <w:tc>
          <w:tcPr>
            <w:tcW w:type="dxa" w:w="12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1–2 ngày</w:t>
            </w:r>
          </w:p>
        </w:tc>
      </w:tr>
      <w:tr>
        <w:tc>
          <w:tcPr>
            <w:tcW w:type="dxa" w:w="8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14b</w:t>
            </w:r>
          </w:p>
        </w:tc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[Nếu đạt] Nhập kho, cập nhật tồn &amp; hạn dùng trên ERP</w:t>
            </w:r>
          </w:p>
        </w:tc>
        <w:tc>
          <w:tcPr>
            <w:tcW w:type="dxa" w:w="2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Kho</w:t>
            </w:r>
          </w:p>
        </w:tc>
        <w:tc>
          <w:tcPr>
            <w:tcW w:type="dxa" w:w="1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ERP</w:t>
            </w:r>
          </w:p>
        </w:tc>
        <w:tc>
          <w:tcPr>
            <w:tcW w:type="dxa" w:w="12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30 phút</w:t>
            </w:r>
          </w:p>
        </w:tc>
      </w:tr>
      <w:tr>
        <w:tc>
          <w:tcPr>
            <w:tcW w:type="dxa" w:w="8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15</w:t>
            </w:r>
          </w:p>
        </w:tc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Đối chiếu công nợ &amp; thanh toán cho NCC (hạn thanh toán: 15–30 ngày)</w:t>
            </w:r>
          </w:p>
        </w:tc>
        <w:tc>
          <w:tcPr>
            <w:tcW w:type="dxa" w:w="2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Kế toán</w:t>
            </w:r>
          </w:p>
        </w:tc>
        <w:tc>
          <w:tcPr>
            <w:tcW w:type="dxa" w:w="1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ERP + Ngân hàng</w:t>
            </w:r>
          </w:p>
        </w:tc>
        <w:tc>
          <w:tcPr>
            <w:tcW w:type="dxa" w:w="12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15–30 ngày</w:t>
            </w:r>
          </w:p>
        </w:tc>
      </w:tr>
      <w:tr>
        <w:tc>
          <w:tcPr>
            <w:tcW w:type="dxa" w:w="8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16</w:t>
            </w:r>
          </w:p>
        </w:tc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Kết thúc quy trình</w:t>
            </w:r>
          </w:p>
        </w:tc>
        <w:tc>
          <w:tcPr>
            <w:tcW w:type="dxa" w:w="2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Kho</w:t>
            </w:r>
          </w:p>
        </w:tc>
        <w:tc>
          <w:tcPr>
            <w:tcW w:type="dxa" w:w="1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—</w:t>
            </w:r>
          </w:p>
        </w:tc>
        <w:tc>
          <w:tcPr>
            <w:tcW w:type="dxa" w:w="12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—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2.5.5 Sơ đồ luồng (BPMN AS-IS)</w:t>
      </w:r>
    </w:p>
    <w:p>
      <w:pPr>
        <w:spacing w:after="200"/>
      </w:pPr>
      <w:r>
        <w:t xml:space="preserve">Xem Hình 2.2 — Sơ đồ luồng quy trình QL1 (Trang sau)</w:t>
      </w:r>
    </w:p>
    <w:p>
      <w:r>
        <w:drawing>
          <wp:inline xmlns:a="http://schemas.openxmlformats.org/drawingml/2006/main" xmlns:pic="http://schemas.openxmlformats.org/drawingml/2006/picture">
            <wp:extent cx="5760720" cy="18502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MN_QL1_ThuMua_PheDuyetNC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0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Hình 1 — Sơ đồ luồng BPMN AS-IS quy trình QL1 (6 lane)</w:t>
      </w:r>
    </w:p>
    <w:p>
      <w:pPr>
        <w:pStyle w:val="Heading3"/>
      </w:pPr>
      <w:r>
        <w:t xml:space="preserve">2.5.6 KPI &amp; Điểm nghẽn / Rủi ro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shd w:fill="D9E1F2" w:val="clea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t xml:space="preserve">KPI / Chỉ số</w:t>
            </w:r>
          </w:p>
        </w:tc>
        <w:tc>
          <w:tcPr>
            <w:tcW w:type="dxa" w:w="3500"/>
            <w:shd w:fill="D9E1F2" w:val="clea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t xml:space="preserve">Công thức / Mục tiêu</w:t>
            </w:r>
          </w:p>
        </w:tc>
        <w:tc>
          <w:tcPr>
            <w:tcW w:type="dxa" w:w="2000"/>
            <w:shd w:fill="D9E1F2" w:val="clear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t xml:space="preserve">Hiện trạng</w:t>
            </w:r>
          </w:p>
        </w:tc>
      </w:tr>
      <w:tr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Thời gian chu kỳ (Lead Time)</w:t>
            </w:r>
          </w:p>
        </w:tc>
        <w:tc>
          <w:tcPr>
            <w:tcW w:type="dxa" w:w="3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Từ phát sinh nhu cầu đến nhập kho: &lt; 15 ngày</w:t>
            </w:r>
          </w:p>
        </w:tc>
        <w:tc>
          <w:tcPr>
            <w:tcW w:type="dxa" w:w="2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Hiện tại: ~20–25 ngày</w:t>
            </w:r>
          </w:p>
        </w:tc>
      </w:tr>
      <w:tr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Tỷ lệ NCC đạt chuẩn ATTP lần đầu</w:t>
            </w:r>
          </w:p>
        </w:tc>
        <w:tc>
          <w:tcPr>
            <w:tcW w:type="dxa" w:w="3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(Số lô đạt / Tổng lô nhập) × 100 — Mục tiêu: &gt; 95%</w:t>
            </w:r>
          </w:p>
        </w:tc>
        <w:tc>
          <w:tcPr>
            <w:tcW w:type="dxa" w:w="2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Hiện tại: ~85–90%</w:t>
            </w:r>
          </w:p>
        </w:tc>
      </w:tr>
      <w:tr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Giá mua so với ngân sách</w:t>
            </w:r>
          </w:p>
        </w:tc>
        <w:tc>
          <w:tcPr>
            <w:tcW w:type="dxa" w:w="3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(Giá thực / Giá dự toán) × 100 — Mục tiêu: 95–100%</w:t>
            </w:r>
          </w:p>
        </w:tc>
        <w:tc>
          <w:tcPr>
            <w:tcW w:type="dxa" w:w="2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Hiện tại: ~105–110% (vượt)</w:t>
            </w:r>
          </w:p>
        </w:tc>
      </w:tr>
      <w:tr>
        <w:tc>
          <w:tcPr>
            <w:tcW w:type="dxa" w:w="2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Lỗi dự báo nhu cầu</w:t>
            </w:r>
          </w:p>
        </w:tc>
        <w:tc>
          <w:tcPr>
            <w:tcW w:type="dxa" w:w="35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|Nhu cầu thực – Nhu cầu dự báo| / Nhu cầu thực — Mục tiêu: &lt; 10%</w:t>
            </w:r>
          </w:p>
        </w:tc>
        <w:tc>
          <w:tcPr>
            <w:tcW w:type="dxa" w:w="2000"/>
          </w:tcPr>
          <w:p>
            <w:pPr>
              <w:jc w:val="left"/>
              <w:rPr>
                <w:b w:val="false"/>
                <w:bCs w:val="false"/>
                <w:sz w:val="22"/>
                <w:szCs w:val="22"/>
              </w:rPr>
            </w:pPr>
            <w:r>
              <w:t xml:space="preserve">Hiện tại: ~15–20%</w:t>
            </w:r>
          </w:p>
        </w:tc>
      </w:tr>
    </w:tbl>
    <w:p>
      <w:pPr>
        <w:spacing w:after="200"/>
      </w:pPr>
    </w:p>
    <w:p>
      <w:pPr>
        <w:spacing w:after="100"/>
        <w:rPr>
          <w:b/>
          <w:bCs/>
        </w:rPr>
      </w:pPr>
      <w:r>
        <w:t xml:space="preserve">Điểm nghẽn chính (Bottleneck):</w:t>
      </w:r>
    </w:p>
    <w:p>
      <w:pPr>
        <w:spacing w:after="100"/>
      </w:pPr>
      <w:r>
        <w:t xml:space="preserve">1. Khâu khảo sát &amp; thẩm định NCC kéo dài (1–2 tuần) do kiểm tra field và lab không song song được.</w:t>
      </w:r>
    </w:p>
    <w:p>
      <w:pPr>
        <w:spacing w:after="100"/>
      </w:pPr>
      <w:r>
        <w:t xml:space="preserve">2. Phê duyệt từ Ban Giám đốc có khi trễ (chờ phê duyệt 2–3 ngày).</w:t>
      </w:r>
    </w:p>
    <w:p>
      <w:pPr>
        <w:spacing w:after="200"/>
      </w:pPr>
      <w:r>
        <w:t xml:space="preserve">3. Kiểm tra QA/QC lô hàng nhập kho có khi chậm (2–4 giờ) nếu tập trung nhiều lô cùng lúc.</w:t>
      </w:r>
    </w:p>
    <w:p>
      <w:pPr>
        <w:spacing w:after="100"/>
        <w:rPr>
          <w:b/>
          <w:bCs/>
        </w:rPr>
      </w:pPr>
      <w:r>
        <w:t xml:space="preserve">Rủi ro chính:</w:t>
      </w:r>
    </w:p>
    <w:p>
      <w:pPr>
        <w:spacing w:after="100"/>
      </w:pPr>
      <w:r>
        <w:t xml:space="preserve">• Nông trại không ổn định cung cấp → Ảnh hưởng tồn kho, doanh số bán.</w:t>
      </w:r>
    </w:p>
    <w:p>
      <w:pPr>
        <w:spacing w:after="100"/>
      </w:pPr>
      <w:r>
        <w:t xml:space="preserve">• Lô hàng không đạt QA/QC → Phải trả lại, giáng tốc độ giao hàng đến khách.</w:t>
      </w:r>
    </w:p>
    <w:p>
      <w:pPr>
        <w:spacing w:after="400"/>
      </w:pPr>
      <w:r>
        <w:t xml:space="preserve">• Sai lệch giá thực vs. dự toán → Ảnh hưởng lợi nhuận gộp.</w:t>
      </w:r>
    </w:p>
    <w:p>
      <w:pPr>
        <w:pageBreakBefore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2026-08-09T11:43:20.093Z</dcterms:created>
  <dcterms:modified xsi:type="dcterms:W3CDTF">2026-08-09T11:43:20.094Z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