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0A4" w:rsidRPr="007140A4" w:rsidRDefault="007140A4" w:rsidP="007140A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140A4">
        <w:rPr>
          <w:rFonts w:ascii="Times New Roman" w:eastAsia="Times New Roman" w:hAnsi="Times New Roman" w:cs="Times New Roman"/>
          <w:b/>
          <w:sz w:val="40"/>
          <w:szCs w:val="40"/>
        </w:rPr>
        <w:t>Problem Set 1</w:t>
      </w:r>
    </w:p>
    <w:p w:rsidR="007140A4" w:rsidRDefault="007140A4" w:rsidP="007140A4">
      <w:pPr>
        <w:rPr>
          <w:rFonts w:ascii="Times New Roman" w:eastAsia="Times New Roman" w:hAnsi="Times New Roman" w:cs="Times New Roman"/>
        </w:rPr>
      </w:pPr>
      <w:r w:rsidRPr="007140A4">
        <w:rPr>
          <w:rFonts w:ascii="Times New Roman" w:eastAsia="Times New Roman" w:hAnsi="Times New Roman" w:cs="Times New Roman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</w:rPr>
        <w:t>Huanyu</w:t>
      </w:r>
      <w:proofErr w:type="spellEnd"/>
      <w:r>
        <w:rPr>
          <w:rFonts w:ascii="Times New Roman" w:eastAsia="Times New Roman" w:hAnsi="Times New Roman" w:cs="Times New Roman"/>
        </w:rPr>
        <w:t xml:space="preserve"> Liu</w:t>
      </w:r>
    </w:p>
    <w:p w:rsidR="007140A4" w:rsidRDefault="007140A4" w:rsidP="007140A4">
      <w:pPr>
        <w:rPr>
          <w:rFonts w:ascii="Times New Roman" w:eastAsia="Times New Roman" w:hAnsi="Times New Roman" w:cs="Times New Roman"/>
        </w:rPr>
      </w:pPr>
      <w:r w:rsidRPr="007140A4">
        <w:rPr>
          <w:rFonts w:ascii="Times New Roman" w:eastAsia="Times New Roman" w:hAnsi="Times New Roman" w:cs="Times New Roman"/>
        </w:rPr>
        <w:t xml:space="preserve">Names of whom I discussed this problem set with: </w:t>
      </w:r>
      <w:proofErr w:type="spellStart"/>
      <w:r>
        <w:rPr>
          <w:rFonts w:ascii="Times New Roman" w:eastAsia="Times New Roman" w:hAnsi="Times New Roman" w:cs="Times New Roman"/>
        </w:rPr>
        <w:t>Nanhao</w:t>
      </w:r>
      <w:proofErr w:type="spellEnd"/>
      <w:r>
        <w:rPr>
          <w:rFonts w:ascii="Times New Roman" w:eastAsia="Times New Roman" w:hAnsi="Times New Roman" w:cs="Times New Roman"/>
        </w:rPr>
        <w:t xml:space="preserve"> Wang</w:t>
      </w:r>
    </w:p>
    <w:p w:rsidR="007140A4" w:rsidRPr="007140A4" w:rsidRDefault="007140A4" w:rsidP="007140A4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140A4" w:rsidRDefault="007140A4" w:rsidP="007140A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7140A4">
        <w:rPr>
          <w:rFonts w:ascii="Times New Roman" w:eastAsia="Times New Roman" w:hAnsi="Times New Roman" w:cs="Times New Roman"/>
          <w:b/>
          <w:sz w:val="32"/>
          <w:szCs w:val="32"/>
        </w:rPr>
        <w:t xml:space="preserve">Question 1 </w:t>
      </w:r>
    </w:p>
    <w:p w:rsidR="00713DE9" w:rsidRPr="007140A4" w:rsidRDefault="00713DE9" w:rsidP="007140A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140A4" w:rsidRDefault="007140A4" w:rsidP="007140A4">
      <w:pPr>
        <w:rPr>
          <w:rFonts w:ascii="Times New Roman" w:eastAsia="Times New Roman" w:hAnsi="Times New Roman" w:cs="Times New Roman"/>
        </w:rPr>
      </w:pPr>
      <w:r w:rsidRPr="007140A4">
        <w:rPr>
          <w:rFonts w:ascii="Times New Roman" w:eastAsia="Times New Roman" w:hAnsi="Times New Roman" w:cs="Times New Roman"/>
        </w:rPr>
        <w:t>Construct the value-weighted market return using CRSP data, replicating the market return time series available in Kenneth French website. Also calculate the equal-weighted market return, and the lagged total market capitalization. Your output should be from January 1926 to December 2018, at a monthly frequency. Before calculating the portfolio time series, I conduct a series of data cleaning as part of my PS Q1 function. Next, I describe my data cleaning process and their respective assumptions:</w:t>
      </w:r>
    </w:p>
    <w:p w:rsidR="007140A4" w:rsidRPr="007140A4" w:rsidRDefault="007140A4" w:rsidP="007140A4">
      <w:pPr>
        <w:rPr>
          <w:rFonts w:ascii="Times New Roman" w:eastAsia="Times New Roman" w:hAnsi="Times New Roman" w:cs="Times New Roman"/>
        </w:rPr>
      </w:pPr>
    </w:p>
    <w:p w:rsidR="007140A4" w:rsidRDefault="007140A4" w:rsidP="007140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140A4">
        <w:rPr>
          <w:rFonts w:ascii="Times New Roman" w:eastAsia="Times New Roman" w:hAnsi="Times New Roman" w:cs="Times New Roman"/>
        </w:rPr>
        <w:t xml:space="preserve"> Universe of stocks: Following Ken French procedure, I restrict the sample to common shares (share codes 10 and 11) and to securities traded in the New York Stock E</w:t>
      </w:r>
      <w:r>
        <w:rPr>
          <w:rFonts w:ascii="Times New Roman" w:eastAsia="Times New Roman" w:hAnsi="Times New Roman" w:cs="Times New Roman"/>
        </w:rPr>
        <w:t>x</w:t>
      </w:r>
      <w:r w:rsidRPr="007140A4">
        <w:rPr>
          <w:rFonts w:ascii="Times New Roman" w:eastAsia="Times New Roman" w:hAnsi="Times New Roman" w:cs="Times New Roman"/>
        </w:rPr>
        <w:t>change, American Stock Exchange, or the Nasdaq Stock Exchange (exchange codes 1, 2, and 3).</w:t>
      </w:r>
    </w:p>
    <w:p w:rsidR="003303AD" w:rsidRDefault="003303AD" w:rsidP="003303AD">
      <w:pPr>
        <w:pStyle w:val="ListParagraph"/>
        <w:rPr>
          <w:rFonts w:ascii="Times New Roman" w:eastAsia="Times New Roman" w:hAnsi="Times New Roman" w:cs="Times New Roman"/>
        </w:rPr>
      </w:pPr>
    </w:p>
    <w:p w:rsidR="007140A4" w:rsidRDefault="007140A4" w:rsidP="007140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140A4">
        <w:rPr>
          <w:rFonts w:ascii="Times New Roman" w:eastAsia="Times New Roman" w:hAnsi="Times New Roman" w:cs="Times New Roman"/>
        </w:rPr>
        <w:t>Missing returns:</w:t>
      </w:r>
      <w:r>
        <w:rPr>
          <w:rFonts w:ascii="Times New Roman" w:eastAsia="Times New Roman" w:hAnsi="Times New Roman" w:cs="Times New Roman"/>
        </w:rPr>
        <w:t xml:space="preserve"> First, I replace all </w:t>
      </w:r>
      <w:r w:rsidR="003303AD">
        <w:rPr>
          <w:rFonts w:ascii="Times New Roman" w:eastAsia="Times New Roman" w:hAnsi="Times New Roman" w:cs="Times New Roman"/>
        </w:rPr>
        <w:t xml:space="preserve">letters in returns and delisting returns to NA. Next, I use the rule that, </w:t>
      </w:r>
      <w:r w:rsidR="003303AD" w:rsidRPr="003303AD">
        <w:rPr>
          <w:rFonts w:ascii="Times New Roman" w:eastAsia="Times New Roman" w:hAnsi="Times New Roman" w:cs="Times New Roman"/>
        </w:rPr>
        <w:t>Holding period returns:</w:t>
      </w:r>
      <w:r w:rsidR="003303AD">
        <w:rPr>
          <w:rFonts w:ascii="Times New Roman" w:eastAsia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i,t</m:t>
            </m:r>
          </m:sub>
          <m:sup>
            <m:r>
              <w:rPr>
                <w:rFonts w:ascii="Cambria Math" w:eastAsia="Times New Roman" w:hAnsi="Cambria Math" w:cs="Times New Roman"/>
              </w:rPr>
              <m:t>h</m:t>
            </m:r>
          </m:sup>
        </m:sSubSup>
      </m:oMath>
      <w:r w:rsidR="003303AD">
        <w:rPr>
          <w:rFonts w:ascii="Times New Roman" w:eastAsia="Times New Roman" w:hAnsi="Times New Roman" w:cs="Times New Roman"/>
        </w:rPr>
        <w:t xml:space="preserve">, Delisting returns: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i,t</m:t>
            </m:r>
          </m:sub>
          <m:sup>
            <m:r>
              <w:rPr>
                <w:rFonts w:ascii="Cambria Math" w:eastAsia="Times New Roman" w:hAnsi="Cambria Math" w:cs="Times New Roman"/>
              </w:rPr>
              <m:t>d</m:t>
            </m:r>
          </m:sup>
        </m:sSubSup>
      </m:oMath>
    </w:p>
    <w:p w:rsidR="003303AD" w:rsidRPr="003303AD" w:rsidRDefault="003303AD" w:rsidP="003303AD">
      <w:pPr>
        <w:pStyle w:val="ListParagrap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i,t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i,t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h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</w:rPr>
                    <m:t xml:space="preserve">                                                 if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i,t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</w:rPr>
                    <m:t xml:space="preserve"> missing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i,d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</w:rPr>
                    <m:t xml:space="preserve">                                                 if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i,t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h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</w:rPr>
                    <m:t xml:space="preserve"> missing</m:t>
                  </m:r>
                </m: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i,t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h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i,d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d</m:t>
                          </m:r>
                        </m:sup>
                      </m:sSubSup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-1                        if both not missing</m:t>
                  </m:r>
                </m:e>
              </m:eqArr>
            </m:e>
          </m:d>
        </m:oMath>
      </m:oMathPara>
    </w:p>
    <w:p w:rsidR="00713DE9" w:rsidRPr="00713DE9" w:rsidRDefault="003303AD" w:rsidP="00713DE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both are missing, remove those rows.</w:t>
      </w:r>
      <w:r w:rsidR="00713DE9">
        <w:rPr>
          <w:rFonts w:ascii="Times New Roman" w:eastAsia="Times New Roman" w:hAnsi="Times New Roman" w:cs="Times New Roman"/>
        </w:rPr>
        <w:t xml:space="preserve"> And remove all those rows with price NA.</w:t>
      </w:r>
    </w:p>
    <w:p w:rsidR="003303AD" w:rsidRDefault="003303AD" w:rsidP="003303AD">
      <w:pPr>
        <w:pStyle w:val="ListParagraph"/>
        <w:rPr>
          <w:rFonts w:ascii="Times New Roman" w:eastAsia="Times New Roman" w:hAnsi="Times New Roman" w:cs="Times New Roman"/>
        </w:rPr>
      </w:pPr>
    </w:p>
    <w:p w:rsidR="003303AD" w:rsidRDefault="003303AD" w:rsidP="003303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Market Capitalization: </w:t>
      </w:r>
      <w:r w:rsidR="00713DE9">
        <w:rPr>
          <w:rFonts w:ascii="Times New Roman" w:eastAsia="Times New Roman" w:hAnsi="Times New Roman" w:cs="Times New Roman"/>
        </w:rPr>
        <w:t>Use last period’s market cap to calculate the weight in the following questions. Therefore, market cap is calculated as last period price X last period shares outstanding. And the total market capitalization for each month is the sum of all firms’ market cap in that month.</w:t>
      </w:r>
    </w:p>
    <w:p w:rsidR="00713DE9" w:rsidRDefault="00713DE9" w:rsidP="00713DE9">
      <w:pPr>
        <w:pStyle w:val="ListParagraph"/>
        <w:rPr>
          <w:rFonts w:ascii="Times New Roman" w:eastAsia="Times New Roman" w:hAnsi="Times New Roman" w:cs="Times New Roman"/>
        </w:rPr>
      </w:pPr>
    </w:p>
    <w:p w:rsidR="00713DE9" w:rsidRDefault="00713DE9" w:rsidP="003303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Portfolio weights: for each period, it is the market cap of each firm divided by the total market capitalization.</w:t>
      </w:r>
    </w:p>
    <w:p w:rsidR="00713DE9" w:rsidRPr="00713DE9" w:rsidRDefault="00713DE9" w:rsidP="00713DE9">
      <w:pPr>
        <w:pStyle w:val="ListParagraph"/>
        <w:rPr>
          <w:rFonts w:ascii="Times New Roman" w:eastAsia="Times New Roman" w:hAnsi="Times New Roman" w:cs="Times New Roman"/>
        </w:rPr>
      </w:pPr>
    </w:p>
    <w:p w:rsidR="00713DE9" w:rsidRDefault="00713DE9" w:rsidP="003303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Portfolio weights definition: the fraction of each firm’s market cap in the total market cap for each month.</w:t>
      </w:r>
    </w:p>
    <w:p w:rsidR="00713DE9" w:rsidRPr="00713DE9" w:rsidRDefault="00713DE9" w:rsidP="00713DE9">
      <w:pPr>
        <w:pStyle w:val="ListParagraph"/>
        <w:rPr>
          <w:rFonts w:ascii="Times New Roman" w:eastAsia="Times New Roman" w:hAnsi="Times New Roman" w:cs="Times New Roman"/>
        </w:rPr>
      </w:pPr>
    </w:p>
    <w:p w:rsidR="00713DE9" w:rsidRDefault="00713DE9" w:rsidP="003303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Sample period: from 1</w:t>
      </w:r>
      <w:r w:rsidRPr="00713DE9"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January 1926 to 31</w:t>
      </w:r>
      <w:r w:rsidRPr="00713DE9"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December 2018</w:t>
      </w:r>
    </w:p>
    <w:p w:rsidR="00713DE9" w:rsidRPr="00713DE9" w:rsidRDefault="00713DE9" w:rsidP="00713DE9">
      <w:pPr>
        <w:pStyle w:val="ListParagraph"/>
        <w:rPr>
          <w:rFonts w:ascii="Times New Roman" w:eastAsia="Times New Roman" w:hAnsi="Times New Roman" w:cs="Times New Roman"/>
        </w:rPr>
      </w:pPr>
    </w:p>
    <w:p w:rsidR="00713DE9" w:rsidRDefault="00713DE9" w:rsidP="00713D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713DE9">
        <w:rPr>
          <w:rFonts w:ascii="Times New Roman" w:eastAsia="Times New Roman" w:hAnsi="Times New Roman" w:cs="Times New Roman"/>
          <w:b/>
          <w:sz w:val="32"/>
          <w:szCs w:val="32"/>
        </w:rPr>
        <w:t>Question 2</w:t>
      </w:r>
    </w:p>
    <w:p w:rsidR="00713DE9" w:rsidRDefault="00713DE9" w:rsidP="00713DE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01020" w:rsidRPr="00201020" w:rsidRDefault="00201020" w:rsidP="00201020">
      <w:pPr>
        <w:rPr>
          <w:rFonts w:ascii="Times New Roman" w:eastAsia="Times New Roman" w:hAnsi="Times New Roman" w:cs="Times New Roman"/>
        </w:rPr>
      </w:pPr>
      <w:r w:rsidRPr="00201020">
        <w:rPr>
          <w:rFonts w:ascii="Times New Roman" w:eastAsia="Times New Roman" w:hAnsi="Times New Roman" w:cs="Times New Roman"/>
        </w:rPr>
        <w:t xml:space="preserve">Using the risk-free rate of return from French’s website, report the following moments of the market excess returns for both time series (4 decimal digits): annualized return, annualized volatility, annualized Sharpe ratio, skewness, and excess kurtosis. Annualized values should be </w:t>
      </w:r>
      <w:r w:rsidRPr="00201020">
        <w:rPr>
          <w:rFonts w:ascii="Times New Roman" w:eastAsia="Times New Roman" w:hAnsi="Times New Roman" w:cs="Times New Roman"/>
        </w:rPr>
        <w:lastRenderedPageBreak/>
        <w:t>calculated geometrically. You should be comparing between July 1926 to December 2018, at a monthly frequency.</w:t>
      </w:r>
    </w:p>
    <w:p w:rsidR="00713DE9" w:rsidRDefault="00713DE9" w:rsidP="00713DE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01020" w:rsidRDefault="00201020" w:rsidP="00201020">
      <w:pPr>
        <w:rPr>
          <w:rFonts w:ascii="Times New Roman" w:eastAsia="Times New Roman" w:hAnsi="Times New Roman" w:cs="Times New Roman"/>
        </w:rPr>
      </w:pPr>
      <w:r w:rsidRPr="00201020">
        <w:rPr>
          <w:rFonts w:ascii="Times New Roman" w:eastAsia="Times New Roman" w:hAnsi="Times New Roman" w:cs="Times New Roman"/>
        </w:rPr>
        <w:t xml:space="preserve">The summary statistics are in Table 1 below. I report the following five statistics: annualized mean, annualized standard deviation, annualized </w:t>
      </w:r>
      <w:r>
        <w:rPr>
          <w:rFonts w:ascii="Times New Roman" w:eastAsia="Times New Roman" w:hAnsi="Times New Roman" w:cs="Times New Roman"/>
        </w:rPr>
        <w:t>S</w:t>
      </w:r>
      <w:r w:rsidRPr="00201020">
        <w:rPr>
          <w:rFonts w:ascii="Times New Roman" w:eastAsia="Times New Roman" w:hAnsi="Times New Roman" w:cs="Times New Roman"/>
        </w:rPr>
        <w:t xml:space="preserve">harpe </w:t>
      </w:r>
      <w:r>
        <w:rPr>
          <w:rFonts w:ascii="Times New Roman" w:eastAsia="Times New Roman" w:hAnsi="Times New Roman" w:cs="Times New Roman"/>
        </w:rPr>
        <w:t>R</w:t>
      </w:r>
      <w:r w:rsidRPr="00201020">
        <w:rPr>
          <w:rFonts w:ascii="Times New Roman" w:eastAsia="Times New Roman" w:hAnsi="Times New Roman" w:cs="Times New Roman"/>
        </w:rPr>
        <w:t>atio, skewness, and excess kurtosis. In Column 1, I report the statistics for the replicated value-weighted market portfolio of stocks calculated in the previous question. In Column 2, I report the statistics for the value-weighted market portfolio of stocks from Ken French’s website.</w:t>
      </w:r>
    </w:p>
    <w:p w:rsidR="00201020" w:rsidRDefault="00201020" w:rsidP="00201020">
      <w:pPr>
        <w:rPr>
          <w:rFonts w:ascii="Times New Roman" w:eastAsia="Times New Roman" w:hAnsi="Times New Roman" w:cs="Times New Roman"/>
        </w:rPr>
      </w:pPr>
    </w:p>
    <w:p w:rsidR="00201020" w:rsidRPr="00201020" w:rsidRDefault="00201020" w:rsidP="00201020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06995">
        <w:rPr>
          <w:noProof/>
        </w:rPr>
        <w:t>1</w:t>
      </w:r>
      <w:r>
        <w:fldChar w:fldCharType="end"/>
      </w:r>
      <w:r>
        <w:t xml:space="preserve"> Summary statistics</w:t>
      </w:r>
    </w:p>
    <w:tbl>
      <w:tblPr>
        <w:tblW w:w="6660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1710"/>
        <w:gridCol w:w="1350"/>
      </w:tblGrid>
      <w:tr w:rsidR="00201020" w:rsidRPr="00201020" w:rsidTr="00201020">
        <w:trPr>
          <w:trHeight w:val="304"/>
          <w:jc w:val="center"/>
        </w:trPr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020" w:rsidRPr="00201020" w:rsidRDefault="00201020" w:rsidP="0020102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020" w:rsidRPr="00201020" w:rsidRDefault="00201020" w:rsidP="0020102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Replication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020" w:rsidRPr="00201020" w:rsidRDefault="00201020" w:rsidP="0020102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French’s</w:t>
            </w:r>
          </w:p>
        </w:tc>
      </w:tr>
      <w:tr w:rsidR="00466F54" w:rsidRPr="00201020" w:rsidTr="00201020">
        <w:trPr>
          <w:trHeight w:val="304"/>
          <w:jc w:val="center"/>
        </w:trPr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F54" w:rsidRPr="00201020" w:rsidRDefault="00466F54" w:rsidP="00466F5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01020">
              <w:rPr>
                <w:rFonts w:ascii="Calibri" w:eastAsia="Times New Roman" w:hAnsi="Calibri" w:cs="Calibri"/>
                <w:color w:val="000000"/>
              </w:rPr>
              <w:t>Annual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ized </w:t>
            </w:r>
            <w:r w:rsidRPr="00201020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F54" w:rsidRDefault="00466F54" w:rsidP="00466F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0.078087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F54" w:rsidRDefault="00466F54" w:rsidP="00466F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0.07809</w:t>
            </w:r>
          </w:p>
        </w:tc>
      </w:tr>
      <w:tr w:rsidR="00466F54" w:rsidRPr="00201020" w:rsidTr="00201020">
        <w:trPr>
          <w:trHeight w:val="304"/>
          <w:jc w:val="center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66F54" w:rsidRPr="00201020" w:rsidRDefault="00466F54" w:rsidP="00466F5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01020">
              <w:rPr>
                <w:rFonts w:ascii="Calibri" w:eastAsia="Times New Roman" w:hAnsi="Calibri" w:cs="Calibri"/>
                <w:color w:val="000000"/>
              </w:rPr>
              <w:t>Annual</w:t>
            </w:r>
            <w:r>
              <w:rPr>
                <w:rFonts w:ascii="Calibri" w:eastAsia="Times New Roman" w:hAnsi="Calibri" w:cs="Calibri"/>
                <w:color w:val="000000"/>
              </w:rPr>
              <w:t>ized Standar</w:t>
            </w:r>
            <w:r w:rsidRPr="00201020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Deviation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466F54" w:rsidRDefault="00466F54" w:rsidP="00466F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0.184672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6F54" w:rsidRDefault="00466F54" w:rsidP="00466F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0.184773</w:t>
            </w:r>
          </w:p>
        </w:tc>
      </w:tr>
      <w:tr w:rsidR="00466F54" w:rsidRPr="00201020" w:rsidTr="00201020">
        <w:trPr>
          <w:trHeight w:val="304"/>
          <w:jc w:val="center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66F54" w:rsidRPr="00201020" w:rsidRDefault="00466F54" w:rsidP="00466F5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01020">
              <w:rPr>
                <w:rFonts w:ascii="Calibri" w:eastAsia="Times New Roman" w:hAnsi="Calibri" w:cs="Calibri"/>
                <w:color w:val="000000"/>
              </w:rPr>
              <w:t>Annual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ized </w:t>
            </w:r>
            <w:r w:rsidRPr="00201020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harp </w:t>
            </w:r>
            <w:r w:rsidRPr="00201020"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atio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466F54" w:rsidRDefault="00466F54" w:rsidP="00466F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0.42284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6F54" w:rsidRDefault="00466F54" w:rsidP="00466F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0.422626</w:t>
            </w:r>
          </w:p>
        </w:tc>
      </w:tr>
      <w:tr w:rsidR="00466F54" w:rsidRPr="00201020" w:rsidTr="00201020">
        <w:trPr>
          <w:trHeight w:val="304"/>
          <w:jc w:val="center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66F54" w:rsidRPr="00201020" w:rsidRDefault="00466F54" w:rsidP="00466F5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Excess </w:t>
            </w:r>
            <w:r w:rsidRPr="00201020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466F54" w:rsidRDefault="00466F54" w:rsidP="00466F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0.187808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6F54" w:rsidRDefault="00466F54" w:rsidP="00466F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0.184505</w:t>
            </w:r>
          </w:p>
        </w:tc>
      </w:tr>
      <w:tr w:rsidR="00466F54" w:rsidRPr="00201020" w:rsidTr="00201020">
        <w:trPr>
          <w:trHeight w:val="304"/>
          <w:jc w:val="center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66F54" w:rsidRPr="00201020" w:rsidRDefault="00466F54" w:rsidP="00466F5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01020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466F54" w:rsidRDefault="00466F54" w:rsidP="00466F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7.922651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6F54" w:rsidRDefault="00466F54" w:rsidP="00466F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7.891395</w:t>
            </w:r>
          </w:p>
        </w:tc>
      </w:tr>
    </w:tbl>
    <w:p w:rsidR="00201020" w:rsidRPr="00713DE9" w:rsidRDefault="00201020" w:rsidP="00713DE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E0035" w:rsidRDefault="009E0035" w:rsidP="009E0035">
      <w:pPr>
        <w:rPr>
          <w:rFonts w:ascii="Times New Roman" w:eastAsia="Times New Roman" w:hAnsi="Times New Roman" w:cs="Times New Roman"/>
        </w:rPr>
      </w:pPr>
      <w:r w:rsidRPr="009E0035">
        <w:rPr>
          <w:rFonts w:ascii="Times New Roman" w:eastAsia="Times New Roman" w:hAnsi="Times New Roman" w:cs="Times New Roman"/>
        </w:rPr>
        <w:t xml:space="preserve">From question, we have a times series of value-weighted market returns, namely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eastAsia="Times New Roman" w:hAnsi="Cambria Math" w:cs="Times New Roman"/>
              </w:rPr>
              <m:t>t=1</m:t>
            </m:r>
          </m:sub>
          <m:sup>
            <m:r>
              <w:rPr>
                <w:rFonts w:ascii="Cambria Math" w:eastAsia="Times New Roman" w:hAnsi="Cambria Math" w:cs="Times New Roman"/>
              </w:rPr>
              <m:t>T</m:t>
            </m:r>
          </m:sup>
        </m:sSubSup>
      </m:oMath>
      <w:r w:rsidRPr="009E0035">
        <w:rPr>
          <w:rFonts w:ascii="Times New Roman" w:eastAsia="Times New Roman" w:hAnsi="Times New Roman" w:cs="Times New Roman"/>
        </w:rPr>
        <w:t xml:space="preserve">. Let the market return from French’s website be given by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sup>
                </m:sSubSup>
              </m:e>
            </m:d>
          </m:e>
          <m:sub>
            <m:r>
              <w:rPr>
                <w:rFonts w:ascii="Cambria Math" w:eastAsia="Times New Roman" w:hAnsi="Cambria Math" w:cs="Times New Roman"/>
              </w:rPr>
              <m:t>t=1</m:t>
            </m:r>
          </m:sub>
          <m:sup>
            <m:r>
              <w:rPr>
                <w:rFonts w:ascii="Cambria Math" w:eastAsia="Times New Roman" w:hAnsi="Cambria Math" w:cs="Times New Roman"/>
              </w:rPr>
              <m:t>T</m:t>
            </m:r>
          </m:sup>
        </m:sSubSup>
      </m:oMath>
      <w:r w:rsidRPr="009E0035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Pr="009E0035">
        <w:rPr>
          <w:rFonts w:ascii="Times New Roman" w:eastAsia="Times New Roman" w:hAnsi="Times New Roman" w:cs="Times New Roman"/>
        </w:rPr>
        <w:t xml:space="preserve">I compute these statistics as follows: </w:t>
      </w:r>
    </w:p>
    <w:p w:rsidR="009E0035" w:rsidRDefault="009E0035" w:rsidP="009E0035">
      <w:pPr>
        <w:rPr>
          <w:rFonts w:ascii="Times New Roman" w:eastAsia="Times New Roman" w:hAnsi="Times New Roman" w:cs="Times New Roman"/>
        </w:rPr>
      </w:pPr>
    </w:p>
    <w:p w:rsidR="009E0035" w:rsidRDefault="009E0035" w:rsidP="009E003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E0035">
        <w:rPr>
          <w:rFonts w:ascii="Times New Roman" w:eastAsia="Times New Roman" w:hAnsi="Times New Roman" w:cs="Times New Roman"/>
        </w:rPr>
        <w:t xml:space="preserve">Sample period: Monthly from July 1926 to December 2018. </w:t>
      </w:r>
    </w:p>
    <w:p w:rsidR="009E0035" w:rsidRDefault="009E0035" w:rsidP="009E0035">
      <w:pPr>
        <w:pStyle w:val="ListParagraph"/>
        <w:rPr>
          <w:rFonts w:ascii="Times New Roman" w:eastAsia="Times New Roman" w:hAnsi="Times New Roman" w:cs="Times New Roman"/>
        </w:rPr>
      </w:pPr>
    </w:p>
    <w:p w:rsidR="009E0035" w:rsidRDefault="009E0035" w:rsidP="009E003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E0035">
        <w:rPr>
          <w:rFonts w:ascii="Times New Roman" w:eastAsia="Times New Roman" w:hAnsi="Times New Roman" w:cs="Times New Roman"/>
        </w:rPr>
        <w:t>Excess Skewness</w:t>
      </w:r>
      <w:r>
        <w:rPr>
          <w:rFonts w:ascii="Times New Roman" w:eastAsia="Times New Roman" w:hAnsi="Times New Roman" w:cs="Times New Roman"/>
        </w:rPr>
        <w:t xml:space="preserve">: </w:t>
      </w:r>
      <w:r w:rsidRPr="009E0035">
        <w:rPr>
          <w:rFonts w:ascii="Times New Roman" w:eastAsia="Times New Roman" w:hAnsi="Times New Roman" w:cs="Times New Roman"/>
        </w:rPr>
        <w:t xml:space="preserve">I calculate excess skewness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</w:t>
      </w:r>
      <w:r w:rsidRPr="009E0035">
        <w:rPr>
          <w:rFonts w:ascii="Times New Roman" w:eastAsia="Times New Roman" w:hAnsi="Times New Roman" w:cs="Times New Roman"/>
        </w:rPr>
        <w:t>from the monthly time series directly (no annualization, and no logs) using the full sample</w:t>
      </w:r>
      <w:r>
        <w:rPr>
          <w:rFonts w:ascii="Times New Roman" w:eastAsia="Times New Roman" w:hAnsi="Times New Roman" w:cs="Times New Roman"/>
        </w:rPr>
        <w:t>, and it is over the monthly time series.</w:t>
      </w:r>
    </w:p>
    <w:p w:rsidR="009E0035" w:rsidRPr="009E0035" w:rsidRDefault="009E0035" w:rsidP="009E0035">
      <w:pPr>
        <w:rPr>
          <w:rFonts w:ascii="Times New Roman" w:eastAsia="Times New Roman" w:hAnsi="Times New Roman" w:cs="Times New Roman"/>
        </w:rPr>
      </w:pPr>
    </w:p>
    <w:p w:rsidR="009E0035" w:rsidRDefault="009E0035" w:rsidP="009E003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E0035">
        <w:rPr>
          <w:rFonts w:ascii="Times New Roman" w:eastAsia="Times New Roman" w:hAnsi="Times New Roman" w:cs="Times New Roman"/>
        </w:rPr>
        <w:t>Kurtosis</w:t>
      </w:r>
      <w:r w:rsidR="00466F54">
        <w:rPr>
          <w:rFonts w:ascii="Times New Roman" w:eastAsia="Times New Roman" w:hAnsi="Times New Roman" w:cs="Times New Roman"/>
        </w:rPr>
        <w:t>:</w:t>
      </w:r>
      <w:r w:rsidRPr="009E0035">
        <w:rPr>
          <w:rFonts w:ascii="Times New Roman" w:eastAsia="Times New Roman" w:hAnsi="Times New Roman" w:cs="Times New Roman"/>
        </w:rPr>
        <w:t xml:space="preserve"> I calculate kurtosis from the monthly time series directly (no annualization, and no logs) using the full sample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and it is over the monthly time series.</w:t>
      </w:r>
    </w:p>
    <w:p w:rsidR="009E0035" w:rsidRPr="009E0035" w:rsidRDefault="009E0035" w:rsidP="009E0035">
      <w:pPr>
        <w:rPr>
          <w:rFonts w:ascii="Times New Roman" w:eastAsia="Times New Roman" w:hAnsi="Times New Roman" w:cs="Times New Roman"/>
        </w:rPr>
      </w:pPr>
    </w:p>
    <w:p w:rsidR="00466F54" w:rsidRDefault="009E0035" w:rsidP="00466F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E0035">
        <w:rPr>
          <w:rFonts w:ascii="Times New Roman" w:eastAsia="Times New Roman" w:hAnsi="Times New Roman" w:cs="Times New Roman"/>
        </w:rPr>
        <w:t xml:space="preserve">Annualized Mean: </w:t>
      </w:r>
    </w:p>
    <w:p w:rsidR="00466F54" w:rsidRPr="00466F54" w:rsidRDefault="00466F54" w:rsidP="00466F54">
      <w:pPr>
        <w:pStyle w:val="ListParagrap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Annualized Mean=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Monthly Return-RF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×12 </m:t>
          </m:r>
        </m:oMath>
      </m:oMathPara>
    </w:p>
    <w:p w:rsidR="00466F54" w:rsidRPr="00466F54" w:rsidRDefault="00466F54" w:rsidP="00466F54">
      <w:pPr>
        <w:pStyle w:val="ListParagraph"/>
        <w:rPr>
          <w:rFonts w:ascii="Times New Roman" w:eastAsia="Times New Roman" w:hAnsi="Times New Roman" w:cs="Times New Roman"/>
        </w:rPr>
      </w:pPr>
    </w:p>
    <w:p w:rsidR="00466F54" w:rsidRPr="00466F54" w:rsidRDefault="00466F54" w:rsidP="00466F54">
      <w:pPr>
        <w:pStyle w:val="ListParagraph"/>
        <w:rPr>
          <w:rFonts w:ascii="Times New Roman" w:eastAsia="Times New Roman" w:hAnsi="Times New Roman" w:cs="Times New Roman"/>
        </w:rPr>
      </w:pPr>
    </w:p>
    <w:p w:rsidR="00466F54" w:rsidRDefault="009E0035" w:rsidP="009E003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E0035">
        <w:rPr>
          <w:rFonts w:ascii="Times New Roman" w:eastAsia="Times New Roman" w:hAnsi="Times New Roman" w:cs="Times New Roman"/>
        </w:rPr>
        <w:t xml:space="preserve">Annualized Standard Deviation: </w:t>
      </w:r>
    </w:p>
    <w:p w:rsidR="00466F54" w:rsidRPr="00466F54" w:rsidRDefault="00466F54" w:rsidP="00466F54">
      <w:pPr>
        <w:pStyle w:val="ListParagrap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Annualized Standard Deviation=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Monthly Return-RF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.std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×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12</m:t>
              </m:r>
            </m:e>
          </m:rad>
          <m:r>
            <w:rPr>
              <w:rFonts w:ascii="Cambria Math" w:eastAsia="Times New Roman" w:hAnsi="Cambria Math" w:cs="Times New Roman"/>
            </w:rPr>
            <m:t xml:space="preserve"> </m:t>
          </m:r>
        </m:oMath>
      </m:oMathPara>
    </w:p>
    <w:p w:rsidR="00466F54" w:rsidRDefault="00466F54" w:rsidP="00466F54">
      <w:pPr>
        <w:pStyle w:val="ListParagraph"/>
        <w:rPr>
          <w:rFonts w:ascii="Times New Roman" w:eastAsia="Times New Roman" w:hAnsi="Times New Roman" w:cs="Times New Roman"/>
        </w:rPr>
      </w:pPr>
    </w:p>
    <w:p w:rsidR="003303AD" w:rsidRDefault="009E0035" w:rsidP="00DF710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66F54">
        <w:rPr>
          <w:rFonts w:ascii="Times New Roman" w:eastAsia="Times New Roman" w:hAnsi="Times New Roman" w:cs="Times New Roman"/>
        </w:rPr>
        <w:t>Sharpe Ratio</w:t>
      </w:r>
      <w:r w:rsidR="00466F54" w:rsidRPr="00466F54">
        <w:rPr>
          <w:rFonts w:ascii="Times New Roman" w:eastAsia="Times New Roman" w:hAnsi="Times New Roman" w:cs="Times New Roman"/>
        </w:rPr>
        <w:t>:</w:t>
      </w:r>
      <w:r w:rsidRPr="00466F54">
        <w:rPr>
          <w:rFonts w:ascii="Times New Roman" w:eastAsia="Times New Roman" w:hAnsi="Times New Roman" w:cs="Times New Roman"/>
        </w:rPr>
        <w:t xml:space="preserve"> </w:t>
      </w:r>
    </w:p>
    <w:p w:rsidR="00466F54" w:rsidRPr="007140A4" w:rsidRDefault="00466F54" w:rsidP="00466F54">
      <w:pPr>
        <w:pStyle w:val="ListParagrap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Sharpe Ratio=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Annualized Mean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Annualized Standard Deviation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</m:oMath>
      </m:oMathPara>
    </w:p>
    <w:p w:rsidR="007140A4" w:rsidRDefault="007140A4" w:rsidP="007140A4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66F54" w:rsidRDefault="00466F54" w:rsidP="007140A4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66F54" w:rsidRDefault="00466F54" w:rsidP="007140A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466F5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Question 3</w:t>
      </w:r>
    </w:p>
    <w:p w:rsidR="00466F54" w:rsidRDefault="00466F54" w:rsidP="007140A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66F54" w:rsidRDefault="00466F54" w:rsidP="00466F54">
      <w:pPr>
        <w:rPr>
          <w:rFonts w:ascii="Times New Roman" w:eastAsia="Times New Roman" w:hAnsi="Times New Roman" w:cs="Times New Roman"/>
        </w:rPr>
      </w:pPr>
      <w:r w:rsidRPr="00466F54">
        <w:rPr>
          <w:rFonts w:ascii="Times New Roman" w:eastAsia="Times New Roman" w:hAnsi="Times New Roman" w:cs="Times New Roman"/>
        </w:rPr>
        <w:t>Report (up to 8 decimal digits) the correlation between your time series and French’s time series, and the maximum absolute difference between the two time</w:t>
      </w:r>
      <w:r>
        <w:rPr>
          <w:rFonts w:ascii="Times New Roman" w:eastAsia="Times New Roman" w:hAnsi="Times New Roman" w:cs="Times New Roman"/>
        </w:rPr>
        <w:t>-</w:t>
      </w:r>
      <w:r w:rsidRPr="00466F54">
        <w:rPr>
          <w:rFonts w:ascii="Times New Roman" w:eastAsia="Times New Roman" w:hAnsi="Times New Roman" w:cs="Times New Roman"/>
        </w:rPr>
        <w:t xml:space="preserve">series. </w:t>
      </w:r>
    </w:p>
    <w:p w:rsidR="00C06995" w:rsidRDefault="00C06995" w:rsidP="00466F54">
      <w:pPr>
        <w:rPr>
          <w:rFonts w:ascii="Times New Roman" w:eastAsia="Times New Roman" w:hAnsi="Times New Roman" w:cs="Times New Roman"/>
        </w:rPr>
      </w:pPr>
    </w:p>
    <w:p w:rsidR="00466F54" w:rsidRDefault="00466F54" w:rsidP="00466F54">
      <w:pPr>
        <w:rPr>
          <w:rFonts w:ascii="Times New Roman" w:eastAsia="Times New Roman" w:hAnsi="Times New Roman" w:cs="Times New Roman"/>
        </w:rPr>
      </w:pPr>
      <w:r w:rsidRPr="00466F54">
        <w:rPr>
          <w:rFonts w:ascii="Times New Roman" w:eastAsia="Times New Roman" w:hAnsi="Times New Roman" w:cs="Times New Roman"/>
        </w:rPr>
        <w:t>In Table 2 below</w:t>
      </w:r>
      <w:r>
        <w:rPr>
          <w:rFonts w:ascii="Times New Roman" w:eastAsia="Times New Roman" w:hAnsi="Times New Roman" w:cs="Times New Roman"/>
        </w:rPr>
        <w:t xml:space="preserve">, </w:t>
      </w:r>
      <w:r w:rsidRPr="00466F54">
        <w:rPr>
          <w:rFonts w:ascii="Times New Roman" w:eastAsia="Times New Roman" w:hAnsi="Times New Roman" w:cs="Times New Roman"/>
        </w:rPr>
        <w:t>I report the time-series correlation between the replicated value-weighted market portfolio of stocks and the value-weighted market portfolio of stocks from Ken French’s website. I also report the maximum difference between the two series. I limit the sample to be between July 1926 and December 2018. The difference between the replicated portfolio and the one from French’s website is not zero.</w:t>
      </w:r>
    </w:p>
    <w:p w:rsidR="00466F54" w:rsidRPr="00466F54" w:rsidRDefault="00466F54" w:rsidP="00466F54">
      <w:pPr>
        <w:rPr>
          <w:rFonts w:ascii="Times New Roman" w:eastAsia="Times New Roman" w:hAnsi="Times New Roman" w:cs="Times New Roman"/>
        </w:rPr>
      </w:pPr>
    </w:p>
    <w:p w:rsidR="00C06995" w:rsidRDefault="00C06995" w:rsidP="00C06995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7D72AE">
        <w:t>Correlation and maximum difference</w:t>
      </w:r>
    </w:p>
    <w:tbl>
      <w:tblPr>
        <w:tblW w:w="5310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1710"/>
      </w:tblGrid>
      <w:tr w:rsidR="00466F54" w:rsidRPr="00201020" w:rsidTr="00466F54">
        <w:trPr>
          <w:trHeight w:val="304"/>
          <w:jc w:val="center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66F54" w:rsidRPr="00201020" w:rsidRDefault="00466F54" w:rsidP="00B50164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Correlation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466F54" w:rsidRPr="00201020" w:rsidRDefault="00466F54" w:rsidP="00B50164">
            <w:pPr>
              <w:rPr>
                <w:rFonts w:ascii="Calibri" w:eastAsia="Times New Roman" w:hAnsi="Calibri" w:cs="Calibri"/>
                <w:color w:val="000000"/>
              </w:rPr>
            </w:pPr>
            <w:r w:rsidRPr="00466F54">
              <w:rPr>
                <w:rFonts w:ascii="Calibri" w:eastAsia="Times New Roman" w:hAnsi="Calibri" w:cs="Calibri"/>
                <w:color w:val="000000"/>
              </w:rPr>
              <w:t>0.99998832</w:t>
            </w:r>
          </w:p>
        </w:tc>
      </w:tr>
      <w:tr w:rsidR="00466F54" w:rsidRPr="00201020" w:rsidTr="00466F54">
        <w:trPr>
          <w:trHeight w:val="304"/>
          <w:jc w:val="center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466F54" w:rsidRPr="00201020" w:rsidRDefault="00C06995" w:rsidP="00B5016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06995">
              <w:rPr>
                <w:rFonts w:ascii="Calibri" w:eastAsia="Times New Roman" w:hAnsi="Calibri" w:cs="Calibri"/>
                <w:color w:val="000000"/>
              </w:rPr>
              <w:t>Maximum absolute difference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466F54" w:rsidRDefault="00466F54" w:rsidP="00B50164">
            <w:pPr>
              <w:rPr>
                <w:rFonts w:ascii="Calibri" w:hAnsi="Calibri"/>
                <w:color w:val="000000"/>
              </w:rPr>
            </w:pPr>
            <w:r w:rsidRPr="00466F54">
              <w:rPr>
                <w:rFonts w:ascii="Calibri" w:hAnsi="Calibri"/>
                <w:color w:val="000000"/>
              </w:rPr>
              <w:t>0.00296326</w:t>
            </w:r>
          </w:p>
        </w:tc>
      </w:tr>
    </w:tbl>
    <w:p w:rsidR="00466F54" w:rsidRDefault="00466F54" w:rsidP="007140A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06995" w:rsidRDefault="00C06995" w:rsidP="007140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correlation is very close to 1 but it’s not </w:t>
      </w:r>
      <w:proofErr w:type="gramStart"/>
      <w:r>
        <w:rPr>
          <w:rFonts w:ascii="Times New Roman" w:eastAsia="Times New Roman" w:hAnsi="Times New Roman" w:cs="Times New Roman"/>
        </w:rPr>
        <w:t>1</w:t>
      </w:r>
      <w:proofErr w:type="gramEnd"/>
      <w:r>
        <w:rPr>
          <w:rFonts w:ascii="Times New Roman" w:eastAsia="Times New Roman" w:hAnsi="Times New Roman" w:cs="Times New Roman"/>
        </w:rPr>
        <w:t xml:space="preserve"> however. And the maximum absolute difference is 0.00296326.</w:t>
      </w:r>
    </w:p>
    <w:p w:rsidR="00C06995" w:rsidRDefault="00C06995" w:rsidP="007140A4">
      <w:pPr>
        <w:rPr>
          <w:rFonts w:ascii="Times New Roman" w:eastAsia="Times New Roman" w:hAnsi="Times New Roman" w:cs="Times New Roman"/>
        </w:rPr>
      </w:pPr>
    </w:p>
    <w:p w:rsidR="00C06995" w:rsidRPr="007140A4" w:rsidRDefault="00C06995" w:rsidP="007140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way of dealing with NA values or letter represented return and delisting returns values such as ‘C’, ‘S’, etc. may be different between mine and French’s.</w:t>
      </w:r>
      <w:bookmarkStart w:id="0" w:name="_GoBack"/>
      <w:bookmarkEnd w:id="0"/>
    </w:p>
    <w:p w:rsidR="00944DD4" w:rsidRDefault="00944DD4"/>
    <w:sectPr w:rsidR="00944DD4" w:rsidSect="00D608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CED" w:rsidRDefault="00D30CED" w:rsidP="007140A4">
      <w:r>
        <w:separator/>
      </w:r>
    </w:p>
  </w:endnote>
  <w:endnote w:type="continuationSeparator" w:id="0">
    <w:p w:rsidR="00D30CED" w:rsidRDefault="00D30CED" w:rsidP="00714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CED" w:rsidRDefault="00D30CED" w:rsidP="007140A4">
      <w:r>
        <w:separator/>
      </w:r>
    </w:p>
  </w:footnote>
  <w:footnote w:type="continuationSeparator" w:id="0">
    <w:p w:rsidR="00D30CED" w:rsidRDefault="00D30CED" w:rsidP="00714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0A4" w:rsidRDefault="007140A4" w:rsidP="007140A4">
    <w:pPr>
      <w:rPr>
        <w:rFonts w:ascii="Times New Roman" w:eastAsia="Times New Roman" w:hAnsi="Times New Roman" w:cs="Times New Roman"/>
      </w:rPr>
    </w:pPr>
    <w:r w:rsidRPr="007140A4">
      <w:rPr>
        <w:rFonts w:ascii="Times New Roman" w:eastAsia="Times New Roman" w:hAnsi="Times New Roman" w:cs="Times New Roman"/>
      </w:rPr>
      <w:t xml:space="preserve">UCLA Anderson School of Management </w:t>
    </w:r>
  </w:p>
  <w:p w:rsidR="007140A4" w:rsidRPr="007140A4" w:rsidRDefault="007140A4" w:rsidP="007140A4">
    <w:pPr>
      <w:rPr>
        <w:rFonts w:ascii="Times New Roman" w:eastAsia="Times New Roman" w:hAnsi="Times New Roman" w:cs="Times New Roman"/>
      </w:rPr>
    </w:pPr>
    <w:r w:rsidRPr="007140A4">
      <w:rPr>
        <w:rFonts w:ascii="Times New Roman" w:eastAsia="Times New Roman" w:hAnsi="Times New Roman" w:cs="Times New Roman"/>
      </w:rPr>
      <w:t>Quantitative Asset Management 431 — Spring 2019</w:t>
    </w:r>
  </w:p>
  <w:p w:rsidR="007140A4" w:rsidRDefault="00714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A6814"/>
    <w:multiLevelType w:val="hybridMultilevel"/>
    <w:tmpl w:val="CD98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73E62"/>
    <w:multiLevelType w:val="hybridMultilevel"/>
    <w:tmpl w:val="533E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A4"/>
    <w:rsid w:val="00201020"/>
    <w:rsid w:val="003303AD"/>
    <w:rsid w:val="00466F54"/>
    <w:rsid w:val="00713DE9"/>
    <w:rsid w:val="007140A4"/>
    <w:rsid w:val="00944DD4"/>
    <w:rsid w:val="009E0035"/>
    <w:rsid w:val="00C06995"/>
    <w:rsid w:val="00D30CED"/>
    <w:rsid w:val="00D6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ED79"/>
  <w15:chartTrackingRefBased/>
  <w15:docId w15:val="{EEDDC392-CD85-BD4A-A491-F4DEA87F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0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0A4"/>
  </w:style>
  <w:style w:type="paragraph" w:styleId="Footer">
    <w:name w:val="footer"/>
    <w:basedOn w:val="Normal"/>
    <w:link w:val="FooterChar"/>
    <w:uiPriority w:val="99"/>
    <w:unhideWhenUsed/>
    <w:rsid w:val="00714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0A4"/>
  </w:style>
  <w:style w:type="paragraph" w:styleId="ListParagraph">
    <w:name w:val="List Paragraph"/>
    <w:basedOn w:val="Normal"/>
    <w:uiPriority w:val="34"/>
    <w:qFormat/>
    <w:rsid w:val="007140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03AD"/>
    <w:rPr>
      <w:color w:val="808080"/>
    </w:rPr>
  </w:style>
  <w:style w:type="table" w:styleId="TableGrid">
    <w:name w:val="Table Grid"/>
    <w:basedOn w:val="TableNormal"/>
    <w:uiPriority w:val="39"/>
    <w:rsid w:val="00201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0102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Huanyu H.</dc:creator>
  <cp:keywords/>
  <dc:description/>
  <cp:lastModifiedBy>Liu, Huanyu H.</cp:lastModifiedBy>
  <cp:revision>1</cp:revision>
  <dcterms:created xsi:type="dcterms:W3CDTF">2019-04-14T22:42:00Z</dcterms:created>
  <dcterms:modified xsi:type="dcterms:W3CDTF">2019-04-15T00:06:00Z</dcterms:modified>
</cp:coreProperties>
</file>