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AAF1F" w14:textId="77777777" w:rsidR="00D73FBD" w:rsidRPr="00410506" w:rsidRDefault="005B3735" w:rsidP="00953C68">
      <w:pPr>
        <w:pStyle w:val="Heading1"/>
        <w:spacing w:line="360" w:lineRule="auto"/>
        <w:jc w:val="center"/>
        <w:rPr>
          <w:sz w:val="40"/>
          <w:szCs w:val="40"/>
        </w:rPr>
      </w:pPr>
      <w:r w:rsidRPr="00410506">
        <w:rPr>
          <w:sz w:val="40"/>
          <w:szCs w:val="40"/>
        </w:rPr>
        <w:t>Final Project</w:t>
      </w:r>
      <w:r w:rsidR="003826DC" w:rsidRPr="00410506">
        <w:rPr>
          <w:sz w:val="40"/>
          <w:szCs w:val="40"/>
        </w:rPr>
        <w:t>: Quality minus Junk</w:t>
      </w:r>
    </w:p>
    <w:p w14:paraId="459D256F" w14:textId="77777777" w:rsidR="00F83F30" w:rsidRPr="00F83F30" w:rsidRDefault="00F83F30" w:rsidP="00953C68">
      <w:pPr>
        <w:spacing w:line="360" w:lineRule="auto"/>
      </w:pPr>
    </w:p>
    <w:p w14:paraId="38B1DFC0" w14:textId="77777777" w:rsidR="008860F1" w:rsidRDefault="008860F1" w:rsidP="00953C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Professor: Bernard Herskovic</w:t>
      </w:r>
    </w:p>
    <w:p w14:paraId="1AE1AD15" w14:textId="6CE3E6DB" w:rsidR="0070716F" w:rsidRPr="004D1FE2" w:rsidRDefault="00474E08" w:rsidP="00953C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Group Members: </w:t>
      </w:r>
      <w:r w:rsidR="00087C18">
        <w:rPr>
          <w:rFonts w:ascii="Times New Roman" w:hAnsi="Times New Roman" w:cs="Times New Roman"/>
        </w:rPr>
        <w:t xml:space="preserve">Huanyu Liu, Tongsu Peng, </w:t>
      </w:r>
      <w:r w:rsidR="00AF172B">
        <w:rPr>
          <w:rFonts w:ascii="Times New Roman" w:hAnsi="Times New Roman" w:cs="Times New Roman"/>
        </w:rPr>
        <w:t>Yong</w:t>
      </w:r>
      <w:r w:rsidR="00AF172B">
        <w:rPr>
          <w:rFonts w:ascii="Times New Roman" w:hAnsi="Times New Roman" w:cs="Times New Roman"/>
        </w:rPr>
        <w:t xml:space="preserve"> </w:t>
      </w:r>
      <w:r w:rsidR="00AF172B">
        <w:rPr>
          <w:rFonts w:ascii="Times New Roman" w:hAnsi="Times New Roman" w:cs="Times New Roman" w:hint="eastAsia"/>
        </w:rPr>
        <w:t>J</w:t>
      </w:r>
      <w:r w:rsidR="00AF172B">
        <w:rPr>
          <w:rFonts w:ascii="Times New Roman" w:hAnsi="Times New Roman" w:cs="Times New Roman"/>
        </w:rPr>
        <w:t>ia Tan,</w:t>
      </w:r>
      <w:r w:rsidR="00AF172B">
        <w:rPr>
          <w:rFonts w:ascii="Times New Roman" w:hAnsi="Times New Roman" w:cs="Times New Roman"/>
        </w:rPr>
        <w:t xml:space="preserve"> </w:t>
      </w:r>
      <w:r w:rsidR="00087C18">
        <w:rPr>
          <w:rFonts w:ascii="Times New Roman" w:hAnsi="Times New Roman" w:cs="Times New Roman"/>
        </w:rPr>
        <w:t>Nanhao Wang</w:t>
      </w:r>
    </w:p>
    <w:p w14:paraId="5EB9BA6C" w14:textId="77777777" w:rsidR="00F617C9" w:rsidRDefault="00F617C9" w:rsidP="00953C68">
      <w:pPr>
        <w:autoSpaceDE w:val="0"/>
        <w:autoSpaceDN w:val="0"/>
        <w:adjustRightInd w:val="0"/>
        <w:spacing w:line="360" w:lineRule="auto"/>
        <w:rPr>
          <w:b/>
          <w:sz w:val="32"/>
        </w:rPr>
      </w:pPr>
    </w:p>
    <w:p w14:paraId="16319921" w14:textId="77777777" w:rsidR="009256A0" w:rsidRPr="00367323" w:rsidRDefault="00671D83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367323">
        <w:rPr>
          <w:rFonts w:ascii="Arial" w:hAnsi="Arial" w:cs="Arial"/>
          <w:bCs/>
          <w:sz w:val="32"/>
        </w:rPr>
        <w:t xml:space="preserve">Strategy </w:t>
      </w:r>
      <w:r w:rsidR="00826812" w:rsidRPr="00367323">
        <w:rPr>
          <w:rFonts w:ascii="Arial" w:hAnsi="Arial" w:cs="Arial"/>
          <w:bCs/>
          <w:sz w:val="32"/>
        </w:rPr>
        <w:t>Abstract</w:t>
      </w:r>
    </w:p>
    <w:p w14:paraId="07CC3CF1" w14:textId="77777777" w:rsidR="00826812" w:rsidRDefault="00826812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414A94A3" w14:textId="79D5B733" w:rsidR="00811B2A" w:rsidRDefault="00811B2A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  <w:r>
        <w:rPr>
          <w:rFonts w:ascii="Times New Roman" w:hAnsi="Times New Roman" w:cs="Times New Roman"/>
        </w:rPr>
        <w:t xml:space="preserve">In this project, </w:t>
      </w:r>
      <w:r w:rsidR="00FD3DD1">
        <w:rPr>
          <w:rFonts w:ascii="Times New Roman" w:hAnsi="Times New Roman" w:cs="Times New Roman"/>
        </w:rPr>
        <w:t xml:space="preserve">we propose a </w:t>
      </w:r>
      <w:r w:rsidR="00DA46F7">
        <w:rPr>
          <w:rFonts w:ascii="Times New Roman" w:hAnsi="Times New Roman" w:cs="Times New Roman"/>
        </w:rPr>
        <w:t xml:space="preserve">stock trading strategy </w:t>
      </w:r>
      <w:r w:rsidR="006434E5">
        <w:rPr>
          <w:rFonts w:ascii="Times New Roman" w:hAnsi="Times New Roman" w:cs="Times New Roman"/>
        </w:rPr>
        <w:t xml:space="preserve">in the US market </w:t>
      </w:r>
      <w:r w:rsidR="00F52A98">
        <w:rPr>
          <w:rFonts w:ascii="Times New Roman" w:hAnsi="Times New Roman" w:cs="Times New Roman"/>
        </w:rPr>
        <w:t xml:space="preserve">based on </w:t>
      </w:r>
      <w:r w:rsidR="009F214B">
        <w:rPr>
          <w:rFonts w:ascii="Times New Roman" w:hAnsi="Times New Roman" w:cs="Times New Roman"/>
        </w:rPr>
        <w:t xml:space="preserve">stocks’ </w:t>
      </w:r>
      <w:r w:rsidR="00DB3041">
        <w:rPr>
          <w:rFonts w:ascii="Times New Roman" w:hAnsi="Times New Roman" w:cs="Times New Roman"/>
        </w:rPr>
        <w:t>quality characteristics: profitability, growth</w:t>
      </w:r>
      <w:r w:rsidR="004D20E8">
        <w:rPr>
          <w:rFonts w:ascii="Times New Roman" w:hAnsi="Times New Roman" w:cs="Times New Roman"/>
        </w:rPr>
        <w:t>,</w:t>
      </w:r>
      <w:r w:rsidR="00DB3041">
        <w:rPr>
          <w:rFonts w:ascii="Times New Roman" w:hAnsi="Times New Roman" w:cs="Times New Roman"/>
        </w:rPr>
        <w:t xml:space="preserve"> and </w:t>
      </w:r>
      <w:r w:rsidR="004D20E8">
        <w:rPr>
          <w:rFonts w:ascii="Times New Roman" w:hAnsi="Times New Roman" w:cs="Times New Roman"/>
        </w:rPr>
        <w:t>safety</w:t>
      </w:r>
      <w:r w:rsidR="00611707">
        <w:rPr>
          <w:rFonts w:ascii="Times New Roman" w:hAnsi="Times New Roman" w:cs="Times New Roman"/>
        </w:rPr>
        <w:t>. W</w:t>
      </w:r>
      <w:r w:rsidR="009F021F">
        <w:rPr>
          <w:rFonts w:ascii="Times New Roman" w:hAnsi="Times New Roman" w:cs="Times New Roman"/>
        </w:rPr>
        <w:t xml:space="preserve">e </w:t>
      </w:r>
      <w:r w:rsidR="000B41FF">
        <w:rPr>
          <w:rFonts w:ascii="Times New Roman" w:hAnsi="Times New Roman" w:cs="Times New Roman"/>
        </w:rPr>
        <w:t xml:space="preserve">constructed </w:t>
      </w:r>
      <w:r w:rsidR="00A06915">
        <w:rPr>
          <w:rFonts w:ascii="Times New Roman" w:hAnsi="Times New Roman" w:cs="Times New Roman"/>
        </w:rPr>
        <w:t>a</w:t>
      </w:r>
      <w:r w:rsidR="00E15C8E">
        <w:rPr>
          <w:rFonts w:ascii="Times New Roman" w:hAnsi="Times New Roman" w:cs="Times New Roman"/>
        </w:rPr>
        <w:t>n</w:t>
      </w:r>
      <w:r w:rsidR="00A06915">
        <w:rPr>
          <w:rFonts w:ascii="Times New Roman" w:hAnsi="Times New Roman" w:cs="Times New Roman"/>
        </w:rPr>
        <w:t xml:space="preserve"> </w:t>
      </w:r>
      <w:r w:rsidR="00564D80">
        <w:rPr>
          <w:rFonts w:ascii="Times New Roman" w:hAnsi="Times New Roman" w:cs="Times New Roman"/>
        </w:rPr>
        <w:t xml:space="preserve">adjusted </w:t>
      </w:r>
      <w:r w:rsidR="00955BA3">
        <w:rPr>
          <w:rFonts w:ascii="Times New Roman" w:hAnsi="Times New Roman" w:cs="Times New Roman"/>
        </w:rPr>
        <w:t xml:space="preserve">long-short portfolio </w:t>
      </w:r>
      <w:r w:rsidR="000A2F9E">
        <w:rPr>
          <w:rFonts w:ascii="Times New Roman" w:hAnsi="Times New Roman" w:cs="Times New Roman"/>
        </w:rPr>
        <w:t xml:space="preserve">which rebalanced each June </w:t>
      </w:r>
      <w:r w:rsidR="00E0126F">
        <w:rPr>
          <w:rFonts w:ascii="Times New Roman" w:hAnsi="Times New Roman" w:cs="Times New Roman"/>
        </w:rPr>
        <w:t xml:space="preserve">based on </w:t>
      </w:r>
      <w:r w:rsidR="00E0126F" w:rsidRPr="00A403F6">
        <w:rPr>
          <w:rFonts w:ascii="Times New Roman" w:hAnsi="Times New Roman" w:cs="Times New Roman"/>
          <w:i/>
          <w:iCs/>
        </w:rPr>
        <w:t>Quality minus Junk</w:t>
      </w:r>
      <w:r w:rsidR="00E0126F">
        <w:rPr>
          <w:rFonts w:ascii="Times New Roman" w:hAnsi="Times New Roman" w:cs="Times New Roman"/>
        </w:rPr>
        <w:t xml:space="preserve"> (</w:t>
      </w:r>
      <w:r w:rsidR="00E0126F" w:rsidRPr="00E0126F">
        <w:rPr>
          <w:rFonts w:ascii="Times New Roman" w:hAnsi="Times New Roman" w:cs="Times New Roman"/>
        </w:rPr>
        <w:t>Asness and Frazzini 201</w:t>
      </w:r>
      <w:r w:rsidR="002E0C7D">
        <w:rPr>
          <w:rFonts w:ascii="Times New Roman" w:hAnsi="Times New Roman" w:cs="Times New Roman"/>
        </w:rPr>
        <w:t>7</w:t>
      </w:r>
      <w:r w:rsidR="00E0126F">
        <w:rPr>
          <w:rFonts w:ascii="Times New Roman" w:hAnsi="Times New Roman" w:cs="Times New Roman"/>
        </w:rPr>
        <w:t>)</w:t>
      </w:r>
      <w:r w:rsidR="00454CA9">
        <w:rPr>
          <w:rFonts w:ascii="Times New Roman" w:hAnsi="Times New Roman" w:cs="Times New Roman"/>
        </w:rPr>
        <w:t xml:space="preserve"> </w:t>
      </w:r>
      <w:r w:rsidR="002E3A70">
        <w:rPr>
          <w:rFonts w:ascii="Times New Roman" w:hAnsi="Times New Roman" w:cs="Times New Roman"/>
        </w:rPr>
        <w:t>and</w:t>
      </w:r>
      <w:r w:rsidR="000237BE">
        <w:rPr>
          <w:rFonts w:ascii="Times New Roman" w:hAnsi="Times New Roman" w:cs="Times New Roman"/>
        </w:rPr>
        <w:t xml:space="preserve"> </w:t>
      </w:r>
      <w:r w:rsidR="00754E7C">
        <w:rPr>
          <w:rFonts w:ascii="Times New Roman" w:hAnsi="Times New Roman" w:cs="Times New Roman"/>
        </w:rPr>
        <w:t xml:space="preserve">introduced a similar </w:t>
      </w:r>
      <w:r w:rsidR="005C633F">
        <w:rPr>
          <w:rFonts w:ascii="Times New Roman" w:hAnsi="Times New Roman" w:cs="Times New Roman"/>
        </w:rPr>
        <w:t>QMJ factor</w:t>
      </w:r>
      <w:r w:rsidR="00F5291B">
        <w:rPr>
          <w:rFonts w:ascii="Times New Roman" w:hAnsi="Times New Roman" w:cs="Times New Roman"/>
        </w:rPr>
        <w:t xml:space="preserve">. </w:t>
      </w:r>
      <w:r w:rsidR="005C54E3">
        <w:rPr>
          <w:rFonts w:ascii="Times New Roman" w:hAnsi="Times New Roman" w:cs="Times New Roman"/>
        </w:rPr>
        <w:t xml:space="preserve">Overall, our long-short portfolio </w:t>
      </w:r>
      <w:r w:rsidR="00FB7568">
        <w:rPr>
          <w:rFonts w:ascii="Times New Roman" w:hAnsi="Times New Roman" w:cs="Times New Roman"/>
        </w:rPr>
        <w:t xml:space="preserve">achieved </w:t>
      </w:r>
      <w:r w:rsidR="003B05CB">
        <w:rPr>
          <w:rFonts w:ascii="Times New Roman" w:hAnsi="Times New Roman" w:cs="Times New Roman"/>
        </w:rPr>
        <w:t xml:space="preserve">an </w:t>
      </w:r>
      <w:r w:rsidR="00F76E68" w:rsidRPr="008C5DDC">
        <w:rPr>
          <w:rFonts w:ascii="Times New Roman" w:hAnsi="Times New Roman" w:cs="Times New Roman"/>
          <w:color w:val="FF0000"/>
        </w:rPr>
        <w:t xml:space="preserve">average </w:t>
      </w:r>
      <w:r w:rsidR="000416A6" w:rsidRPr="008C5DDC">
        <w:rPr>
          <w:rFonts w:ascii="Times New Roman" w:hAnsi="Times New Roman" w:cs="Times New Roman"/>
          <w:color w:val="FF0000"/>
        </w:rPr>
        <w:t xml:space="preserve">annualized return of </w:t>
      </w:r>
      <w:r w:rsidR="005F4E17" w:rsidRPr="008C5DDC">
        <w:rPr>
          <w:rFonts w:ascii="Times New Roman" w:hAnsi="Times New Roman" w:cs="Times New Roman"/>
          <w:color w:val="FF0000"/>
        </w:rPr>
        <w:t>XX, Sharpe ratio of XX</w:t>
      </w:r>
      <w:r w:rsidR="00BA7791" w:rsidRPr="008C5DDC">
        <w:rPr>
          <w:rFonts w:ascii="Times New Roman" w:hAnsi="Times New Roman" w:cs="Times New Roman"/>
          <w:color w:val="FF0000"/>
        </w:rPr>
        <w:t xml:space="preserve"> from</w:t>
      </w:r>
      <w:r w:rsidR="008C5DDC" w:rsidRPr="008C5DDC">
        <w:rPr>
          <w:rFonts w:ascii="Times New Roman" w:hAnsi="Times New Roman" w:cs="Times New Roman"/>
          <w:color w:val="FF0000"/>
        </w:rPr>
        <w:t xml:space="preserve"> July 1957 to December 2018</w:t>
      </w:r>
      <w:r w:rsidR="005F4E17">
        <w:rPr>
          <w:rFonts w:ascii="Times New Roman" w:hAnsi="Times New Roman" w:cs="Times New Roman"/>
        </w:rPr>
        <w:t xml:space="preserve">, </w:t>
      </w:r>
      <w:r w:rsidR="00812F03">
        <w:rPr>
          <w:rFonts w:ascii="Times New Roman" w:hAnsi="Times New Roman" w:cs="Times New Roman"/>
        </w:rPr>
        <w:t xml:space="preserve">beating </w:t>
      </w:r>
      <w:r w:rsidR="003D3D56">
        <w:rPr>
          <w:rFonts w:ascii="Times New Roman" w:hAnsi="Times New Roman" w:cs="Times New Roman"/>
        </w:rPr>
        <w:t xml:space="preserve">the </w:t>
      </w:r>
      <w:r w:rsidR="000B4A05">
        <w:rPr>
          <w:rFonts w:ascii="Times New Roman" w:hAnsi="Times New Roman" w:cs="Times New Roman"/>
        </w:rPr>
        <w:t xml:space="preserve">original </w:t>
      </w:r>
      <w:r w:rsidR="005A0833">
        <w:rPr>
          <w:rFonts w:ascii="Times New Roman" w:hAnsi="Times New Roman" w:cs="Times New Roman"/>
        </w:rPr>
        <w:t xml:space="preserve">long-short portfolio </w:t>
      </w:r>
      <w:r w:rsidR="002E0C7D">
        <w:rPr>
          <w:rFonts w:ascii="Times New Roman" w:hAnsi="Times New Roman" w:cs="Times New Roman"/>
        </w:rPr>
        <w:t xml:space="preserve">constructed by </w:t>
      </w:r>
      <w:r w:rsidR="002E0C7D" w:rsidRPr="00E0126F">
        <w:rPr>
          <w:rFonts w:ascii="Times New Roman" w:hAnsi="Times New Roman" w:cs="Times New Roman"/>
        </w:rPr>
        <w:t xml:space="preserve">Asness and Frazzini </w:t>
      </w:r>
      <w:r w:rsidR="00CE2B60">
        <w:rPr>
          <w:rFonts w:ascii="Times New Roman" w:hAnsi="Times New Roman" w:cs="Times New Roman"/>
        </w:rPr>
        <w:t>(</w:t>
      </w:r>
      <w:r w:rsidR="002E0C7D" w:rsidRPr="00E0126F">
        <w:rPr>
          <w:rFonts w:ascii="Times New Roman" w:hAnsi="Times New Roman" w:cs="Times New Roman"/>
        </w:rPr>
        <w:t>201</w:t>
      </w:r>
      <w:r w:rsidR="002E0C7D">
        <w:rPr>
          <w:rFonts w:ascii="Times New Roman" w:hAnsi="Times New Roman" w:cs="Times New Roman"/>
        </w:rPr>
        <w:t>7</w:t>
      </w:r>
      <w:r w:rsidR="00CE2B60">
        <w:rPr>
          <w:rFonts w:ascii="Times New Roman" w:hAnsi="Times New Roman" w:cs="Times New Roman"/>
        </w:rPr>
        <w:t>)</w:t>
      </w:r>
      <w:r w:rsidR="002E0C7D">
        <w:rPr>
          <w:rFonts w:ascii="Times New Roman" w:hAnsi="Times New Roman" w:cs="Times New Roman"/>
        </w:rPr>
        <w:t>.</w:t>
      </w:r>
      <w:r w:rsidR="0049607E">
        <w:rPr>
          <w:rFonts w:ascii="Times New Roman" w:hAnsi="Times New Roman" w:cs="Times New Roman"/>
        </w:rPr>
        <w:t xml:space="preserve"> </w:t>
      </w:r>
      <w:r w:rsidR="00172EF9">
        <w:rPr>
          <w:rFonts w:ascii="Times New Roman" w:hAnsi="Times New Roman" w:cs="Times New Roman"/>
        </w:rPr>
        <w:t xml:space="preserve"> </w:t>
      </w:r>
    </w:p>
    <w:p w14:paraId="6534F5B3" w14:textId="77777777" w:rsidR="009256A0" w:rsidRDefault="009256A0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3BC2AE9E" w14:textId="77777777" w:rsidR="0057595E" w:rsidRPr="00D42E19" w:rsidRDefault="0057595E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</w:p>
    <w:p w14:paraId="36B1AE07" w14:textId="77777777" w:rsidR="00806194" w:rsidRPr="00D42E19" w:rsidRDefault="009F7B13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>Background</w:t>
      </w:r>
    </w:p>
    <w:p w14:paraId="596E1915" w14:textId="77777777" w:rsidR="00426003" w:rsidRDefault="00426003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6FC532F6" w14:textId="1ACE0B92" w:rsidR="00953C68" w:rsidRDefault="00DC4FBD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953C68" w:rsidRPr="00953C68">
        <w:rPr>
          <w:rFonts w:ascii="Times New Roman" w:hAnsi="Times New Roman" w:cs="Times New Roman"/>
        </w:rPr>
        <w:t xml:space="preserve">e define quality as characteristics that investors should be willing to pay a higher price for, </w:t>
      </w:r>
      <w:r w:rsidR="00F53EFD">
        <w:rPr>
          <w:rFonts w:ascii="Times New Roman" w:hAnsi="Times New Roman" w:cs="Times New Roman"/>
        </w:rPr>
        <w:t>all</w:t>
      </w:r>
      <w:r w:rsidR="00953C68" w:rsidRPr="00953C68">
        <w:rPr>
          <w:rFonts w:ascii="Times New Roman" w:hAnsi="Times New Roman" w:cs="Times New Roman"/>
        </w:rPr>
        <w:t xml:space="preserve"> else equal. To apply our general definition of quality, we must identify stock characteristics that should command a higher price.</w:t>
      </w:r>
      <w:r w:rsidR="00D31BE2">
        <w:rPr>
          <w:rFonts w:ascii="Times New Roman" w:hAnsi="Times New Roman" w:cs="Times New Roman"/>
        </w:rPr>
        <w:t xml:space="preserve"> </w:t>
      </w:r>
    </w:p>
    <w:p w14:paraId="7B40FCA0" w14:textId="77777777" w:rsidR="00177191" w:rsidRPr="00953C68" w:rsidRDefault="00177191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72890AC" w14:textId="77777777" w:rsidR="00953C68" w:rsidRPr="00953C68" w:rsidRDefault="00953C6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53C68">
        <w:rPr>
          <w:rFonts w:ascii="Times New Roman" w:hAnsi="Times New Roman" w:cs="Times New Roman"/>
        </w:rPr>
        <w:t>We can rewrite Gordon’s growth model as following:</w:t>
      </w:r>
    </w:p>
    <w:p w14:paraId="3A42C46B" w14:textId="77777777" w:rsidR="00953C68" w:rsidRPr="00953C68" w:rsidRDefault="0010316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dividend</m:t>
              </m:r>
            </m:num>
            <m:den>
              <m:r>
                <w:rPr>
                  <w:rFonts w:ascii="Cambria Math" w:hAnsi="Cambria Math" w:cs="Times New Roman"/>
                </w:rPr>
                <m:t>required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return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growth</m:t>
              </m:r>
            </m:den>
          </m:f>
        </m:oMath>
      </m:oMathPara>
    </w:p>
    <w:p w14:paraId="2E75FD9C" w14:textId="77777777" w:rsidR="00953C68" w:rsidRPr="00953C68" w:rsidRDefault="00953C6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profit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× </m:t>
              </m:r>
              <m:r>
                <w:rPr>
                  <w:rFonts w:ascii="Cambria Math" w:hAnsi="Cambria Math" w:cs="Times New Roman"/>
                </w:rPr>
                <m:t>dividend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profit</m:t>
              </m:r>
            </m:num>
            <m:den>
              <m:r>
                <w:rPr>
                  <w:rFonts w:ascii="Cambria Math" w:hAnsi="Cambria Math" w:cs="Times New Roman"/>
                </w:rPr>
                <m:t>required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return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growth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profitability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payout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ratio</m:t>
              </m:r>
            </m:num>
            <m:den>
              <m:r>
                <w:rPr>
                  <w:rFonts w:ascii="Cambria Math" w:hAnsi="Cambria Math" w:cs="Times New Roman"/>
                </w:rPr>
                <m:t>required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return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growth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7F8F211C" w14:textId="77777777" w:rsidR="00953C68" w:rsidRPr="00953C68" w:rsidRDefault="00953C6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53C68">
        <w:rPr>
          <w:rFonts w:ascii="Times New Roman" w:hAnsi="Times New Roman" w:cs="Times New Roman"/>
        </w:rPr>
        <w:t>We scale price by book values to make them more stationary over time and in cross section.</w:t>
      </w:r>
    </w:p>
    <w:p w14:paraId="30F62E67" w14:textId="77777777" w:rsidR="00953C68" w:rsidRPr="00953C68" w:rsidRDefault="00953C6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953C68">
        <w:rPr>
          <w:rFonts w:ascii="Times New Roman" w:hAnsi="Times New Roman" w:cs="Times New Roman"/>
        </w:rPr>
        <w:lastRenderedPageBreak/>
        <w:t>According to the equation above, quality can be defined based on three key variables:</w:t>
      </w:r>
    </w:p>
    <w:p w14:paraId="61180DDE" w14:textId="77777777" w:rsidR="00182DBF" w:rsidRDefault="00953C68" w:rsidP="00953C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182DBF">
        <w:rPr>
          <w:rFonts w:ascii="Times New Roman" w:hAnsi="Times New Roman" w:cs="Times New Roman"/>
          <w:i/>
          <w:iCs/>
        </w:rPr>
        <w:t>Profitability</w:t>
      </w:r>
    </w:p>
    <w:p w14:paraId="5AC66C47" w14:textId="77777777" w:rsidR="00EA6856" w:rsidRDefault="00953C68" w:rsidP="00EA6856">
      <w:pPr>
        <w:spacing w:line="360" w:lineRule="auto"/>
        <w:ind w:left="720"/>
        <w:rPr>
          <w:rFonts w:ascii="Times New Roman" w:hAnsi="Times New Roman" w:cs="Times New Roman"/>
        </w:rPr>
      </w:pPr>
      <w:r w:rsidRPr="00182DBF">
        <w:rPr>
          <w:rFonts w:ascii="Times New Roman" w:hAnsi="Times New Roman" w:cs="Times New Roman"/>
        </w:rPr>
        <w:t xml:space="preserve">Profitability is the profits per unit of book value. All else equal, more profitable companies should command a higher stock price. </w:t>
      </w:r>
    </w:p>
    <w:p w14:paraId="47FB9F6D" w14:textId="4249FFEF" w:rsidR="00EA6856" w:rsidRPr="00EA6856" w:rsidRDefault="00EA6856" w:rsidP="00EA685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iCs/>
        </w:rPr>
      </w:pPr>
      <w:r w:rsidRPr="00EA6856">
        <w:rPr>
          <w:rFonts w:ascii="Times New Roman" w:hAnsi="Times New Roman" w:cs="Times New Roman"/>
          <w:i/>
          <w:iCs/>
        </w:rPr>
        <w:t>Growth</w:t>
      </w:r>
    </w:p>
    <w:p w14:paraId="272BFE6A" w14:textId="0934C1CE" w:rsidR="00953C68" w:rsidRPr="00EA6856" w:rsidRDefault="00953C68" w:rsidP="00EA6856">
      <w:pPr>
        <w:spacing w:line="360" w:lineRule="auto"/>
        <w:ind w:left="720"/>
        <w:rPr>
          <w:rFonts w:ascii="Times New Roman" w:hAnsi="Times New Roman" w:cs="Times New Roman"/>
        </w:rPr>
      </w:pPr>
      <w:r w:rsidRPr="00EA6856">
        <w:rPr>
          <w:rFonts w:ascii="Times New Roman" w:hAnsi="Times New Roman" w:cs="Times New Roman"/>
        </w:rPr>
        <w:t xml:space="preserve">Investors should also pay a higher price for stocks with growing profits. </w:t>
      </w:r>
    </w:p>
    <w:p w14:paraId="44050DF4" w14:textId="77777777" w:rsidR="009E57D5" w:rsidRDefault="00953C68" w:rsidP="00953C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3C395D">
        <w:rPr>
          <w:rFonts w:ascii="Times New Roman" w:hAnsi="Times New Roman" w:cs="Times New Roman"/>
          <w:i/>
          <w:iCs/>
        </w:rPr>
        <w:t>Safety</w:t>
      </w:r>
    </w:p>
    <w:p w14:paraId="5DCBE9C5" w14:textId="4C4D13FF" w:rsidR="00953C68" w:rsidRPr="00953C68" w:rsidRDefault="00953C68" w:rsidP="009E57D5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953C68">
        <w:rPr>
          <w:rFonts w:ascii="Times New Roman" w:hAnsi="Times New Roman" w:cs="Times New Roman"/>
        </w:rPr>
        <w:t>Investors should also pay, all-else-equal, a higher price for a stock with a lower required return, that is, a safer stock. We consider both return-based measure of safety (e.g., market beta) and fundamental-based measures of safety (low volatility of profitability, low leverage, and low credit risk).</w:t>
      </w:r>
    </w:p>
    <w:p w14:paraId="72D40C6C" w14:textId="77777777" w:rsidR="00806194" w:rsidRDefault="00806194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4BED6D9D" w14:textId="77777777" w:rsidR="00463232" w:rsidRDefault="00463232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6E930CE7" w14:textId="5C8A3491" w:rsidR="00F81663" w:rsidRPr="00D42E19" w:rsidRDefault="00F81663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>Data Source</w:t>
      </w:r>
      <w:r w:rsidR="00FB1D97">
        <w:rPr>
          <w:rFonts w:ascii="Arial" w:hAnsi="Arial" w:cs="Arial"/>
          <w:bCs/>
          <w:sz w:val="32"/>
        </w:rPr>
        <w:t>s</w:t>
      </w:r>
    </w:p>
    <w:p w14:paraId="1A62F733" w14:textId="77777777" w:rsidR="004F0990" w:rsidRDefault="004F0990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61B22DFA" w14:textId="288A2A16" w:rsidR="000512AC" w:rsidRPr="006854E1" w:rsidRDefault="00386054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need </w:t>
      </w:r>
      <w:r w:rsidR="009A1D21">
        <w:rPr>
          <w:rFonts w:ascii="Times New Roman" w:hAnsi="Times New Roman" w:cs="Times New Roman"/>
        </w:rPr>
        <w:t xml:space="preserve">annual </w:t>
      </w:r>
      <w:r w:rsidR="00DD1966">
        <w:rPr>
          <w:rFonts w:ascii="Times New Roman" w:hAnsi="Times New Roman" w:cs="Times New Roman"/>
        </w:rPr>
        <w:t xml:space="preserve">accounting data and </w:t>
      </w:r>
      <w:r w:rsidR="00E51B9B">
        <w:rPr>
          <w:rFonts w:ascii="Times New Roman" w:hAnsi="Times New Roman" w:cs="Times New Roman"/>
        </w:rPr>
        <w:t xml:space="preserve">monthly </w:t>
      </w:r>
      <w:r w:rsidR="00644B27">
        <w:rPr>
          <w:rFonts w:ascii="Times New Roman" w:hAnsi="Times New Roman" w:cs="Times New Roman"/>
        </w:rPr>
        <w:t xml:space="preserve">pricing data </w:t>
      </w:r>
      <w:r w:rsidR="00252312">
        <w:rPr>
          <w:rFonts w:ascii="Times New Roman" w:hAnsi="Times New Roman" w:cs="Times New Roman"/>
        </w:rPr>
        <w:t xml:space="preserve">to </w:t>
      </w:r>
      <w:r w:rsidR="004B2A69">
        <w:rPr>
          <w:rFonts w:ascii="Times New Roman" w:hAnsi="Times New Roman" w:cs="Times New Roman"/>
        </w:rPr>
        <w:t>construct portfolios</w:t>
      </w:r>
      <w:r w:rsidR="004B35BC">
        <w:rPr>
          <w:rFonts w:ascii="Times New Roman" w:hAnsi="Times New Roman" w:cs="Times New Roman"/>
        </w:rPr>
        <w:t xml:space="preserve"> and then calculated </w:t>
      </w:r>
      <w:r w:rsidR="001857B3">
        <w:rPr>
          <w:rFonts w:ascii="Times New Roman" w:hAnsi="Times New Roman" w:cs="Times New Roman"/>
        </w:rPr>
        <w:t>value-weighted returns</w:t>
      </w:r>
      <w:r w:rsidR="00DE081D">
        <w:rPr>
          <w:rFonts w:ascii="Times New Roman" w:hAnsi="Times New Roman" w:cs="Times New Roman"/>
        </w:rPr>
        <w:t>,</w:t>
      </w:r>
      <w:r w:rsidR="00D90409">
        <w:rPr>
          <w:rFonts w:ascii="Times New Roman" w:hAnsi="Times New Roman" w:cs="Times New Roman"/>
        </w:rPr>
        <w:t xml:space="preserve"> </w:t>
      </w:r>
      <w:r w:rsidR="00C357DE">
        <w:rPr>
          <w:rFonts w:ascii="Times New Roman" w:hAnsi="Times New Roman" w:cs="Times New Roman"/>
        </w:rPr>
        <w:t xml:space="preserve">which we </w:t>
      </w:r>
      <w:r w:rsidR="00AE1BB8">
        <w:rPr>
          <w:rFonts w:ascii="Times New Roman" w:hAnsi="Times New Roman" w:cs="Times New Roman"/>
        </w:rPr>
        <w:t>collect</w:t>
      </w:r>
      <w:r w:rsidR="00C80251">
        <w:rPr>
          <w:rFonts w:ascii="Times New Roman" w:hAnsi="Times New Roman" w:cs="Times New Roman"/>
        </w:rPr>
        <w:t>ed</w:t>
      </w:r>
      <w:r w:rsidR="00AE1BB8">
        <w:rPr>
          <w:rFonts w:ascii="Times New Roman" w:hAnsi="Times New Roman" w:cs="Times New Roman"/>
        </w:rPr>
        <w:t xml:space="preserve"> from</w:t>
      </w:r>
      <w:r w:rsidR="00C80251">
        <w:rPr>
          <w:rFonts w:ascii="Times New Roman" w:hAnsi="Times New Roman" w:cs="Times New Roman"/>
        </w:rPr>
        <w:t xml:space="preserve"> </w:t>
      </w:r>
      <w:r w:rsidR="006854E1" w:rsidRPr="006854E1">
        <w:rPr>
          <w:rFonts w:ascii="Times New Roman" w:hAnsi="Times New Roman" w:cs="Times New Roman"/>
        </w:rPr>
        <w:t>the Center for</w:t>
      </w:r>
      <w:r w:rsidR="006854E1">
        <w:rPr>
          <w:rFonts w:ascii="Times New Roman" w:hAnsi="Times New Roman" w:cs="Times New Roman"/>
        </w:rPr>
        <w:t xml:space="preserve"> </w:t>
      </w:r>
      <w:r w:rsidR="006854E1" w:rsidRPr="006854E1">
        <w:rPr>
          <w:rFonts w:ascii="Times New Roman" w:hAnsi="Times New Roman" w:cs="Times New Roman"/>
        </w:rPr>
        <w:t>Research on Security Prices (CRSP)</w:t>
      </w:r>
      <w:r w:rsidR="00106567">
        <w:rPr>
          <w:rFonts w:ascii="Times New Roman" w:hAnsi="Times New Roman" w:cs="Times New Roman"/>
        </w:rPr>
        <w:t xml:space="preserve"> and</w:t>
      </w:r>
      <w:r w:rsidR="002A06E0">
        <w:rPr>
          <w:rFonts w:ascii="Times New Roman" w:hAnsi="Times New Roman" w:cs="Times New Roman"/>
        </w:rPr>
        <w:t xml:space="preserve"> </w:t>
      </w:r>
      <w:r w:rsidR="002A06E0" w:rsidRPr="002A06E0">
        <w:rPr>
          <w:rFonts w:ascii="Times New Roman" w:hAnsi="Times New Roman" w:cs="Times New Roman"/>
        </w:rPr>
        <w:t>Compustat North America</w:t>
      </w:r>
      <w:r w:rsidR="002A06E0">
        <w:rPr>
          <w:rFonts w:ascii="Times New Roman" w:hAnsi="Times New Roman" w:cs="Times New Roman"/>
        </w:rPr>
        <w:t xml:space="preserve"> </w:t>
      </w:r>
      <w:r w:rsidR="002A06E0" w:rsidRPr="002A06E0">
        <w:rPr>
          <w:rFonts w:ascii="Times New Roman" w:hAnsi="Times New Roman" w:cs="Times New Roman"/>
        </w:rPr>
        <w:t>Fundamentals</w:t>
      </w:r>
      <w:r w:rsidR="00EC42BF">
        <w:rPr>
          <w:rFonts w:ascii="Times New Roman" w:hAnsi="Times New Roman" w:cs="Times New Roman"/>
        </w:rPr>
        <w:t xml:space="preserve"> (Compustat). </w:t>
      </w:r>
      <w:r w:rsidR="003A6966">
        <w:rPr>
          <w:rFonts w:ascii="Times New Roman" w:hAnsi="Times New Roman" w:cs="Times New Roman"/>
        </w:rPr>
        <w:t xml:space="preserve">To testify </w:t>
      </w:r>
      <w:r w:rsidR="000D3E0F">
        <w:rPr>
          <w:rFonts w:ascii="Times New Roman" w:hAnsi="Times New Roman" w:cs="Times New Roman"/>
        </w:rPr>
        <w:t xml:space="preserve">our strategy’s </w:t>
      </w:r>
      <w:r w:rsidR="00BE4F23">
        <w:rPr>
          <w:rFonts w:ascii="Times New Roman" w:hAnsi="Times New Roman" w:cs="Times New Roman"/>
        </w:rPr>
        <w:t xml:space="preserve">performance in terms of </w:t>
      </w:r>
      <w:r w:rsidR="008942F1">
        <w:rPr>
          <w:rFonts w:ascii="Times New Roman" w:hAnsi="Times New Roman" w:cs="Times New Roman"/>
        </w:rPr>
        <w:t>exposures to other risk factors</w:t>
      </w:r>
      <w:r w:rsidR="008E699A">
        <w:rPr>
          <w:rFonts w:ascii="Times New Roman" w:hAnsi="Times New Roman" w:cs="Times New Roman"/>
        </w:rPr>
        <w:t xml:space="preserve">, </w:t>
      </w:r>
      <w:r w:rsidR="006323DA">
        <w:rPr>
          <w:rFonts w:ascii="Times New Roman" w:hAnsi="Times New Roman" w:cs="Times New Roman"/>
        </w:rPr>
        <w:t xml:space="preserve">we downloaded </w:t>
      </w:r>
      <w:r w:rsidR="00716CCB">
        <w:rPr>
          <w:rFonts w:ascii="Times New Roman" w:hAnsi="Times New Roman" w:cs="Times New Roman"/>
        </w:rPr>
        <w:t>Fama</w:t>
      </w:r>
      <w:r w:rsidR="005B0682">
        <w:rPr>
          <w:rFonts w:ascii="Times New Roman" w:hAnsi="Times New Roman" w:cs="Times New Roman"/>
        </w:rPr>
        <w:t>-</w:t>
      </w:r>
      <w:r w:rsidR="00716CCB">
        <w:rPr>
          <w:rFonts w:ascii="Times New Roman" w:hAnsi="Times New Roman" w:cs="Times New Roman"/>
        </w:rPr>
        <w:t xml:space="preserve">French </w:t>
      </w:r>
      <w:r w:rsidR="00E7691B">
        <w:rPr>
          <w:rFonts w:ascii="Times New Roman" w:hAnsi="Times New Roman" w:cs="Times New Roman"/>
        </w:rPr>
        <w:t>3</w:t>
      </w:r>
      <w:r w:rsidR="00315D31">
        <w:rPr>
          <w:rFonts w:ascii="Times New Roman" w:hAnsi="Times New Roman" w:cs="Times New Roman"/>
        </w:rPr>
        <w:t xml:space="preserve"> factor</w:t>
      </w:r>
      <w:r w:rsidR="00090A6B">
        <w:rPr>
          <w:rFonts w:ascii="Times New Roman" w:hAnsi="Times New Roman" w:cs="Times New Roman"/>
        </w:rPr>
        <w:t xml:space="preserve">s </w:t>
      </w:r>
      <w:r w:rsidR="00E57DD1">
        <w:rPr>
          <w:rFonts w:ascii="Times New Roman" w:hAnsi="Times New Roman" w:cs="Times New Roman"/>
        </w:rPr>
        <w:t xml:space="preserve">from </w:t>
      </w:r>
      <w:r w:rsidR="005C308F" w:rsidRPr="005C308F">
        <w:rPr>
          <w:rFonts w:ascii="Times New Roman" w:hAnsi="Times New Roman" w:cs="Times New Roman"/>
        </w:rPr>
        <w:t>Kenneth R. French</w:t>
      </w:r>
      <w:r w:rsidR="00DB3758">
        <w:rPr>
          <w:rFonts w:ascii="Times New Roman" w:hAnsi="Times New Roman" w:cs="Times New Roman"/>
        </w:rPr>
        <w:t>’s website’s data library</w:t>
      </w:r>
      <w:r w:rsidR="005C308F">
        <w:rPr>
          <w:rFonts w:ascii="Times New Roman" w:hAnsi="Times New Roman" w:cs="Times New Roman"/>
        </w:rPr>
        <w:t xml:space="preserve">. </w:t>
      </w:r>
    </w:p>
    <w:p w14:paraId="0B9AB07B" w14:textId="77777777" w:rsidR="000512AC" w:rsidRDefault="000512AC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48711E4C" w14:textId="77777777" w:rsidR="008D4C9A" w:rsidRDefault="008D4C9A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36A42B9E" w14:textId="77777777" w:rsidR="00720CB2" w:rsidRPr="00D42E19" w:rsidRDefault="00CC71D0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 xml:space="preserve">Quality Score </w:t>
      </w:r>
      <w:r w:rsidR="003034DF" w:rsidRPr="00D42E19">
        <w:rPr>
          <w:rFonts w:ascii="Arial" w:hAnsi="Arial" w:cs="Arial"/>
          <w:bCs/>
          <w:sz w:val="32"/>
        </w:rPr>
        <w:t>Calculation</w:t>
      </w:r>
    </w:p>
    <w:p w14:paraId="532A165A" w14:textId="77777777" w:rsidR="00044212" w:rsidRDefault="00044212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10A85F41" w14:textId="43AFB3D6" w:rsidR="00EA2379" w:rsidRDefault="00F6567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A58DF">
        <w:rPr>
          <w:rFonts w:ascii="Times New Roman" w:hAnsi="Times New Roman" w:cs="Times New Roman"/>
        </w:rPr>
        <w:t>he</w:t>
      </w:r>
      <w:r w:rsidR="00132121">
        <w:rPr>
          <w:rFonts w:ascii="Times New Roman" w:hAnsi="Times New Roman" w:cs="Times New Roman"/>
        </w:rPr>
        <w:t xml:space="preserve"> </w:t>
      </w:r>
      <w:r w:rsidR="009F0209">
        <w:rPr>
          <w:rFonts w:ascii="Times New Roman" w:hAnsi="Times New Roman" w:cs="Times New Roman"/>
        </w:rPr>
        <w:t xml:space="preserve">quality score calculation is </w:t>
      </w:r>
      <w:r w:rsidR="00BC2C7D">
        <w:rPr>
          <w:rFonts w:ascii="Times New Roman" w:hAnsi="Times New Roman" w:cs="Times New Roman"/>
        </w:rPr>
        <w:t xml:space="preserve">key to </w:t>
      </w:r>
      <w:r w:rsidR="009F0209">
        <w:rPr>
          <w:rFonts w:ascii="Times New Roman" w:hAnsi="Times New Roman" w:cs="Times New Roman"/>
        </w:rPr>
        <w:t xml:space="preserve">our strategy </w:t>
      </w:r>
      <w:r w:rsidR="00594CA1">
        <w:rPr>
          <w:rFonts w:ascii="Times New Roman" w:hAnsi="Times New Roman" w:cs="Times New Roman"/>
        </w:rPr>
        <w:t xml:space="preserve">because our portfolio construction is </w:t>
      </w:r>
      <w:r w:rsidR="00EF1C1B">
        <w:rPr>
          <w:rFonts w:ascii="Times New Roman" w:hAnsi="Times New Roman" w:cs="Times New Roman"/>
        </w:rPr>
        <w:t xml:space="preserve">based on </w:t>
      </w:r>
      <w:r w:rsidR="00387425">
        <w:rPr>
          <w:rFonts w:ascii="Times New Roman" w:hAnsi="Times New Roman" w:cs="Times New Roman"/>
        </w:rPr>
        <w:t xml:space="preserve">sorting by </w:t>
      </w:r>
      <w:r w:rsidR="00EF1C1B">
        <w:rPr>
          <w:rFonts w:ascii="Times New Roman" w:hAnsi="Times New Roman" w:cs="Times New Roman"/>
        </w:rPr>
        <w:t>quality scores</w:t>
      </w:r>
      <w:r>
        <w:rPr>
          <w:rFonts w:ascii="Times New Roman" w:hAnsi="Times New Roman" w:cs="Times New Roman"/>
        </w:rPr>
        <w:t xml:space="preserve">. </w:t>
      </w:r>
      <w:r w:rsidR="00B44023">
        <w:rPr>
          <w:rFonts w:ascii="Times New Roman" w:hAnsi="Times New Roman" w:cs="Times New Roman"/>
        </w:rPr>
        <w:t xml:space="preserve">Quality consists of </w:t>
      </w:r>
      <w:r w:rsidR="00500BED">
        <w:rPr>
          <w:rFonts w:ascii="Times New Roman" w:hAnsi="Times New Roman" w:cs="Times New Roman"/>
        </w:rPr>
        <w:t xml:space="preserve">three parts: </w:t>
      </w:r>
      <w:r w:rsidR="00492D5F" w:rsidRPr="009130BD">
        <w:rPr>
          <w:rFonts w:ascii="Times New Roman" w:hAnsi="Times New Roman" w:cs="Times New Roman"/>
          <w:i/>
          <w:iCs/>
        </w:rPr>
        <w:t>profita</w:t>
      </w:r>
      <w:r w:rsidR="00B752BC" w:rsidRPr="009130BD">
        <w:rPr>
          <w:rFonts w:ascii="Times New Roman" w:hAnsi="Times New Roman" w:cs="Times New Roman"/>
          <w:i/>
          <w:iCs/>
        </w:rPr>
        <w:t>b</w:t>
      </w:r>
      <w:r w:rsidR="003354CC" w:rsidRPr="009130BD">
        <w:rPr>
          <w:rFonts w:ascii="Times New Roman" w:hAnsi="Times New Roman" w:cs="Times New Roman"/>
          <w:i/>
          <w:iCs/>
        </w:rPr>
        <w:t>ility</w:t>
      </w:r>
      <w:r w:rsidR="00273396" w:rsidRPr="009130BD">
        <w:rPr>
          <w:rFonts w:ascii="Times New Roman" w:hAnsi="Times New Roman" w:cs="Times New Roman"/>
          <w:i/>
          <w:iCs/>
        </w:rPr>
        <w:t xml:space="preserve">, </w:t>
      </w:r>
      <w:r w:rsidR="00EF60DA" w:rsidRPr="009130BD">
        <w:rPr>
          <w:rFonts w:ascii="Times New Roman" w:hAnsi="Times New Roman" w:cs="Times New Roman"/>
          <w:i/>
          <w:iCs/>
        </w:rPr>
        <w:t>growth, and safety</w:t>
      </w:r>
      <w:r w:rsidR="00EF60DA">
        <w:rPr>
          <w:rFonts w:ascii="Times New Roman" w:hAnsi="Times New Roman" w:cs="Times New Roman"/>
        </w:rPr>
        <w:t xml:space="preserve">. </w:t>
      </w:r>
      <w:r w:rsidR="001B6A4F">
        <w:rPr>
          <w:rFonts w:ascii="Times New Roman" w:hAnsi="Times New Roman" w:cs="Times New Roman"/>
        </w:rPr>
        <w:t xml:space="preserve">The </w:t>
      </w:r>
      <w:r w:rsidR="00752F50">
        <w:rPr>
          <w:rFonts w:ascii="Times New Roman" w:hAnsi="Times New Roman" w:cs="Times New Roman"/>
        </w:rPr>
        <w:t xml:space="preserve">quality score calculation </w:t>
      </w:r>
      <w:r w:rsidR="00730F33">
        <w:rPr>
          <w:rFonts w:ascii="Times New Roman" w:hAnsi="Times New Roman" w:cs="Times New Roman"/>
        </w:rPr>
        <w:t xml:space="preserve">requires </w:t>
      </w:r>
      <w:r w:rsidR="0057318B">
        <w:rPr>
          <w:rFonts w:ascii="Times New Roman" w:hAnsi="Times New Roman" w:cs="Times New Roman"/>
        </w:rPr>
        <w:t xml:space="preserve">accounting data </w:t>
      </w:r>
      <w:r w:rsidR="0091460D">
        <w:rPr>
          <w:rFonts w:ascii="Times New Roman" w:hAnsi="Times New Roman" w:cs="Times New Roman"/>
        </w:rPr>
        <w:t xml:space="preserve">and also </w:t>
      </w:r>
      <w:r w:rsidR="00340929">
        <w:rPr>
          <w:rFonts w:ascii="Times New Roman" w:hAnsi="Times New Roman" w:cs="Times New Roman"/>
        </w:rPr>
        <w:t xml:space="preserve">market equity </w:t>
      </w:r>
      <w:r w:rsidR="0024347B">
        <w:rPr>
          <w:rFonts w:ascii="Times New Roman" w:hAnsi="Times New Roman" w:cs="Times New Roman"/>
        </w:rPr>
        <w:t>data</w:t>
      </w:r>
      <w:r w:rsidR="00EF1751">
        <w:rPr>
          <w:rFonts w:ascii="Times New Roman" w:hAnsi="Times New Roman" w:cs="Times New Roman"/>
        </w:rPr>
        <w:t xml:space="preserve">. </w:t>
      </w:r>
      <w:r w:rsidR="008657B3" w:rsidRPr="008657B3">
        <w:rPr>
          <w:rFonts w:ascii="Times New Roman" w:hAnsi="Times New Roman" w:cs="Times New Roman"/>
        </w:rPr>
        <w:t>We follow</w:t>
      </w:r>
      <w:r w:rsidR="009E16E8">
        <w:rPr>
          <w:rFonts w:ascii="Times New Roman" w:hAnsi="Times New Roman" w:cs="Times New Roman"/>
        </w:rPr>
        <w:t xml:space="preserve"> </w:t>
      </w:r>
      <w:r w:rsidR="008657B3" w:rsidRPr="008657B3">
        <w:rPr>
          <w:rFonts w:ascii="Times New Roman" w:hAnsi="Times New Roman" w:cs="Times New Roman"/>
        </w:rPr>
        <w:t>the standard convention (Fama and French 1992) and align accounting variables at the</w:t>
      </w:r>
      <w:r w:rsidR="00C850C0">
        <w:rPr>
          <w:rFonts w:ascii="Times New Roman" w:hAnsi="Times New Roman" w:cs="Times New Roman"/>
        </w:rPr>
        <w:t xml:space="preserve"> </w:t>
      </w:r>
      <w:r w:rsidR="008657B3" w:rsidRPr="008657B3">
        <w:rPr>
          <w:rFonts w:ascii="Times New Roman" w:hAnsi="Times New Roman" w:cs="Times New Roman"/>
        </w:rPr>
        <w:t>end of the firm’s fiscal year ending anywhere in calendar year t-1 to June of calendar</w:t>
      </w:r>
      <w:r w:rsidR="003E10A1">
        <w:rPr>
          <w:rFonts w:ascii="Times New Roman" w:hAnsi="Times New Roman" w:cs="Times New Roman"/>
        </w:rPr>
        <w:t xml:space="preserve"> </w:t>
      </w:r>
      <w:r w:rsidR="008657B3" w:rsidRPr="008657B3">
        <w:rPr>
          <w:rFonts w:ascii="Times New Roman" w:hAnsi="Times New Roman" w:cs="Times New Roman"/>
        </w:rPr>
        <w:t>year t</w:t>
      </w:r>
      <w:r w:rsidR="00F8459B">
        <w:rPr>
          <w:rFonts w:ascii="Times New Roman" w:hAnsi="Times New Roman" w:cs="Times New Roman"/>
        </w:rPr>
        <w:t xml:space="preserve">. </w:t>
      </w:r>
      <w:r w:rsidR="00FA412A">
        <w:rPr>
          <w:rFonts w:ascii="Times New Roman" w:hAnsi="Times New Roman" w:cs="Times New Roman"/>
        </w:rPr>
        <w:t>Then in e</w:t>
      </w:r>
      <w:r w:rsidR="00473A90">
        <w:rPr>
          <w:rFonts w:ascii="Times New Roman" w:hAnsi="Times New Roman" w:cs="Times New Roman"/>
        </w:rPr>
        <w:t xml:space="preserve">ach </w:t>
      </w:r>
      <w:r w:rsidR="00FA412A">
        <w:rPr>
          <w:rFonts w:ascii="Times New Roman" w:hAnsi="Times New Roman" w:cs="Times New Roman"/>
        </w:rPr>
        <w:t>June</w:t>
      </w:r>
      <w:r w:rsidR="00473A90">
        <w:rPr>
          <w:rFonts w:ascii="Times New Roman" w:hAnsi="Times New Roman" w:cs="Times New Roman"/>
        </w:rPr>
        <w:t xml:space="preserve">, </w:t>
      </w:r>
      <w:r w:rsidR="00CD0E72">
        <w:rPr>
          <w:rFonts w:ascii="Times New Roman" w:hAnsi="Times New Roman" w:cs="Times New Roman"/>
        </w:rPr>
        <w:t xml:space="preserve">we can calculate </w:t>
      </w:r>
      <w:r w:rsidR="0054597A">
        <w:rPr>
          <w:rFonts w:ascii="Times New Roman" w:hAnsi="Times New Roman" w:cs="Times New Roman"/>
        </w:rPr>
        <w:t>quality scores.</w:t>
      </w:r>
      <w:r w:rsidR="00D52841">
        <w:rPr>
          <w:rFonts w:ascii="Times New Roman" w:hAnsi="Times New Roman" w:cs="Times New Roman"/>
        </w:rPr>
        <w:t xml:space="preserve"> </w:t>
      </w:r>
      <w:r w:rsidR="00CA2BD3">
        <w:rPr>
          <w:rFonts w:ascii="Times New Roman" w:hAnsi="Times New Roman" w:cs="Times New Roman"/>
        </w:rPr>
        <w:t>Specifically, w</w:t>
      </w:r>
      <w:r w:rsidR="006302BB">
        <w:rPr>
          <w:rFonts w:ascii="Times New Roman" w:hAnsi="Times New Roman" w:cs="Times New Roman"/>
        </w:rPr>
        <w:t xml:space="preserve">e convert each variable into ranks </w:t>
      </w:r>
      <w:r w:rsidR="005F0810">
        <w:rPr>
          <w:rFonts w:ascii="Times New Roman" w:hAnsi="Times New Roman" w:cs="Times New Roman"/>
        </w:rPr>
        <w:t xml:space="preserve">and </w:t>
      </w:r>
      <w:r w:rsidR="008414D9">
        <w:rPr>
          <w:rFonts w:ascii="Times New Roman" w:hAnsi="Times New Roman" w:cs="Times New Roman"/>
        </w:rPr>
        <w:lastRenderedPageBreak/>
        <w:t xml:space="preserve">standardize </w:t>
      </w:r>
      <w:r w:rsidR="00CA1948">
        <w:rPr>
          <w:rFonts w:ascii="Times New Roman" w:hAnsi="Times New Roman" w:cs="Times New Roman"/>
        </w:rPr>
        <w:t>to obtain</w:t>
      </w:r>
      <w:r w:rsidR="00D95C25">
        <w:rPr>
          <w:rFonts w:ascii="Times New Roman" w:hAnsi="Times New Roman" w:cs="Times New Roman"/>
        </w:rPr>
        <w:t xml:space="preserve"> a</w:t>
      </w:r>
      <w:r w:rsidR="00CA1948">
        <w:rPr>
          <w:rFonts w:ascii="Times New Roman" w:hAnsi="Times New Roman" w:cs="Times New Roman"/>
        </w:rPr>
        <w:t xml:space="preserve"> z-score. </w:t>
      </w:r>
      <w:r w:rsidR="00B26D97">
        <w:rPr>
          <w:rFonts w:ascii="Times New Roman" w:hAnsi="Times New Roman" w:cs="Times New Roman"/>
        </w:rPr>
        <w:t xml:space="preserve">More formally, </w:t>
      </w:r>
      <w:r w:rsidR="00035874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 w:rsidR="00035874">
        <w:rPr>
          <w:rFonts w:ascii="Times New Roman" w:hAnsi="Times New Roman" w:cs="Times New Roman"/>
        </w:rPr>
        <w:t xml:space="preserve"> be </w:t>
      </w:r>
      <w:r w:rsidR="00C76CE2">
        <w:rPr>
          <w:rFonts w:ascii="Times New Roman" w:hAnsi="Times New Roman" w:cs="Times New Roman"/>
        </w:rPr>
        <w:t xml:space="preserve">the variable of interest and r be the vector of </w:t>
      </w:r>
      <w:r w:rsidR="00BC1C0F">
        <w:rPr>
          <w:rFonts w:ascii="Times New Roman" w:hAnsi="Times New Roman" w:cs="Times New Roman"/>
        </w:rPr>
        <w:t xml:space="preserve">ranks,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=rank(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2F5B5F">
        <w:rPr>
          <w:rFonts w:ascii="Times New Roman" w:hAnsi="Times New Roman" w:cs="Times New Roman"/>
        </w:rPr>
        <w:t xml:space="preserve">. </w:t>
      </w:r>
      <w:r w:rsidR="006A6210">
        <w:rPr>
          <w:rFonts w:ascii="Times New Roman" w:hAnsi="Times New Roman" w:cs="Times New Roman"/>
        </w:rPr>
        <w:t xml:space="preserve">Then the </w:t>
      </w:r>
      <w:r w:rsidR="00360A32">
        <w:rPr>
          <w:rFonts w:ascii="Times New Roman" w:hAnsi="Times New Roman" w:cs="Times New Roman"/>
        </w:rPr>
        <w:t xml:space="preserve">z-score </w:t>
      </w:r>
      <w:r w:rsidR="00D82810">
        <w:rPr>
          <w:rFonts w:ascii="Times New Roman" w:hAnsi="Times New Roman" w:cs="Times New Roman"/>
        </w:rPr>
        <w:t>of the ranks of</w:t>
      </w:r>
      <w:r w:rsidR="002A2B8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750E3E">
        <w:rPr>
          <w:rFonts w:ascii="Times New Roman" w:hAnsi="Times New Roman" w:cs="Times New Roman"/>
        </w:rPr>
        <w:t xml:space="preserve"> is given </w:t>
      </w:r>
      <w:r w:rsidR="0028327F">
        <w:rPr>
          <w:rFonts w:ascii="Times New Roman" w:hAnsi="Times New Roman" w:cs="Times New Roman"/>
        </w:rPr>
        <w:t xml:space="preserve">by </w:t>
      </w:r>
      <m:oMath>
        <m:r>
          <w:rPr>
            <w:rFonts w:ascii="Cambria Math" w:hAnsi="Cambria Math" w:cs="Times New Roman"/>
          </w:rPr>
          <m:t>z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=(r-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)/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8D699C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8D699C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 w:rsidR="00581551">
        <w:rPr>
          <w:rFonts w:ascii="Times New Roman" w:hAnsi="Times New Roman" w:cs="Times New Roman"/>
        </w:rPr>
        <w:t xml:space="preserve"> are the cross-sectional </w:t>
      </w:r>
      <w:r w:rsidR="00D72B9A">
        <w:rPr>
          <w:rFonts w:ascii="Times New Roman" w:hAnsi="Times New Roman" w:cs="Times New Roman"/>
        </w:rPr>
        <w:t xml:space="preserve">mean and standard deviation </w:t>
      </w:r>
      <w:r w:rsidR="004363AA">
        <w:rPr>
          <w:rFonts w:ascii="Times New Roman" w:hAnsi="Times New Roman" w:cs="Times New Roman"/>
        </w:rPr>
        <w:t xml:space="preserve">of </w:t>
      </w:r>
      <m:oMath>
        <m:r>
          <w:rPr>
            <w:rFonts w:ascii="Cambria Math" w:hAnsi="Cambria Math" w:cs="Times New Roman"/>
          </w:rPr>
          <m:t>r</m:t>
        </m:r>
      </m:oMath>
      <w:r w:rsidR="004363AA">
        <w:rPr>
          <w:rFonts w:ascii="Times New Roman" w:hAnsi="Times New Roman" w:cs="Times New Roman"/>
        </w:rPr>
        <w:t xml:space="preserve">. </w:t>
      </w:r>
    </w:p>
    <w:p w14:paraId="265AEAF3" w14:textId="77777777" w:rsidR="002745BC" w:rsidRDefault="002745BC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2698378D" w14:textId="620B06A7" w:rsidR="00085FE5" w:rsidRPr="00FC5EB4" w:rsidRDefault="00AD1D61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 w:rsidRPr="00AD1D61">
        <w:rPr>
          <w:rFonts w:ascii="Times New Roman" w:hAnsi="Times New Roman" w:cs="Times New Roman"/>
        </w:rPr>
        <w:t xml:space="preserve">Our </w:t>
      </w:r>
      <w:r w:rsidR="004532B8">
        <w:rPr>
          <w:rFonts w:ascii="Times New Roman" w:hAnsi="Times New Roman" w:cs="Times New Roman"/>
          <w:i/>
          <w:iCs/>
        </w:rPr>
        <w:t>p</w:t>
      </w:r>
      <w:r w:rsidRPr="00C63B78">
        <w:rPr>
          <w:rFonts w:ascii="Times New Roman" w:hAnsi="Times New Roman" w:cs="Times New Roman"/>
          <w:i/>
          <w:iCs/>
        </w:rPr>
        <w:t>rofitabili</w:t>
      </w:r>
      <w:r w:rsidR="00C63B78" w:rsidRPr="00C63B78">
        <w:rPr>
          <w:rFonts w:ascii="Times New Roman" w:hAnsi="Times New Roman" w:cs="Times New Roman"/>
          <w:i/>
          <w:iCs/>
        </w:rPr>
        <w:t>t</w:t>
      </w:r>
      <w:r w:rsidRPr="00C63B78">
        <w:rPr>
          <w:rFonts w:ascii="Times New Roman" w:hAnsi="Times New Roman" w:cs="Times New Roman"/>
          <w:i/>
          <w:iCs/>
        </w:rPr>
        <w:t>y</w:t>
      </w:r>
      <w:r w:rsidR="00BB0918">
        <w:rPr>
          <w:rFonts w:ascii="Times New Roman" w:hAnsi="Times New Roman" w:cs="Times New Roman"/>
          <w:i/>
          <w:iCs/>
        </w:rPr>
        <w:t>,</w:t>
      </w:r>
      <w:r w:rsidR="004532B8">
        <w:rPr>
          <w:rFonts w:ascii="Times New Roman" w:hAnsi="Times New Roman" w:cs="Times New Roman"/>
          <w:i/>
          <w:iCs/>
        </w:rPr>
        <w:t xml:space="preserve"> growth, and safety</w:t>
      </w:r>
      <w:r w:rsidRPr="00AD1D61">
        <w:rPr>
          <w:rFonts w:ascii="Times New Roman" w:hAnsi="Times New Roman" w:cs="Times New Roman"/>
        </w:rPr>
        <w:t xml:space="preserve"> score</w:t>
      </w:r>
      <w:r w:rsidR="00CB7928">
        <w:rPr>
          <w:rFonts w:ascii="Times New Roman" w:hAnsi="Times New Roman" w:cs="Times New Roman"/>
        </w:rPr>
        <w:t>s</w:t>
      </w:r>
      <w:r w:rsidRPr="00AD1D61">
        <w:rPr>
          <w:rFonts w:ascii="Times New Roman" w:hAnsi="Times New Roman" w:cs="Times New Roman"/>
        </w:rPr>
        <w:t xml:space="preserve"> </w:t>
      </w:r>
      <w:r w:rsidR="00A9575D">
        <w:rPr>
          <w:rFonts w:ascii="Times New Roman" w:hAnsi="Times New Roman" w:cs="Times New Roman"/>
        </w:rPr>
        <w:t>are</w:t>
      </w:r>
      <w:r w:rsidRPr="00AD1D61">
        <w:rPr>
          <w:rFonts w:ascii="Times New Roman" w:hAnsi="Times New Roman" w:cs="Times New Roman"/>
        </w:rPr>
        <w:t xml:space="preserve"> the average of the individual z-scores:</w:t>
      </w:r>
    </w:p>
    <w:p w14:paraId="16843376" w14:textId="77777777" w:rsidR="00D66D19" w:rsidRPr="00093B45" w:rsidRDefault="00C561E5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Profitability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gpoa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roe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roa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cfoa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gmar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acc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68B6EFB6" w14:textId="77777777" w:rsidR="00093B45" w:rsidRPr="001748C1" w:rsidRDefault="005E508E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Growth</m:t>
          </m:r>
          <m:r>
            <m:rPr>
              <m:sty m:val="p"/>
            </m:rPr>
            <w:rPr>
              <w:rFonts w:ascii="Cambria Math" w:hAnsi="Times New Roman" w:cs="Times New Roman"/>
            </w:rPr>
            <m:t>=z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∆gpoa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∆roe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∆roa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∆cfoa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∆gmar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5C0E3AE" w14:textId="5C0B2150" w:rsidR="00F97204" w:rsidRPr="001748C1" w:rsidRDefault="00875D61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Safety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bab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lev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z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evol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7FF2B9E7" w14:textId="3209E270" w:rsidR="0028137A" w:rsidRDefault="00C53220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combine the three measures into </w:t>
      </w:r>
      <w:r w:rsidR="00CD322D">
        <w:rPr>
          <w:rFonts w:ascii="Times New Roman" w:hAnsi="Times New Roman" w:cs="Times New Roman"/>
        </w:rPr>
        <w:t>a single quality score:</w:t>
      </w:r>
    </w:p>
    <w:p w14:paraId="1DD2D286" w14:textId="4040BD80" w:rsidR="00CD322D" w:rsidRPr="00C9149D" w:rsidRDefault="00ED4AE5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Quality</m:t>
          </m:r>
          <m:r>
            <m:rPr>
              <m:sty m:val="p"/>
            </m:rPr>
            <w:rPr>
              <w:rFonts w:ascii="Cambria Math" w:hAnsi="Times New Roman" w:cs="Times New Roman"/>
            </w:rPr>
            <m:t>=z(</m:t>
          </m:r>
          <m:r>
            <w:rPr>
              <w:rFonts w:ascii="Cambria Math" w:hAnsi="Cambria Math" w:cs="Times New Roman"/>
            </w:rPr>
            <m:t>Profitability+Growth+Safety)</m:t>
          </m:r>
        </m:oMath>
      </m:oMathPara>
    </w:p>
    <w:p w14:paraId="0EB2B709" w14:textId="79249E72" w:rsidR="00C9149D" w:rsidRDefault="00C9149D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0CDF74E0" w14:textId="4F0565C2" w:rsidR="00C9149D" w:rsidRPr="00FC220A" w:rsidRDefault="00C9149D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variable formulas and descriptions are in Table I and table II</w:t>
      </w:r>
      <w:r>
        <w:rPr>
          <w:rFonts w:ascii="Times New Roman" w:hAnsi="Times New Roman" w:cs="Times New Roman"/>
        </w:rPr>
        <w:t>:</w:t>
      </w:r>
    </w:p>
    <w:p w14:paraId="3BE31F0B" w14:textId="77777777" w:rsidR="00FC220A" w:rsidRDefault="00FC220A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761"/>
        <w:gridCol w:w="7826"/>
      </w:tblGrid>
      <w:tr w:rsidR="001244F3" w14:paraId="6AAC7B79" w14:textId="77777777" w:rsidTr="00AF4700">
        <w:tc>
          <w:tcPr>
            <w:tcW w:w="95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2AC3F6" w14:textId="77777777" w:rsidR="001244F3" w:rsidRDefault="001244F3" w:rsidP="005F69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46AA2">
              <w:rPr>
                <w:rFonts w:ascii="Times New Roman" w:hAnsi="Times New Roman" w:cs="Times New Roman"/>
                <w:b/>
                <w:bCs/>
              </w:rPr>
              <w:t>Table 1</w:t>
            </w:r>
            <w:r>
              <w:rPr>
                <w:rFonts w:ascii="Times New Roman" w:hAnsi="Times New Roman" w:cs="Times New Roman"/>
              </w:rPr>
              <w:t xml:space="preserve"> Quality score variables description</w:t>
            </w:r>
          </w:p>
        </w:tc>
      </w:tr>
      <w:tr w:rsidR="001244F3" w14:paraId="33CE1805" w14:textId="77777777" w:rsidTr="00AF4700">
        <w:tc>
          <w:tcPr>
            <w:tcW w:w="1761" w:type="dxa"/>
            <w:tcBorders>
              <w:top w:val="single" w:sz="4" w:space="0" w:color="auto"/>
            </w:tcBorders>
            <w:vAlign w:val="center"/>
          </w:tcPr>
          <w:p w14:paraId="7609B941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</w:tc>
        <w:tc>
          <w:tcPr>
            <w:tcW w:w="7825" w:type="dxa"/>
            <w:tcBorders>
              <w:top w:val="single" w:sz="4" w:space="0" w:color="auto"/>
            </w:tcBorders>
            <w:vAlign w:val="center"/>
          </w:tcPr>
          <w:p w14:paraId="6E14ECD2" w14:textId="661F98A2" w:rsidR="001244F3" w:rsidRDefault="00AF470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</w:t>
            </w:r>
          </w:p>
        </w:tc>
      </w:tr>
      <w:tr w:rsidR="001244F3" w14:paraId="27100EE7" w14:textId="77777777" w:rsidTr="00AF4700">
        <w:tc>
          <w:tcPr>
            <w:tcW w:w="1761" w:type="dxa"/>
            <w:vAlign w:val="center"/>
          </w:tcPr>
          <w:p w14:paraId="047C48AB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GPOA</w:t>
            </w:r>
          </w:p>
        </w:tc>
        <w:tc>
          <w:tcPr>
            <w:tcW w:w="7825" w:type="dxa"/>
            <w:vAlign w:val="center"/>
          </w:tcPr>
          <w:p w14:paraId="2EFC7B39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(REVT − COGS)/AT</w:t>
            </w:r>
          </w:p>
        </w:tc>
      </w:tr>
      <w:tr w:rsidR="001244F3" w14:paraId="08AB90C4" w14:textId="77777777" w:rsidTr="00AF4700">
        <w:tc>
          <w:tcPr>
            <w:tcW w:w="1761" w:type="dxa"/>
            <w:vAlign w:val="center"/>
          </w:tcPr>
          <w:p w14:paraId="2E187B8D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ROE</w:t>
            </w:r>
          </w:p>
        </w:tc>
        <w:tc>
          <w:tcPr>
            <w:tcW w:w="7825" w:type="dxa"/>
            <w:vAlign w:val="center"/>
          </w:tcPr>
          <w:p w14:paraId="7C489C92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IB/BE</w:t>
            </w:r>
          </w:p>
        </w:tc>
      </w:tr>
      <w:tr w:rsidR="001244F3" w14:paraId="5188FB1F" w14:textId="77777777" w:rsidTr="00AF4700">
        <w:tc>
          <w:tcPr>
            <w:tcW w:w="1761" w:type="dxa"/>
            <w:vAlign w:val="center"/>
          </w:tcPr>
          <w:p w14:paraId="38DD6F45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ROA</w:t>
            </w:r>
          </w:p>
        </w:tc>
        <w:tc>
          <w:tcPr>
            <w:tcW w:w="7825" w:type="dxa"/>
            <w:vAlign w:val="center"/>
          </w:tcPr>
          <w:p w14:paraId="22026928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IB/AT</w:t>
            </w:r>
          </w:p>
        </w:tc>
      </w:tr>
      <w:tr w:rsidR="001244F3" w14:paraId="5A28005F" w14:textId="77777777" w:rsidTr="00AF4700">
        <w:tc>
          <w:tcPr>
            <w:tcW w:w="1761" w:type="dxa"/>
            <w:vAlign w:val="center"/>
          </w:tcPr>
          <w:p w14:paraId="0F16BB11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CFOA</w:t>
            </w:r>
          </w:p>
        </w:tc>
        <w:tc>
          <w:tcPr>
            <w:tcW w:w="7825" w:type="dxa"/>
            <w:vAlign w:val="center"/>
          </w:tcPr>
          <w:p w14:paraId="761336BE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(NB + DP − ΔWC − CAPX)/AT.</w:t>
            </w:r>
          </w:p>
        </w:tc>
      </w:tr>
      <w:tr w:rsidR="001244F3" w14:paraId="368A45AC" w14:textId="77777777" w:rsidTr="00AF4700">
        <w:tc>
          <w:tcPr>
            <w:tcW w:w="1761" w:type="dxa"/>
            <w:vAlign w:val="center"/>
          </w:tcPr>
          <w:p w14:paraId="4BA32556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GMAR</w:t>
            </w:r>
          </w:p>
        </w:tc>
        <w:tc>
          <w:tcPr>
            <w:tcW w:w="7825" w:type="dxa"/>
            <w:vAlign w:val="center"/>
          </w:tcPr>
          <w:p w14:paraId="4CDC3280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(REVT − COGS)/SALE</w:t>
            </w:r>
          </w:p>
        </w:tc>
      </w:tr>
      <w:tr w:rsidR="001244F3" w14:paraId="42D203B0" w14:textId="77777777" w:rsidTr="00AF4700">
        <w:tc>
          <w:tcPr>
            <w:tcW w:w="1761" w:type="dxa"/>
            <w:vAlign w:val="center"/>
          </w:tcPr>
          <w:p w14:paraId="719FA3E9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ACC</w:t>
            </w:r>
          </w:p>
        </w:tc>
        <w:tc>
          <w:tcPr>
            <w:tcW w:w="7825" w:type="dxa"/>
            <w:vAlign w:val="center"/>
          </w:tcPr>
          <w:p w14:paraId="146005FA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−(ΔWC − DP)/AT</w:t>
            </w:r>
          </w:p>
        </w:tc>
      </w:tr>
      <w:tr w:rsidR="001244F3" w14:paraId="51A19ACB" w14:textId="77777777" w:rsidTr="00AF4700">
        <w:tc>
          <w:tcPr>
            <w:tcW w:w="1761" w:type="dxa"/>
            <w:vAlign w:val="center"/>
          </w:tcPr>
          <w:p w14:paraId="0DE455CD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CD0D30">
              <w:rPr>
                <w:rFonts w:ascii="Times New Roman" w:hAnsi="Times New Roman" w:cs="Times New Roman"/>
              </w:rPr>
              <w:t>WC</w:t>
            </w:r>
          </w:p>
        </w:tc>
        <w:tc>
          <w:tcPr>
            <w:tcW w:w="7825" w:type="dxa"/>
            <w:vAlign w:val="center"/>
          </w:tcPr>
          <w:p w14:paraId="0BBC4B4E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65051">
              <w:rPr>
                <w:rFonts w:ascii="Times New Roman" w:hAnsi="Times New Roman" w:cs="Times New Roman"/>
              </w:rPr>
              <w:t>ACT − LCT − CHE + DLC + TXP</w:t>
            </w:r>
          </w:p>
        </w:tc>
      </w:tr>
      <w:tr w:rsidR="00716B95" w14:paraId="0AA6B5CA" w14:textId="77777777" w:rsidTr="00AF4700">
        <w:tc>
          <w:tcPr>
            <w:tcW w:w="1761" w:type="dxa"/>
            <w:vAlign w:val="center"/>
          </w:tcPr>
          <w:p w14:paraId="4CB06CA3" w14:textId="1D9DDA19" w:rsidR="00716B95" w:rsidRPr="00CD0D30" w:rsidRDefault="00716B95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7825" w:type="dxa"/>
            <w:vAlign w:val="center"/>
          </w:tcPr>
          <w:p w14:paraId="274484C8" w14:textId="6AFA676D" w:rsidR="00716B95" w:rsidRPr="00865051" w:rsidRDefault="00716B95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 or CEQ + PSTK or AT – LT – MIB</w:t>
            </w:r>
            <w:bookmarkStart w:id="0" w:name="_GoBack"/>
            <w:bookmarkEnd w:id="0"/>
          </w:p>
        </w:tc>
      </w:tr>
      <w:tr w:rsidR="001244F3" w14:paraId="461263F7" w14:textId="77777777" w:rsidTr="00AF4700">
        <w:tc>
          <w:tcPr>
            <w:tcW w:w="1761" w:type="dxa"/>
            <w:vAlign w:val="center"/>
          </w:tcPr>
          <w:p w14:paraId="3FBC4513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865051">
              <w:rPr>
                <w:rFonts w:ascii="Times New Roman" w:hAnsi="Times New Roman" w:cs="Times New Roman"/>
              </w:rPr>
              <w:t>BAB</w:t>
            </w:r>
          </w:p>
        </w:tc>
        <w:tc>
          <w:tcPr>
            <w:tcW w:w="7825" w:type="dxa"/>
            <w:vAlign w:val="center"/>
          </w:tcPr>
          <w:p w14:paraId="34B2AFE3" w14:textId="77777777" w:rsidR="001244F3" w:rsidRPr="00CD0D30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-β</m:t>
                </m:r>
              </m:oMath>
            </m:oMathPara>
          </w:p>
        </w:tc>
      </w:tr>
      <w:tr w:rsidR="001244F3" w14:paraId="5D489E08" w14:textId="77777777" w:rsidTr="00AF4700">
        <w:tc>
          <w:tcPr>
            <w:tcW w:w="1761" w:type="dxa"/>
            <w:vAlign w:val="center"/>
          </w:tcPr>
          <w:p w14:paraId="4A91E607" w14:textId="77777777" w:rsidR="001244F3" w:rsidRPr="00865051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7825" w:type="dxa"/>
            <w:vAlign w:val="center"/>
          </w:tcPr>
          <w:p w14:paraId="5A327894" w14:textId="77777777" w:rsidR="001244F3" w:rsidRDefault="001244F3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 w:rsidRPr="008C7337">
              <w:rPr>
                <w:rFonts w:ascii="Times New Roman" w:eastAsia="DengXian" w:hAnsi="Times New Roman" w:cs="Times New Roman"/>
              </w:rPr>
              <w:t>−(DLTT + DLC + MIBT + PSTK)/AT</w:t>
            </w:r>
          </w:p>
        </w:tc>
      </w:tr>
      <w:tr w:rsidR="002D2F60" w14:paraId="49895C2A" w14:textId="77777777" w:rsidTr="00AF4700">
        <w:tc>
          <w:tcPr>
            <w:tcW w:w="1761" w:type="dxa"/>
            <w:vAlign w:val="center"/>
          </w:tcPr>
          <w:p w14:paraId="1B10E981" w14:textId="520863E1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ADJASSET</w:t>
            </w:r>
          </w:p>
        </w:tc>
        <w:tc>
          <w:tcPr>
            <w:tcW w:w="7825" w:type="dxa"/>
            <w:vAlign w:val="center"/>
          </w:tcPr>
          <w:p w14:paraId="72DAA8C4" w14:textId="26EC7DB7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AT+0.1 * (ME – BE)</w:t>
            </w:r>
          </w:p>
        </w:tc>
      </w:tr>
      <w:tr w:rsidR="002D2F60" w14:paraId="16D63231" w14:textId="77777777" w:rsidTr="00AF4700">
        <w:tc>
          <w:tcPr>
            <w:tcW w:w="1761" w:type="dxa"/>
            <w:vAlign w:val="center"/>
          </w:tcPr>
          <w:p w14:paraId="39CC531B" w14:textId="599F9A30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TLTA</w:t>
            </w:r>
          </w:p>
        </w:tc>
        <w:tc>
          <w:tcPr>
            <w:tcW w:w="7825" w:type="dxa"/>
            <w:vAlign w:val="center"/>
          </w:tcPr>
          <w:p w14:paraId="6E9CF7AA" w14:textId="5AEB12EE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(DLC + DLTT)/ADJASSET</w:t>
            </w:r>
          </w:p>
        </w:tc>
      </w:tr>
      <w:tr w:rsidR="002D2F60" w14:paraId="6BFF10CE" w14:textId="77777777" w:rsidTr="00AF4700">
        <w:tc>
          <w:tcPr>
            <w:tcW w:w="1761" w:type="dxa"/>
            <w:vAlign w:val="center"/>
          </w:tcPr>
          <w:p w14:paraId="0FD4C731" w14:textId="07421918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WCTA</w:t>
            </w:r>
          </w:p>
        </w:tc>
        <w:tc>
          <w:tcPr>
            <w:tcW w:w="7825" w:type="dxa"/>
            <w:vAlign w:val="center"/>
          </w:tcPr>
          <w:p w14:paraId="70EA6A5B" w14:textId="0DC95F06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(ACT – LCT)/ADJASSET</w:t>
            </w:r>
          </w:p>
        </w:tc>
      </w:tr>
      <w:tr w:rsidR="002D2F60" w14:paraId="69F96484" w14:textId="77777777" w:rsidTr="00AF4700">
        <w:tc>
          <w:tcPr>
            <w:tcW w:w="1761" w:type="dxa"/>
            <w:vAlign w:val="center"/>
          </w:tcPr>
          <w:p w14:paraId="79AC7A34" w14:textId="014F3097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CLCA</w:t>
            </w:r>
          </w:p>
        </w:tc>
        <w:tc>
          <w:tcPr>
            <w:tcW w:w="7825" w:type="dxa"/>
            <w:vAlign w:val="center"/>
          </w:tcPr>
          <w:p w14:paraId="68D90DF5" w14:textId="5607C84D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LCT/ACT</w:t>
            </w:r>
          </w:p>
        </w:tc>
      </w:tr>
      <w:tr w:rsidR="002D2F60" w14:paraId="4264FCAB" w14:textId="77777777" w:rsidTr="00AF4700">
        <w:tc>
          <w:tcPr>
            <w:tcW w:w="1761" w:type="dxa"/>
            <w:vAlign w:val="center"/>
          </w:tcPr>
          <w:p w14:paraId="3CE3F501" w14:textId="039C1BB4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OENEG</w:t>
            </w:r>
          </w:p>
        </w:tc>
        <w:tc>
          <w:tcPr>
            <w:tcW w:w="7825" w:type="dxa"/>
            <w:vAlign w:val="center"/>
          </w:tcPr>
          <w:p w14:paraId="103AFF68" w14:textId="16DF6C49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Dummy 1(LT &gt; AT)</w:t>
            </w:r>
          </w:p>
        </w:tc>
      </w:tr>
      <w:tr w:rsidR="002D2F60" w14:paraId="38A2629E" w14:textId="77777777" w:rsidTr="00AF4700">
        <w:tc>
          <w:tcPr>
            <w:tcW w:w="1761" w:type="dxa"/>
            <w:vAlign w:val="center"/>
          </w:tcPr>
          <w:p w14:paraId="1F68054C" w14:textId="1449E039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NITA</w:t>
            </w:r>
          </w:p>
        </w:tc>
        <w:tc>
          <w:tcPr>
            <w:tcW w:w="7825" w:type="dxa"/>
            <w:vAlign w:val="center"/>
          </w:tcPr>
          <w:p w14:paraId="749FFC63" w14:textId="712BAAEB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IB/AT</w:t>
            </w:r>
          </w:p>
        </w:tc>
      </w:tr>
      <w:tr w:rsidR="002D2F60" w14:paraId="51804DA0" w14:textId="77777777" w:rsidTr="00AF4700">
        <w:tc>
          <w:tcPr>
            <w:tcW w:w="1761" w:type="dxa"/>
            <w:vAlign w:val="center"/>
          </w:tcPr>
          <w:p w14:paraId="6908D39E" w14:textId="3348ECC3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FUTL</w:t>
            </w:r>
          </w:p>
        </w:tc>
        <w:tc>
          <w:tcPr>
            <w:tcW w:w="7825" w:type="dxa"/>
            <w:vAlign w:val="center"/>
          </w:tcPr>
          <w:p w14:paraId="12AB5248" w14:textId="0FAFC431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PT.LT</w:t>
            </w:r>
          </w:p>
        </w:tc>
      </w:tr>
      <w:tr w:rsidR="002D2F60" w14:paraId="77CA267E" w14:textId="77777777" w:rsidTr="00AF4700">
        <w:tc>
          <w:tcPr>
            <w:tcW w:w="1761" w:type="dxa"/>
            <w:vAlign w:val="center"/>
          </w:tcPr>
          <w:p w14:paraId="500441FC" w14:textId="65064CFD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INTWO</w:t>
            </w:r>
          </w:p>
        </w:tc>
        <w:tc>
          <w:tcPr>
            <w:tcW w:w="7825" w:type="dxa"/>
            <w:vAlign w:val="center"/>
          </w:tcPr>
          <w:p w14:paraId="4E64457A" w14:textId="3DC460CC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Dummy </w:t>
            </w:r>
            <m:oMath>
              <m:r>
                <w:rPr>
                  <w:rFonts w:ascii="Cambria Math" w:hAnsi="Cambria Math" w:cs="Times New Roman"/>
                </w:rPr>
                <m:t>1(MAX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&lt;0)</m:t>
              </m:r>
            </m:oMath>
          </w:p>
        </w:tc>
      </w:tr>
      <w:tr w:rsidR="002D2F60" w14:paraId="27C792FA" w14:textId="77777777" w:rsidTr="00AF4700">
        <w:tc>
          <w:tcPr>
            <w:tcW w:w="1761" w:type="dxa"/>
            <w:vAlign w:val="center"/>
          </w:tcPr>
          <w:p w14:paraId="0E853102" w14:textId="31C2589D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CHIN</w:t>
            </w:r>
          </w:p>
        </w:tc>
        <w:tc>
          <w:tcPr>
            <w:tcW w:w="7825" w:type="dxa"/>
            <w:vAlign w:val="center"/>
          </w:tcPr>
          <w:p w14:paraId="26B5CEB4" w14:textId="07CE4519" w:rsidR="002D2F60" w:rsidRPr="008C7337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)/(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t-1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</w:tr>
      <w:tr w:rsidR="002D2F60" w14:paraId="3F73BD14" w14:textId="77777777" w:rsidTr="00AF4700">
        <w:tc>
          <w:tcPr>
            <w:tcW w:w="1761" w:type="dxa"/>
            <w:vAlign w:val="center"/>
          </w:tcPr>
          <w:p w14:paraId="0C914273" w14:textId="371AD764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Altman’s Z-Score</w:t>
            </w:r>
          </w:p>
        </w:tc>
        <w:tc>
          <w:tcPr>
            <w:tcW w:w="7825" w:type="dxa"/>
            <w:vAlign w:val="center"/>
          </w:tcPr>
          <w:p w14:paraId="3BAEE429" w14:textId="1BC5E3AF" w:rsidR="002D2F60" w:rsidRP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(1.2WC+1.4RE+3.3EBIT+0.6ME+SALE)/AT</m:t>
                </m:r>
              </m:oMath>
            </m:oMathPara>
          </w:p>
        </w:tc>
      </w:tr>
      <w:tr w:rsidR="002D2F60" w14:paraId="66AE9517" w14:textId="77777777" w:rsidTr="00AF4700">
        <w:tc>
          <w:tcPr>
            <w:tcW w:w="1761" w:type="dxa"/>
            <w:vAlign w:val="center"/>
          </w:tcPr>
          <w:p w14:paraId="57E0AEAC" w14:textId="23755DFB" w:rsid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Olson’s O-Score</w:t>
            </w:r>
          </w:p>
        </w:tc>
        <w:tc>
          <w:tcPr>
            <w:tcW w:w="7825" w:type="dxa"/>
            <w:vAlign w:val="center"/>
          </w:tcPr>
          <w:p w14:paraId="6199DC8A" w14:textId="3EBE5761" w:rsidR="002D2F60" w:rsidRPr="002D2F60" w:rsidRDefault="002D2F60" w:rsidP="004F36D6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O=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-1.32-0.407×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ADJASSET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CPI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+6.03×TLTA-1.43×WCTA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+0.076×CLCA-1.72×OENEG-2.37×NITA-1.83FUTL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+0.285×INTWO-0.521×CHIN</m:t>
                        </m:r>
                      </m:e>
                    </m:eqArr>
                  </m:e>
                </m:d>
              </m:oMath>
            </m:oMathPara>
          </w:p>
        </w:tc>
      </w:tr>
    </w:tbl>
    <w:p w14:paraId="45E371B2" w14:textId="77777777" w:rsidR="001244F3" w:rsidRPr="009D2B4B" w:rsidRDefault="001244F3" w:rsidP="001244F3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C7DD5E" w14:textId="272AF397" w:rsidR="001244F3" w:rsidRPr="00D51C94" w:rsidRDefault="001244F3" w:rsidP="001244F3">
      <w:pPr>
        <w:autoSpaceDE w:val="0"/>
        <w:autoSpaceDN w:val="0"/>
        <w:adjustRightInd w:val="0"/>
        <w:rPr>
          <w:bCs/>
          <w:sz w:val="28"/>
          <w:szCs w:val="22"/>
        </w:rPr>
      </w:pPr>
    </w:p>
    <w:p w14:paraId="71AF28DD" w14:textId="77777777" w:rsidR="001244F3" w:rsidRDefault="001244F3" w:rsidP="001244F3">
      <w:pPr>
        <w:autoSpaceDE w:val="0"/>
        <w:autoSpaceDN w:val="0"/>
        <w:adjustRightInd w:val="0"/>
        <w:rPr>
          <w:b/>
          <w:sz w:val="32"/>
        </w:rPr>
      </w:pPr>
    </w:p>
    <w:p w14:paraId="67BF8E6F" w14:textId="77777777" w:rsidR="00FC220A" w:rsidRPr="009D2B4B" w:rsidRDefault="00FC220A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3AC824BF" w14:textId="77777777" w:rsidR="00EA2379" w:rsidRDefault="00EA2379" w:rsidP="00953C68">
      <w:pPr>
        <w:autoSpaceDE w:val="0"/>
        <w:autoSpaceDN w:val="0"/>
        <w:adjustRightInd w:val="0"/>
        <w:spacing w:line="360" w:lineRule="auto"/>
        <w:rPr>
          <w:bCs/>
          <w:sz w:val="28"/>
          <w:szCs w:val="22"/>
        </w:rPr>
      </w:pPr>
    </w:p>
    <w:p w14:paraId="2B3686DC" w14:textId="77777777" w:rsidR="00D31592" w:rsidRPr="00D42E19" w:rsidRDefault="00D31592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>Portfolio Construction</w:t>
      </w:r>
    </w:p>
    <w:p w14:paraId="65E066BC" w14:textId="77777777" w:rsidR="00D31592" w:rsidRDefault="00D31592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6CD218B4" w14:textId="77777777" w:rsidR="009E20B8" w:rsidRDefault="0091267D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E24814">
        <w:rPr>
          <w:rFonts w:ascii="Times New Roman" w:hAnsi="Times New Roman" w:cs="Times New Roman"/>
        </w:rPr>
        <w:t xml:space="preserve">our </w:t>
      </w:r>
      <w:r w:rsidR="00080F44">
        <w:rPr>
          <w:rFonts w:ascii="Times New Roman" w:hAnsi="Times New Roman" w:cs="Times New Roman"/>
        </w:rPr>
        <w:t xml:space="preserve">trading strategy, </w:t>
      </w:r>
      <w:r w:rsidR="000D698E">
        <w:rPr>
          <w:rFonts w:ascii="Times New Roman" w:hAnsi="Times New Roman" w:cs="Times New Roman"/>
        </w:rPr>
        <w:t>July</w:t>
      </w:r>
      <w:r w:rsidR="00DA48EA">
        <w:rPr>
          <w:rFonts w:ascii="Times New Roman" w:hAnsi="Times New Roman" w:cs="Times New Roman"/>
        </w:rPr>
        <w:t xml:space="preserve"> at year t</w:t>
      </w:r>
      <w:r w:rsidR="000D698E">
        <w:rPr>
          <w:rFonts w:ascii="Times New Roman" w:hAnsi="Times New Roman" w:cs="Times New Roman"/>
        </w:rPr>
        <w:t xml:space="preserve"> to June</w:t>
      </w:r>
      <w:r w:rsidR="00DA48EA">
        <w:rPr>
          <w:rFonts w:ascii="Times New Roman" w:hAnsi="Times New Roman" w:cs="Times New Roman"/>
        </w:rPr>
        <w:t xml:space="preserve"> at year t+1</w:t>
      </w:r>
      <w:r w:rsidR="000D698E">
        <w:rPr>
          <w:rFonts w:ascii="Times New Roman" w:hAnsi="Times New Roman" w:cs="Times New Roman"/>
        </w:rPr>
        <w:t xml:space="preserve"> </w:t>
      </w:r>
      <w:r w:rsidR="007976D3">
        <w:rPr>
          <w:rFonts w:ascii="Times New Roman" w:hAnsi="Times New Roman" w:cs="Times New Roman"/>
        </w:rPr>
        <w:t>is an investment period</w:t>
      </w:r>
      <w:r w:rsidR="001460C7">
        <w:rPr>
          <w:rFonts w:ascii="Times New Roman" w:hAnsi="Times New Roman" w:cs="Times New Roman"/>
        </w:rPr>
        <w:t xml:space="preserve">. </w:t>
      </w:r>
      <w:r w:rsidR="007976D3">
        <w:rPr>
          <w:rFonts w:ascii="Times New Roman" w:hAnsi="Times New Roman" w:cs="Times New Roman"/>
        </w:rPr>
        <w:t xml:space="preserve"> </w:t>
      </w:r>
      <w:r w:rsidR="000D4E95">
        <w:rPr>
          <w:rFonts w:ascii="Times New Roman" w:hAnsi="Times New Roman" w:cs="Times New Roman"/>
        </w:rPr>
        <w:t>Each July</w:t>
      </w:r>
      <w:r w:rsidR="0054332A">
        <w:rPr>
          <w:rFonts w:ascii="Times New Roman" w:hAnsi="Times New Roman" w:cs="Times New Roman"/>
        </w:rPr>
        <w:t>,</w:t>
      </w:r>
      <w:r w:rsidR="000D4E95">
        <w:rPr>
          <w:rFonts w:ascii="Times New Roman" w:hAnsi="Times New Roman" w:cs="Times New Roman"/>
        </w:rPr>
        <w:t xml:space="preserve"> </w:t>
      </w:r>
      <w:r w:rsidR="0064230E">
        <w:rPr>
          <w:rFonts w:ascii="Times New Roman" w:hAnsi="Times New Roman" w:cs="Times New Roman"/>
        </w:rPr>
        <w:t xml:space="preserve">we </w:t>
      </w:r>
      <w:r w:rsidR="007D1592">
        <w:rPr>
          <w:rFonts w:ascii="Times New Roman" w:hAnsi="Times New Roman" w:cs="Times New Roman"/>
        </w:rPr>
        <w:t>calculate</w:t>
      </w:r>
      <w:r w:rsidR="0018258D">
        <w:rPr>
          <w:rFonts w:ascii="Times New Roman" w:hAnsi="Times New Roman" w:cs="Times New Roman"/>
        </w:rPr>
        <w:t xml:space="preserve"> </w:t>
      </w:r>
      <w:r w:rsidR="00933072">
        <w:rPr>
          <w:rFonts w:ascii="Times New Roman" w:hAnsi="Times New Roman" w:cs="Times New Roman"/>
        </w:rPr>
        <w:t xml:space="preserve">stocks’ </w:t>
      </w:r>
      <w:r w:rsidR="00B03F84">
        <w:rPr>
          <w:rFonts w:ascii="Times New Roman" w:hAnsi="Times New Roman" w:cs="Times New Roman"/>
        </w:rPr>
        <w:t>quality scores</w:t>
      </w:r>
      <w:r w:rsidR="00FC1E94">
        <w:rPr>
          <w:rFonts w:ascii="Times New Roman" w:hAnsi="Times New Roman" w:cs="Times New Roman"/>
        </w:rPr>
        <w:t xml:space="preserve"> </w:t>
      </w:r>
      <w:r w:rsidR="004B530A">
        <w:rPr>
          <w:rFonts w:ascii="Times New Roman" w:hAnsi="Times New Roman" w:cs="Times New Roman"/>
        </w:rPr>
        <w:t xml:space="preserve">based on </w:t>
      </w:r>
      <w:r w:rsidR="00D9114A">
        <w:rPr>
          <w:rFonts w:ascii="Times New Roman" w:hAnsi="Times New Roman" w:cs="Times New Roman"/>
        </w:rPr>
        <w:t xml:space="preserve">accounting data </w:t>
      </w:r>
      <w:r w:rsidR="00954776">
        <w:rPr>
          <w:rFonts w:ascii="Times New Roman" w:hAnsi="Times New Roman" w:cs="Times New Roman"/>
        </w:rPr>
        <w:t>and market equity on</w:t>
      </w:r>
      <w:r w:rsidR="00752C2F">
        <w:rPr>
          <w:rFonts w:ascii="Times New Roman" w:hAnsi="Times New Roman" w:cs="Times New Roman"/>
        </w:rPr>
        <w:t xml:space="preserve"> the previous</w:t>
      </w:r>
      <w:r w:rsidR="00954776">
        <w:rPr>
          <w:rFonts w:ascii="Times New Roman" w:hAnsi="Times New Roman" w:cs="Times New Roman"/>
        </w:rPr>
        <w:t xml:space="preserve"> December</w:t>
      </w:r>
      <w:r w:rsidR="003A0A86">
        <w:rPr>
          <w:rFonts w:ascii="Times New Roman" w:hAnsi="Times New Roman" w:cs="Times New Roman"/>
        </w:rPr>
        <w:t xml:space="preserve">. </w:t>
      </w:r>
      <w:r w:rsidR="00B21338">
        <w:rPr>
          <w:rFonts w:ascii="Times New Roman" w:hAnsi="Times New Roman" w:cs="Times New Roman"/>
        </w:rPr>
        <w:t xml:space="preserve">To form </w:t>
      </w:r>
      <w:r w:rsidR="00816A7E">
        <w:rPr>
          <w:rFonts w:ascii="Times New Roman" w:hAnsi="Times New Roman" w:cs="Times New Roman"/>
        </w:rPr>
        <w:t>quality-sorted portfolios</w:t>
      </w:r>
      <w:r w:rsidR="00081965">
        <w:rPr>
          <w:rFonts w:ascii="Times New Roman" w:hAnsi="Times New Roman" w:cs="Times New Roman"/>
        </w:rPr>
        <w:t xml:space="preserve">, </w:t>
      </w:r>
      <w:r w:rsidR="009D2642">
        <w:rPr>
          <w:rFonts w:ascii="Times New Roman" w:hAnsi="Times New Roman" w:cs="Times New Roman"/>
        </w:rPr>
        <w:t xml:space="preserve">we assign </w:t>
      </w:r>
      <w:r w:rsidR="006254E0">
        <w:rPr>
          <w:rFonts w:ascii="Times New Roman" w:hAnsi="Times New Roman" w:cs="Times New Roman"/>
        </w:rPr>
        <w:t>stocks</w:t>
      </w:r>
      <w:r w:rsidR="00BB476B">
        <w:rPr>
          <w:rFonts w:ascii="Times New Roman" w:hAnsi="Times New Roman" w:cs="Times New Roman"/>
        </w:rPr>
        <w:t xml:space="preserve"> in</w:t>
      </w:r>
      <w:r w:rsidR="00B94DB8">
        <w:rPr>
          <w:rFonts w:ascii="Times New Roman" w:hAnsi="Times New Roman" w:cs="Times New Roman"/>
        </w:rPr>
        <w:t xml:space="preserve">to 10 quality-sorted </w:t>
      </w:r>
      <w:r w:rsidR="009B1518">
        <w:rPr>
          <w:rFonts w:ascii="Times New Roman" w:hAnsi="Times New Roman" w:cs="Times New Roman"/>
        </w:rPr>
        <w:t xml:space="preserve">portfolios </w:t>
      </w:r>
      <w:r w:rsidR="00E11DCD">
        <w:rPr>
          <w:rFonts w:ascii="Times New Roman" w:hAnsi="Times New Roman" w:cs="Times New Roman"/>
        </w:rPr>
        <w:t xml:space="preserve">based on NYSE </w:t>
      </w:r>
      <w:r w:rsidR="00904C4C">
        <w:rPr>
          <w:rFonts w:ascii="Times New Roman" w:hAnsi="Times New Roman" w:cs="Times New Roman"/>
        </w:rPr>
        <w:t xml:space="preserve">breakpoints. </w:t>
      </w:r>
      <w:r w:rsidR="00A847C5">
        <w:rPr>
          <w:rFonts w:ascii="Times New Roman" w:hAnsi="Times New Roman" w:cs="Times New Roman"/>
        </w:rPr>
        <w:t>Then,</w:t>
      </w:r>
      <w:r w:rsidR="00E306CF">
        <w:rPr>
          <w:rFonts w:ascii="Times New Roman" w:hAnsi="Times New Roman" w:cs="Times New Roman"/>
        </w:rPr>
        <w:t xml:space="preserve"> we could obtain</w:t>
      </w:r>
      <w:r w:rsidR="00A847C5">
        <w:rPr>
          <w:rFonts w:ascii="Times New Roman" w:hAnsi="Times New Roman" w:cs="Times New Roman"/>
        </w:rPr>
        <w:t xml:space="preserve"> </w:t>
      </w:r>
      <w:r w:rsidR="006F7C6E">
        <w:rPr>
          <w:rFonts w:ascii="Times New Roman" w:hAnsi="Times New Roman" w:cs="Times New Roman"/>
        </w:rPr>
        <w:t xml:space="preserve">monthly </w:t>
      </w:r>
      <w:r w:rsidR="00316E6E">
        <w:rPr>
          <w:rFonts w:ascii="Times New Roman" w:hAnsi="Times New Roman" w:cs="Times New Roman"/>
        </w:rPr>
        <w:t xml:space="preserve">value-weighted </w:t>
      </w:r>
      <w:r w:rsidR="00AE5CD5">
        <w:rPr>
          <w:rFonts w:ascii="Times New Roman" w:hAnsi="Times New Roman" w:cs="Times New Roman"/>
        </w:rPr>
        <w:t>return</w:t>
      </w:r>
      <w:r w:rsidR="00A9218B">
        <w:rPr>
          <w:rFonts w:ascii="Times New Roman" w:hAnsi="Times New Roman" w:cs="Times New Roman"/>
        </w:rPr>
        <w:t>s</w:t>
      </w:r>
      <w:r w:rsidR="00C36343">
        <w:rPr>
          <w:rFonts w:ascii="Times New Roman" w:hAnsi="Times New Roman" w:cs="Times New Roman"/>
        </w:rPr>
        <w:t xml:space="preserve"> </w:t>
      </w:r>
      <w:r w:rsidR="001C40A2">
        <w:rPr>
          <w:rFonts w:ascii="Times New Roman" w:hAnsi="Times New Roman" w:cs="Times New Roman"/>
        </w:rPr>
        <w:t>for each decile</w:t>
      </w:r>
      <w:r w:rsidR="00337A95">
        <w:rPr>
          <w:rFonts w:ascii="Times New Roman" w:hAnsi="Times New Roman" w:cs="Times New Roman"/>
        </w:rPr>
        <w:t xml:space="preserve"> by weighting </w:t>
      </w:r>
      <w:r w:rsidR="00B204A7">
        <w:rPr>
          <w:rFonts w:ascii="Times New Roman" w:hAnsi="Times New Roman" w:cs="Times New Roman"/>
        </w:rPr>
        <w:t>each</w:t>
      </w:r>
      <w:r w:rsidR="00E50565">
        <w:rPr>
          <w:rFonts w:ascii="Times New Roman" w:hAnsi="Times New Roman" w:cs="Times New Roman"/>
        </w:rPr>
        <w:t xml:space="preserve"> stock </w:t>
      </w:r>
      <w:r w:rsidR="00FF42E2">
        <w:rPr>
          <w:rFonts w:ascii="Times New Roman" w:hAnsi="Times New Roman" w:cs="Times New Roman"/>
        </w:rPr>
        <w:t xml:space="preserve">by its </w:t>
      </w:r>
      <w:r w:rsidR="00D7596E">
        <w:rPr>
          <w:rFonts w:ascii="Times New Roman" w:hAnsi="Times New Roman" w:cs="Times New Roman"/>
        </w:rPr>
        <w:t>lagged market capitalization</w:t>
      </w:r>
      <w:r w:rsidR="001C40A2">
        <w:rPr>
          <w:rFonts w:ascii="Times New Roman" w:hAnsi="Times New Roman" w:cs="Times New Roman"/>
        </w:rPr>
        <w:t>.</w:t>
      </w:r>
      <w:r w:rsidR="001D4EAE">
        <w:rPr>
          <w:rFonts w:ascii="Times New Roman" w:hAnsi="Times New Roman" w:cs="Times New Roman"/>
        </w:rPr>
        <w:t xml:space="preserve"> </w:t>
      </w:r>
    </w:p>
    <w:p w14:paraId="530AAC7F" w14:textId="77777777" w:rsidR="009E20B8" w:rsidRDefault="009E20B8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</w:rPr>
      </w:pPr>
    </w:p>
    <w:p w14:paraId="5B886EC2" w14:textId="77777777" w:rsidR="00EA2379" w:rsidRDefault="006A4B68" w:rsidP="00953C68">
      <w:pPr>
        <w:autoSpaceDE w:val="0"/>
        <w:autoSpaceDN w:val="0"/>
        <w:adjustRightInd w:val="0"/>
        <w:spacing w:line="360" w:lineRule="auto"/>
        <w:rPr>
          <w:bCs/>
          <w:sz w:val="28"/>
          <w:szCs w:val="22"/>
        </w:rPr>
      </w:pPr>
      <w:r>
        <w:rPr>
          <w:rFonts w:ascii="Times New Roman" w:hAnsi="Times New Roman" w:cs="Times New Roman"/>
        </w:rPr>
        <w:t xml:space="preserve">Our strategy </w:t>
      </w:r>
      <w:r w:rsidR="00B02465">
        <w:rPr>
          <w:rFonts w:ascii="Times New Roman" w:hAnsi="Times New Roman" w:cs="Times New Roman"/>
        </w:rPr>
        <w:t xml:space="preserve">is to long </w:t>
      </w:r>
      <w:r w:rsidR="00B61F54">
        <w:rPr>
          <w:rFonts w:ascii="Times New Roman" w:hAnsi="Times New Roman" w:cs="Times New Roman"/>
        </w:rPr>
        <w:t xml:space="preserve">high </w:t>
      </w:r>
      <w:r w:rsidR="00CA51DF">
        <w:rPr>
          <w:rFonts w:ascii="Times New Roman" w:hAnsi="Times New Roman" w:cs="Times New Roman"/>
        </w:rPr>
        <w:t xml:space="preserve">quality </w:t>
      </w:r>
      <w:r w:rsidR="0092144F">
        <w:rPr>
          <w:rFonts w:ascii="Times New Roman" w:hAnsi="Times New Roman" w:cs="Times New Roman"/>
        </w:rPr>
        <w:t>stocks</w:t>
      </w:r>
      <w:r w:rsidR="000313E9">
        <w:rPr>
          <w:rFonts w:ascii="Times New Roman" w:hAnsi="Times New Roman" w:cs="Times New Roman"/>
        </w:rPr>
        <w:t xml:space="preserve"> and short </w:t>
      </w:r>
      <w:r w:rsidR="00392480">
        <w:rPr>
          <w:rFonts w:ascii="Times New Roman" w:hAnsi="Times New Roman" w:cs="Times New Roman"/>
        </w:rPr>
        <w:t>low quality</w:t>
      </w:r>
      <w:r w:rsidR="00B160F9">
        <w:rPr>
          <w:rFonts w:ascii="Times New Roman" w:hAnsi="Times New Roman" w:cs="Times New Roman"/>
        </w:rPr>
        <w:t xml:space="preserve"> stocks</w:t>
      </w:r>
      <w:r w:rsidR="0092144F">
        <w:rPr>
          <w:rFonts w:ascii="Times New Roman" w:hAnsi="Times New Roman" w:cs="Times New Roman"/>
        </w:rPr>
        <w:t xml:space="preserve">. </w:t>
      </w:r>
      <w:r w:rsidR="009513FA">
        <w:rPr>
          <w:rFonts w:ascii="Times New Roman" w:hAnsi="Times New Roman" w:cs="Times New Roman"/>
        </w:rPr>
        <w:t>Therefore, we form the long-short portfolio</w:t>
      </w:r>
      <w:r w:rsidR="00C22A9B">
        <w:rPr>
          <w:rFonts w:ascii="Times New Roman" w:hAnsi="Times New Roman" w:cs="Times New Roman"/>
        </w:rPr>
        <w:t xml:space="preserve"> (Decile 10 minus Decile 1)</w:t>
      </w:r>
      <w:r w:rsidR="004E6943">
        <w:rPr>
          <w:rFonts w:ascii="Times New Roman" w:hAnsi="Times New Roman" w:cs="Times New Roman"/>
        </w:rPr>
        <w:t xml:space="preserve"> from July 1957 to December </w:t>
      </w:r>
      <w:r w:rsidR="00131135">
        <w:rPr>
          <w:rFonts w:ascii="Times New Roman" w:hAnsi="Times New Roman" w:cs="Times New Roman"/>
        </w:rPr>
        <w:t>2018</w:t>
      </w:r>
      <w:r w:rsidR="009513FA">
        <w:rPr>
          <w:rFonts w:ascii="Times New Roman" w:hAnsi="Times New Roman" w:cs="Times New Roman"/>
        </w:rPr>
        <w:t xml:space="preserve">. </w:t>
      </w:r>
    </w:p>
    <w:p w14:paraId="1C0DF487" w14:textId="77777777" w:rsidR="00B80E08" w:rsidRDefault="00B80E08" w:rsidP="00953C68">
      <w:pPr>
        <w:autoSpaceDE w:val="0"/>
        <w:autoSpaceDN w:val="0"/>
        <w:adjustRightInd w:val="0"/>
        <w:spacing w:line="360" w:lineRule="auto"/>
        <w:rPr>
          <w:bCs/>
          <w:sz w:val="28"/>
          <w:szCs w:val="22"/>
        </w:rPr>
      </w:pPr>
    </w:p>
    <w:p w14:paraId="5E6A8FAB" w14:textId="77777777" w:rsidR="0074333F" w:rsidRPr="00EB01FD" w:rsidRDefault="0074333F" w:rsidP="00953C68">
      <w:pPr>
        <w:autoSpaceDE w:val="0"/>
        <w:autoSpaceDN w:val="0"/>
        <w:adjustRightInd w:val="0"/>
        <w:spacing w:line="360" w:lineRule="auto"/>
        <w:rPr>
          <w:bCs/>
          <w:sz w:val="28"/>
          <w:szCs w:val="22"/>
        </w:rPr>
      </w:pPr>
    </w:p>
    <w:p w14:paraId="39168EE7" w14:textId="77777777" w:rsidR="005163F6" w:rsidRPr="00D42E19" w:rsidRDefault="00653529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 xml:space="preserve">Empirical </w:t>
      </w:r>
      <w:r w:rsidR="00DC4200" w:rsidRPr="00D42E19">
        <w:rPr>
          <w:rFonts w:ascii="Arial" w:hAnsi="Arial" w:cs="Arial"/>
          <w:bCs/>
          <w:sz w:val="32"/>
        </w:rPr>
        <w:t xml:space="preserve">Result </w:t>
      </w:r>
    </w:p>
    <w:tbl>
      <w:tblPr>
        <w:tblW w:w="11150" w:type="dxa"/>
        <w:jc w:val="center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900"/>
        <w:gridCol w:w="900"/>
        <w:gridCol w:w="900"/>
        <w:gridCol w:w="796"/>
        <w:gridCol w:w="796"/>
        <w:gridCol w:w="796"/>
        <w:gridCol w:w="856"/>
        <w:gridCol w:w="796"/>
      </w:tblGrid>
      <w:tr w:rsidR="00767825" w:rsidRPr="001820A4" w14:paraId="72076CE2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00B4F4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2AE6FB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P1 (Low)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C0C37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P2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D7C6F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P3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BA216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P4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61830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P5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A9605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P6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A1A94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P7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DA74A9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P8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A4984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A329CA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P10 (High)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7063E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H-L</w:t>
            </w:r>
          </w:p>
        </w:tc>
      </w:tr>
      <w:tr w:rsidR="001820A4" w:rsidRPr="001820A4" w14:paraId="07244E31" w14:textId="77777777" w:rsidTr="00767825">
        <w:trPr>
          <w:trHeight w:val="320"/>
          <w:jc w:val="center"/>
        </w:trPr>
        <w:tc>
          <w:tcPr>
            <w:tcW w:w="1115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1DAE" w14:textId="31E7F3EF" w:rsidR="001820A4" w:rsidRPr="001820A4" w:rsidRDefault="00A620AF" w:rsidP="001820A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Long Sample </w:t>
            </w:r>
            <w:r w:rsidR="001820A4" w:rsidRPr="001820A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U.S., 7/1957 - 12/2018</w:t>
            </w:r>
          </w:p>
        </w:tc>
      </w:tr>
      <w:tr w:rsidR="00767825" w:rsidRPr="001820A4" w14:paraId="566EC1B4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6733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Excess Return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C840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05FC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5A01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C0D0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CD58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8461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6E28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0.58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C41B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915E6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A0D72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0.64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8FA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</w:p>
        </w:tc>
      </w:tr>
      <w:tr w:rsidR="00767825" w:rsidRPr="001820A4" w14:paraId="1CDE4E73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F8EB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CAPM Alpha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4A1C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B5AB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1C04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967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3A12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2EAB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F82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426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AA7B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F458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0.12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AEA1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0.51</w:t>
            </w:r>
          </w:p>
        </w:tc>
      </w:tr>
      <w:tr w:rsidR="00767825" w:rsidRPr="001820A4" w14:paraId="1B736A1B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46447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AABE" w14:textId="73FEED9C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-3.68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28A4" w14:textId="7778E71F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-1.00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11D1" w14:textId="765EAF7E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-0.95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4A88" w14:textId="17BD8355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0.48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A0173" w14:textId="04EB1AB1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0.85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65B8A" w14:textId="1E81B04A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0.24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90E8" w14:textId="7DCBC999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1.24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CA9B" w14:textId="7C5014D0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1.20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6A3D" w14:textId="2F8BD4BF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560A" w14:textId="5A14322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2.00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9A17" w14:textId="276AF183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3.65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767825" w:rsidRPr="001820A4" w14:paraId="314BBD00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4A20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3-factor Alpha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8FEE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8349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81F4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3FF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984A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1E61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-0.07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64BA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638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533C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E3D0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0.27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732F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0.86</w:t>
            </w:r>
          </w:p>
        </w:tc>
      </w:tr>
      <w:tr w:rsidR="00767825" w:rsidRPr="001820A4" w14:paraId="200B3EB8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6432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98AB" w14:textId="7D77DC7C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-6.81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D568" w14:textId="4860BB00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-4.75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69EDF" w14:textId="1CEF90AC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-4.29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98B4E" w14:textId="365853B5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-2.03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1550" w14:textId="3602B019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-1.30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88013" w14:textId="1907AC1A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-1.33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FC7F" w14:textId="0CCC27C5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0.35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5255" w14:textId="1DC83676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0.70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3137" w14:textId="75E22911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1.03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D681" w14:textId="59F383EB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5.41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16AA" w14:textId="451F06F9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7.99</w:t>
            </w:r>
            <w:r w:rsidRPr="00767825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767825" w:rsidRPr="001820A4" w14:paraId="2741DD16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CCD7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Beta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568F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687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7A9F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FF4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092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4739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48CD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3F4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0.97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A2F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1.00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1DAC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0.99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F759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-0.31</w:t>
            </w:r>
          </w:p>
        </w:tc>
      </w:tr>
      <w:tr w:rsidR="00767825" w:rsidRPr="001820A4" w14:paraId="240B21FF" w14:textId="77777777" w:rsidTr="00767825">
        <w:trPr>
          <w:trHeight w:val="320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60F9" w14:textId="77777777" w:rsidR="001820A4" w:rsidRPr="001820A4" w:rsidRDefault="001820A4" w:rsidP="001820A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Sharpe Ratio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EAFA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4D58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D83F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DA53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A2A7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CE49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BCD5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0A06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0.45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6F6E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B457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0.49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3E3A" w14:textId="77777777" w:rsidR="001820A4" w:rsidRPr="001820A4" w:rsidRDefault="001820A4" w:rsidP="001820A4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1820A4">
              <w:rPr>
                <w:rFonts w:ascii="Times New Roman" w:eastAsia="Times New Roman" w:hAnsi="Times New Roman" w:cs="Times New Roman"/>
                <w:color w:val="000000"/>
              </w:rPr>
              <w:t>0.30</w:t>
            </w:r>
          </w:p>
        </w:tc>
      </w:tr>
    </w:tbl>
    <w:p w14:paraId="31751075" w14:textId="77777777" w:rsidR="00902937" w:rsidRDefault="00902937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7305187D" w14:textId="77777777" w:rsidR="00902937" w:rsidRDefault="00902937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25897843" w14:textId="77777777" w:rsidR="00E1749D" w:rsidRPr="00D42E19" w:rsidRDefault="00594E91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lastRenderedPageBreak/>
        <w:t>Write-up Questions</w:t>
      </w:r>
    </w:p>
    <w:p w14:paraId="25D757C4" w14:textId="77777777" w:rsidR="00AD5D37" w:rsidRDefault="00AD5D37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1. </w:t>
      </w:r>
      <w:r w:rsidR="00F12A75" w:rsidRPr="00F12A75">
        <w:rPr>
          <w:rFonts w:ascii="Times New Roman" w:hAnsi="Times New Roman" w:cs="Times New Roman"/>
          <w:i/>
        </w:rPr>
        <w:t>Why should the investor follow your strategy as opposed to alternative strategies?</w:t>
      </w:r>
    </w:p>
    <w:p w14:paraId="514EC13C" w14:textId="77777777" w:rsidR="0097639F" w:rsidRDefault="0097639F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</w:p>
    <w:p w14:paraId="5557FC21" w14:textId="77777777" w:rsidR="000A500B" w:rsidRDefault="000271F6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Compared to </w:t>
      </w:r>
      <w:r w:rsidR="00457391">
        <w:rPr>
          <w:rFonts w:ascii="Times New Roman" w:hAnsi="Times New Roman" w:cs="Times New Roman"/>
          <w:iCs/>
        </w:rPr>
        <w:t xml:space="preserve">market value-weighted portfolio, our </w:t>
      </w:r>
      <w:r w:rsidR="007541D0">
        <w:rPr>
          <w:rFonts w:ascii="Times New Roman" w:hAnsi="Times New Roman" w:cs="Times New Roman"/>
          <w:iCs/>
        </w:rPr>
        <w:t xml:space="preserve">long-short portfolios </w:t>
      </w:r>
      <w:r w:rsidR="00D829D9">
        <w:rPr>
          <w:rFonts w:ascii="Times New Roman" w:hAnsi="Times New Roman" w:cs="Times New Roman"/>
          <w:iCs/>
        </w:rPr>
        <w:t xml:space="preserve">achieved higher </w:t>
      </w:r>
      <w:r w:rsidR="00E9701E">
        <w:rPr>
          <w:rFonts w:ascii="Times New Roman" w:hAnsi="Times New Roman" w:cs="Times New Roman"/>
          <w:iCs/>
        </w:rPr>
        <w:t xml:space="preserve">cumulative returns </w:t>
      </w:r>
      <w:r w:rsidR="00F132A9">
        <w:rPr>
          <w:rFonts w:ascii="Times New Roman" w:hAnsi="Times New Roman" w:cs="Times New Roman"/>
          <w:iCs/>
        </w:rPr>
        <w:t xml:space="preserve">from </w:t>
      </w:r>
      <w:r w:rsidR="0097639F">
        <w:rPr>
          <w:rFonts w:ascii="Times New Roman" w:hAnsi="Times New Roman" w:cs="Times New Roman"/>
          <w:iCs/>
        </w:rPr>
        <w:t xml:space="preserve">July 1957 to December 2018. </w:t>
      </w:r>
      <w:r w:rsidR="00E96F44">
        <w:rPr>
          <w:rFonts w:ascii="Times New Roman" w:hAnsi="Times New Roman" w:cs="Times New Roman"/>
          <w:iCs/>
        </w:rPr>
        <w:t xml:space="preserve">Besides, </w:t>
      </w:r>
      <w:r w:rsidR="00B2043D">
        <w:rPr>
          <w:rFonts w:ascii="Times New Roman" w:hAnsi="Times New Roman" w:cs="Times New Roman"/>
          <w:iCs/>
        </w:rPr>
        <w:t>after do</w:t>
      </w:r>
      <w:r w:rsidR="00B265DC">
        <w:rPr>
          <w:rFonts w:ascii="Times New Roman" w:hAnsi="Times New Roman" w:cs="Times New Roman"/>
          <w:iCs/>
        </w:rPr>
        <w:t>ing</w:t>
      </w:r>
      <w:r w:rsidR="00B2043D">
        <w:rPr>
          <w:rFonts w:ascii="Times New Roman" w:hAnsi="Times New Roman" w:cs="Times New Roman"/>
          <w:iCs/>
        </w:rPr>
        <w:t xml:space="preserve"> regression on the </w:t>
      </w:r>
      <w:r w:rsidR="00E272DA">
        <w:rPr>
          <w:rFonts w:ascii="Times New Roman" w:hAnsi="Times New Roman" w:cs="Times New Roman"/>
          <w:iCs/>
        </w:rPr>
        <w:t xml:space="preserve">CAPM, </w:t>
      </w:r>
      <w:r w:rsidR="00F07295">
        <w:rPr>
          <w:rFonts w:ascii="Times New Roman" w:hAnsi="Times New Roman" w:cs="Times New Roman"/>
          <w:iCs/>
        </w:rPr>
        <w:t xml:space="preserve">our portfolio obtains </w:t>
      </w:r>
      <w:r w:rsidR="00865CBB">
        <w:rPr>
          <w:rFonts w:ascii="Times New Roman" w:hAnsi="Times New Roman" w:cs="Times New Roman"/>
          <w:iCs/>
        </w:rPr>
        <w:t>a significant positive alpha</w:t>
      </w:r>
      <w:r w:rsidR="00801900">
        <w:rPr>
          <w:rFonts w:ascii="Times New Roman" w:hAnsi="Times New Roman" w:cs="Times New Roman"/>
          <w:iCs/>
        </w:rPr>
        <w:t xml:space="preserve">. </w:t>
      </w:r>
      <w:r w:rsidR="00D4239C">
        <w:rPr>
          <w:rFonts w:ascii="Times New Roman" w:hAnsi="Times New Roman" w:cs="Times New Roman"/>
          <w:iCs/>
        </w:rPr>
        <w:t xml:space="preserve">Thus, </w:t>
      </w:r>
      <w:r w:rsidR="00DF2163">
        <w:rPr>
          <w:rFonts w:ascii="Times New Roman" w:hAnsi="Times New Roman" w:cs="Times New Roman"/>
          <w:iCs/>
        </w:rPr>
        <w:t xml:space="preserve">our investor </w:t>
      </w:r>
      <w:r w:rsidR="0040410C">
        <w:rPr>
          <w:rFonts w:ascii="Times New Roman" w:hAnsi="Times New Roman" w:cs="Times New Roman"/>
          <w:iCs/>
        </w:rPr>
        <w:t xml:space="preserve">could </w:t>
      </w:r>
      <w:r w:rsidR="00A537B8">
        <w:rPr>
          <w:rFonts w:ascii="Times New Roman" w:hAnsi="Times New Roman" w:cs="Times New Roman"/>
          <w:iCs/>
        </w:rPr>
        <w:t xml:space="preserve">make more money following our quality long-short portfolio instead of </w:t>
      </w:r>
      <w:r w:rsidR="002F2939">
        <w:rPr>
          <w:rFonts w:ascii="Times New Roman" w:hAnsi="Times New Roman" w:cs="Times New Roman"/>
          <w:iCs/>
        </w:rPr>
        <w:t xml:space="preserve">longing the whole stock market. </w:t>
      </w:r>
    </w:p>
    <w:p w14:paraId="2B7055F5" w14:textId="77777777" w:rsidR="002F2939" w:rsidRPr="000A500B" w:rsidRDefault="002F2939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</w:p>
    <w:p w14:paraId="0F9E54ED" w14:textId="77777777" w:rsidR="00CE12A6" w:rsidRDefault="00B34443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2. </w:t>
      </w:r>
      <w:r w:rsidR="00EE704F" w:rsidRPr="00EE704F">
        <w:rPr>
          <w:rFonts w:ascii="Times New Roman" w:hAnsi="Times New Roman" w:cs="Times New Roman"/>
          <w:i/>
        </w:rPr>
        <w:t>Is your strategy delivering alpha? Is it a mispricing that will be arbitraged away, or is it a</w:t>
      </w:r>
      <w:r w:rsidR="00EE704F">
        <w:rPr>
          <w:rFonts w:ascii="Times New Roman" w:hAnsi="Times New Roman" w:cs="Times New Roman"/>
          <w:i/>
        </w:rPr>
        <w:t xml:space="preserve"> </w:t>
      </w:r>
      <w:r w:rsidR="00EE704F" w:rsidRPr="00EE704F">
        <w:rPr>
          <w:rFonts w:ascii="Times New Roman" w:hAnsi="Times New Roman" w:cs="Times New Roman"/>
          <w:i/>
        </w:rPr>
        <w:t>compensation for risk?</w:t>
      </w:r>
    </w:p>
    <w:p w14:paraId="482CAF0F" w14:textId="77777777" w:rsidR="009F2234" w:rsidRDefault="009F2234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14:paraId="7544BDAB" w14:textId="77777777" w:rsidR="009F2234" w:rsidRPr="009F2234" w:rsidRDefault="009F2234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Yes. </w:t>
      </w:r>
      <w:r w:rsidR="008A62B3">
        <w:rPr>
          <w:rFonts w:ascii="Times New Roman" w:hAnsi="Times New Roman" w:cs="Times New Roman"/>
          <w:iCs/>
        </w:rPr>
        <w:t xml:space="preserve">We regress our long-short portfolio returns on </w:t>
      </w:r>
      <w:r w:rsidR="00F33A6B">
        <w:rPr>
          <w:rFonts w:ascii="Times New Roman" w:hAnsi="Times New Roman" w:cs="Times New Roman"/>
          <w:iCs/>
        </w:rPr>
        <w:t xml:space="preserve">CAPM and Fama French 3 factors </w:t>
      </w:r>
      <w:r w:rsidR="002C484F">
        <w:rPr>
          <w:rFonts w:ascii="Times New Roman" w:hAnsi="Times New Roman" w:cs="Times New Roman"/>
          <w:iCs/>
        </w:rPr>
        <w:t>respectively</w:t>
      </w:r>
      <w:r w:rsidR="00C961B7">
        <w:rPr>
          <w:rFonts w:ascii="Times New Roman" w:hAnsi="Times New Roman" w:cs="Times New Roman"/>
          <w:iCs/>
        </w:rPr>
        <w:t xml:space="preserve">, and </w:t>
      </w:r>
      <w:r w:rsidR="003D3BE9">
        <w:rPr>
          <w:rFonts w:ascii="Times New Roman" w:hAnsi="Times New Roman" w:cs="Times New Roman"/>
          <w:iCs/>
        </w:rPr>
        <w:t xml:space="preserve">both of </w:t>
      </w:r>
      <w:r w:rsidR="00010D42">
        <w:rPr>
          <w:rFonts w:ascii="Times New Roman" w:hAnsi="Times New Roman" w:cs="Times New Roman"/>
          <w:iCs/>
        </w:rPr>
        <w:t xml:space="preserve">the two </w:t>
      </w:r>
      <w:r w:rsidR="00024AF8">
        <w:rPr>
          <w:rFonts w:ascii="Times New Roman" w:hAnsi="Times New Roman" w:cs="Times New Roman"/>
          <w:iCs/>
        </w:rPr>
        <w:t xml:space="preserve">regressions </w:t>
      </w:r>
      <w:r w:rsidR="00123B23">
        <w:rPr>
          <w:rFonts w:ascii="Times New Roman" w:hAnsi="Times New Roman" w:cs="Times New Roman"/>
          <w:iCs/>
        </w:rPr>
        <w:t xml:space="preserve">generate </w:t>
      </w:r>
      <w:r w:rsidR="008D4B30">
        <w:rPr>
          <w:rFonts w:ascii="Times New Roman" w:hAnsi="Times New Roman" w:cs="Times New Roman"/>
          <w:iCs/>
        </w:rPr>
        <w:t xml:space="preserve">significant </w:t>
      </w:r>
      <w:r w:rsidR="001C4F13">
        <w:rPr>
          <w:rFonts w:ascii="Times New Roman" w:hAnsi="Times New Roman" w:cs="Times New Roman"/>
          <w:iCs/>
        </w:rPr>
        <w:t xml:space="preserve">alpha. </w:t>
      </w:r>
      <w:r w:rsidR="002453C8">
        <w:rPr>
          <w:rFonts w:ascii="Times New Roman" w:hAnsi="Times New Roman" w:cs="Times New Roman"/>
          <w:iCs/>
        </w:rPr>
        <w:t xml:space="preserve">Thus, </w:t>
      </w:r>
      <w:r w:rsidR="00DA3C65">
        <w:rPr>
          <w:rFonts w:ascii="Times New Roman" w:hAnsi="Times New Roman" w:cs="Times New Roman"/>
          <w:iCs/>
        </w:rPr>
        <w:t xml:space="preserve">we think this </w:t>
      </w:r>
      <w:r w:rsidR="007A1FAB">
        <w:rPr>
          <w:rFonts w:ascii="Times New Roman" w:hAnsi="Times New Roman" w:cs="Times New Roman"/>
          <w:iCs/>
        </w:rPr>
        <w:t xml:space="preserve">alpha is a mispricing instead of a compensation for risk. </w:t>
      </w:r>
    </w:p>
    <w:p w14:paraId="692D468D" w14:textId="77777777" w:rsidR="009F2234" w:rsidRDefault="009F2234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14:paraId="08F86BC3" w14:textId="77777777" w:rsidR="003D54B5" w:rsidRDefault="003D54B5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3. </w:t>
      </w:r>
      <w:r w:rsidR="003174EB" w:rsidRPr="003174EB">
        <w:rPr>
          <w:rFonts w:ascii="Times New Roman" w:hAnsi="Times New Roman" w:cs="Times New Roman"/>
          <w:i/>
        </w:rPr>
        <w:t>What are the main costs and risks associated with your strategy?</w:t>
      </w:r>
    </w:p>
    <w:p w14:paraId="3D4AD7D4" w14:textId="77777777" w:rsidR="008F6F97" w:rsidRDefault="008F6F97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14:paraId="7B46BE7F" w14:textId="77777777" w:rsidR="008F6F97" w:rsidRDefault="004C311F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</w:t>
      </w:r>
      <w:r w:rsidR="0091144A">
        <w:rPr>
          <w:rFonts w:ascii="Times New Roman" w:hAnsi="Times New Roman" w:cs="Times New Roman"/>
          <w:iCs/>
        </w:rPr>
        <w:t xml:space="preserve">main </w:t>
      </w:r>
      <w:r w:rsidR="001A39DD">
        <w:rPr>
          <w:rFonts w:ascii="Times New Roman" w:hAnsi="Times New Roman" w:cs="Times New Roman"/>
          <w:iCs/>
        </w:rPr>
        <w:t xml:space="preserve">cost of our strategy </w:t>
      </w:r>
      <w:r w:rsidR="00BE5AA9">
        <w:rPr>
          <w:rFonts w:ascii="Times New Roman" w:hAnsi="Times New Roman" w:cs="Times New Roman"/>
          <w:iCs/>
        </w:rPr>
        <w:t>is</w:t>
      </w:r>
      <w:r w:rsidR="001D48BF">
        <w:rPr>
          <w:rFonts w:ascii="Times New Roman" w:hAnsi="Times New Roman" w:cs="Times New Roman"/>
          <w:iCs/>
        </w:rPr>
        <w:t xml:space="preserve"> the</w:t>
      </w:r>
      <w:r w:rsidR="00BE5AA9">
        <w:rPr>
          <w:rFonts w:ascii="Times New Roman" w:hAnsi="Times New Roman" w:cs="Times New Roman"/>
          <w:iCs/>
        </w:rPr>
        <w:t xml:space="preserve"> </w:t>
      </w:r>
      <w:r w:rsidR="001D48BF">
        <w:rPr>
          <w:rFonts w:ascii="Times New Roman" w:hAnsi="Times New Roman" w:cs="Times New Roman"/>
          <w:iCs/>
        </w:rPr>
        <w:t>transaction cost</w:t>
      </w:r>
      <w:r w:rsidR="00791842">
        <w:rPr>
          <w:rFonts w:ascii="Times New Roman" w:hAnsi="Times New Roman" w:cs="Times New Roman"/>
          <w:iCs/>
        </w:rPr>
        <w:t xml:space="preserve">. </w:t>
      </w:r>
      <w:r w:rsidR="00E45B55">
        <w:rPr>
          <w:rFonts w:ascii="Times New Roman" w:hAnsi="Times New Roman" w:cs="Times New Roman"/>
          <w:iCs/>
        </w:rPr>
        <w:t xml:space="preserve">We </w:t>
      </w:r>
      <w:r w:rsidR="000F1179">
        <w:rPr>
          <w:rFonts w:ascii="Times New Roman" w:hAnsi="Times New Roman" w:cs="Times New Roman"/>
          <w:iCs/>
        </w:rPr>
        <w:t xml:space="preserve">refresh our portfolio each month based on market capitalization, which is one source of turnover. </w:t>
      </w:r>
      <w:r w:rsidR="00C47251">
        <w:rPr>
          <w:rFonts w:ascii="Times New Roman" w:hAnsi="Times New Roman" w:cs="Times New Roman"/>
          <w:iCs/>
        </w:rPr>
        <w:t xml:space="preserve">Another source of </w:t>
      </w:r>
      <w:r w:rsidR="00E8231D">
        <w:rPr>
          <w:rFonts w:ascii="Times New Roman" w:hAnsi="Times New Roman" w:cs="Times New Roman"/>
          <w:iCs/>
        </w:rPr>
        <w:t xml:space="preserve">turnover is </w:t>
      </w:r>
      <w:r w:rsidR="00B209FC">
        <w:rPr>
          <w:rFonts w:ascii="Times New Roman" w:hAnsi="Times New Roman" w:cs="Times New Roman"/>
          <w:iCs/>
        </w:rPr>
        <w:t xml:space="preserve">when we rebalance our </w:t>
      </w:r>
      <w:r w:rsidR="004B2BF1">
        <w:rPr>
          <w:rFonts w:ascii="Times New Roman" w:hAnsi="Times New Roman" w:cs="Times New Roman"/>
          <w:iCs/>
        </w:rPr>
        <w:t xml:space="preserve">portfolio each July. </w:t>
      </w:r>
      <w:r w:rsidR="00794AE2">
        <w:rPr>
          <w:rFonts w:ascii="Times New Roman" w:hAnsi="Times New Roman" w:cs="Times New Roman"/>
          <w:iCs/>
        </w:rPr>
        <w:t xml:space="preserve">But </w:t>
      </w:r>
      <w:r w:rsidR="009A5B1C">
        <w:rPr>
          <w:rFonts w:ascii="Times New Roman" w:hAnsi="Times New Roman" w:cs="Times New Roman"/>
          <w:iCs/>
        </w:rPr>
        <w:t xml:space="preserve">in reality, </w:t>
      </w:r>
      <w:r w:rsidR="00F37737">
        <w:rPr>
          <w:rFonts w:ascii="Times New Roman" w:hAnsi="Times New Roman" w:cs="Times New Roman"/>
          <w:iCs/>
        </w:rPr>
        <w:t>quality scores of m</w:t>
      </w:r>
      <w:r w:rsidR="00275B6E">
        <w:rPr>
          <w:rFonts w:ascii="Times New Roman" w:hAnsi="Times New Roman" w:cs="Times New Roman"/>
          <w:iCs/>
        </w:rPr>
        <w:t>ost firms would not change a lot every year. Thus, the transaction cost of our strategy is not very high.</w:t>
      </w:r>
    </w:p>
    <w:p w14:paraId="64071036" w14:textId="77777777" w:rsidR="00275B6E" w:rsidRDefault="00275B6E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</w:p>
    <w:p w14:paraId="7E05CE0A" w14:textId="77777777" w:rsidR="00275B6E" w:rsidRPr="004C311F" w:rsidRDefault="000D4166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Our </w:t>
      </w:r>
      <w:r w:rsidR="006F7A07">
        <w:rPr>
          <w:rFonts w:ascii="Times New Roman" w:hAnsi="Times New Roman" w:cs="Times New Roman"/>
          <w:iCs/>
        </w:rPr>
        <w:t xml:space="preserve">strategy </w:t>
      </w:r>
      <w:r w:rsidR="00D33C34">
        <w:rPr>
          <w:rFonts w:ascii="Times New Roman" w:hAnsi="Times New Roman" w:cs="Times New Roman"/>
          <w:iCs/>
        </w:rPr>
        <w:t xml:space="preserve">is faced with </w:t>
      </w:r>
      <w:r w:rsidR="00C909FC">
        <w:rPr>
          <w:rFonts w:ascii="Times New Roman" w:hAnsi="Times New Roman" w:cs="Times New Roman"/>
          <w:iCs/>
        </w:rPr>
        <w:t xml:space="preserve">liquidity risk. </w:t>
      </w:r>
      <w:r w:rsidR="0082234F">
        <w:rPr>
          <w:rFonts w:ascii="Times New Roman" w:hAnsi="Times New Roman" w:cs="Times New Roman"/>
          <w:iCs/>
        </w:rPr>
        <w:t xml:space="preserve">Usually, </w:t>
      </w:r>
      <w:r w:rsidR="00594B4D">
        <w:rPr>
          <w:rFonts w:ascii="Times New Roman" w:hAnsi="Times New Roman" w:cs="Times New Roman"/>
          <w:iCs/>
        </w:rPr>
        <w:t xml:space="preserve">junk stocks </w:t>
      </w:r>
      <w:r w:rsidR="00435906">
        <w:rPr>
          <w:rFonts w:ascii="Times New Roman" w:hAnsi="Times New Roman" w:cs="Times New Roman"/>
          <w:iCs/>
        </w:rPr>
        <w:t xml:space="preserve">have low </w:t>
      </w:r>
      <w:r w:rsidR="005B6551">
        <w:rPr>
          <w:rFonts w:ascii="Times New Roman" w:hAnsi="Times New Roman" w:cs="Times New Roman"/>
          <w:iCs/>
        </w:rPr>
        <w:t xml:space="preserve">trading </w:t>
      </w:r>
      <w:r w:rsidR="00435906">
        <w:rPr>
          <w:rFonts w:ascii="Times New Roman" w:hAnsi="Times New Roman" w:cs="Times New Roman"/>
          <w:iCs/>
        </w:rPr>
        <w:t>vo</w:t>
      </w:r>
      <w:r w:rsidR="0006524A">
        <w:rPr>
          <w:rFonts w:ascii="Times New Roman" w:hAnsi="Times New Roman" w:cs="Times New Roman"/>
          <w:iCs/>
        </w:rPr>
        <w:t>lume</w:t>
      </w:r>
      <w:r w:rsidR="00CB29DF">
        <w:rPr>
          <w:rFonts w:ascii="Times New Roman" w:hAnsi="Times New Roman" w:cs="Times New Roman"/>
          <w:iCs/>
        </w:rPr>
        <w:t xml:space="preserve"> and are difficult to </w:t>
      </w:r>
      <w:r w:rsidR="00EC6439">
        <w:rPr>
          <w:rFonts w:ascii="Times New Roman" w:hAnsi="Times New Roman" w:cs="Times New Roman"/>
          <w:iCs/>
        </w:rPr>
        <w:t xml:space="preserve">short. </w:t>
      </w:r>
      <w:r w:rsidR="00BB0A06">
        <w:rPr>
          <w:rFonts w:ascii="Times New Roman" w:hAnsi="Times New Roman" w:cs="Times New Roman"/>
          <w:iCs/>
        </w:rPr>
        <w:t>We</w:t>
      </w:r>
      <w:r w:rsidR="00EC6439">
        <w:rPr>
          <w:rFonts w:ascii="Times New Roman" w:hAnsi="Times New Roman" w:cs="Times New Roman"/>
          <w:iCs/>
        </w:rPr>
        <w:t xml:space="preserve"> would </w:t>
      </w:r>
      <w:r w:rsidR="00854B44">
        <w:rPr>
          <w:rFonts w:ascii="Times New Roman" w:hAnsi="Times New Roman" w:cs="Times New Roman"/>
          <w:iCs/>
        </w:rPr>
        <w:t xml:space="preserve">lose money </w:t>
      </w:r>
      <w:r w:rsidR="00F6727D">
        <w:rPr>
          <w:rFonts w:ascii="Times New Roman" w:hAnsi="Times New Roman" w:cs="Times New Roman"/>
          <w:iCs/>
        </w:rPr>
        <w:t xml:space="preserve">due to high bid-ask spread. </w:t>
      </w:r>
      <w:r w:rsidR="00FA25BA">
        <w:rPr>
          <w:rFonts w:ascii="Times New Roman" w:hAnsi="Times New Roman" w:cs="Times New Roman"/>
          <w:iCs/>
        </w:rPr>
        <w:t>Besides,</w:t>
      </w:r>
      <w:r w:rsidR="000503C5">
        <w:rPr>
          <w:rFonts w:ascii="Times New Roman" w:hAnsi="Times New Roman" w:cs="Times New Roman"/>
          <w:iCs/>
        </w:rPr>
        <w:t xml:space="preserve"> </w:t>
      </w:r>
      <w:r w:rsidR="007E5F2D">
        <w:rPr>
          <w:rFonts w:ascii="Times New Roman" w:hAnsi="Times New Roman" w:cs="Times New Roman"/>
          <w:iCs/>
        </w:rPr>
        <w:t xml:space="preserve">we </w:t>
      </w:r>
      <w:r w:rsidR="00101463">
        <w:rPr>
          <w:rFonts w:ascii="Times New Roman" w:hAnsi="Times New Roman" w:cs="Times New Roman"/>
          <w:iCs/>
        </w:rPr>
        <w:t xml:space="preserve">would face </w:t>
      </w:r>
      <w:r w:rsidR="00323439">
        <w:rPr>
          <w:rFonts w:ascii="Times New Roman" w:hAnsi="Times New Roman" w:cs="Times New Roman"/>
          <w:iCs/>
        </w:rPr>
        <w:t xml:space="preserve">short squeeze risk when we are in the short positions. </w:t>
      </w:r>
      <w:r w:rsidR="00061074">
        <w:rPr>
          <w:rFonts w:ascii="Times New Roman" w:hAnsi="Times New Roman" w:cs="Times New Roman"/>
          <w:iCs/>
        </w:rPr>
        <w:t xml:space="preserve"> </w:t>
      </w:r>
    </w:p>
    <w:p w14:paraId="3FBE6173" w14:textId="77777777" w:rsidR="008F6F97" w:rsidRPr="008F6F97" w:rsidRDefault="008F6F97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Cs/>
          <w:u w:val="single"/>
        </w:rPr>
      </w:pPr>
    </w:p>
    <w:p w14:paraId="05AD5086" w14:textId="77777777" w:rsidR="006C1FC1" w:rsidRDefault="00F300B4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4. </w:t>
      </w:r>
      <w:r w:rsidRPr="00F300B4">
        <w:rPr>
          <w:rFonts w:ascii="Times New Roman" w:hAnsi="Times New Roman" w:cs="Times New Roman"/>
          <w:i/>
        </w:rPr>
        <w:t>Quantify the expected excess return, volatility, and Sharpe ratio</w:t>
      </w:r>
      <w:r w:rsidR="006C1FC1">
        <w:rPr>
          <w:rFonts w:ascii="Times New Roman" w:hAnsi="Times New Roman" w:cs="Times New Roman"/>
          <w:i/>
        </w:rPr>
        <w:t>.</w:t>
      </w:r>
    </w:p>
    <w:p w14:paraId="64F6CCB1" w14:textId="77777777" w:rsidR="006C1FC1" w:rsidRDefault="006C1FC1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5. </w:t>
      </w:r>
      <w:r w:rsidR="007C2418" w:rsidRPr="007C2418">
        <w:rPr>
          <w:rFonts w:ascii="Times New Roman" w:hAnsi="Times New Roman" w:cs="Times New Roman"/>
          <w:i/>
        </w:rPr>
        <w:t>Quantify the strategy's performance in terms of exposures to other risk factors. Estimate</w:t>
      </w:r>
      <w:r w:rsidR="007C2418">
        <w:rPr>
          <w:rFonts w:ascii="Times New Roman" w:hAnsi="Times New Roman" w:cs="Times New Roman"/>
          <w:i/>
        </w:rPr>
        <w:t xml:space="preserve"> </w:t>
      </w:r>
      <w:r w:rsidR="007C2418" w:rsidRPr="007C2418">
        <w:rPr>
          <w:rFonts w:ascii="Times New Roman" w:hAnsi="Times New Roman" w:cs="Times New Roman"/>
          <w:i/>
        </w:rPr>
        <w:t>factor models' alphas and beta. For instance, use the CAPM and/or three-factor Fama and</w:t>
      </w:r>
      <w:r w:rsidR="007C2418">
        <w:rPr>
          <w:rFonts w:ascii="Times New Roman" w:hAnsi="Times New Roman" w:cs="Times New Roman"/>
          <w:i/>
        </w:rPr>
        <w:t xml:space="preserve"> </w:t>
      </w:r>
      <w:r w:rsidR="007C2418" w:rsidRPr="007C2418">
        <w:rPr>
          <w:rFonts w:ascii="Times New Roman" w:hAnsi="Times New Roman" w:cs="Times New Roman"/>
          <w:i/>
        </w:rPr>
        <w:t>French model.</w:t>
      </w:r>
    </w:p>
    <w:p w14:paraId="6B177BFD" w14:textId="77777777" w:rsidR="00AD0E2C" w:rsidRDefault="00AD0E2C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Question 6. </w:t>
      </w:r>
      <w:r w:rsidR="00B208E5" w:rsidRPr="00B208E5">
        <w:rPr>
          <w:rFonts w:ascii="Times New Roman" w:hAnsi="Times New Roman" w:cs="Times New Roman"/>
          <w:i/>
        </w:rPr>
        <w:t>To validate your strategy, which robustness exercises can you implement?</w:t>
      </w:r>
    </w:p>
    <w:p w14:paraId="7EFC8301" w14:textId="77777777" w:rsidR="00F86855" w:rsidRDefault="00F86855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383AC55C" w14:textId="77777777" w:rsidR="00761B84" w:rsidRDefault="00761B84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41B227F9" w14:textId="77777777" w:rsidR="00902937" w:rsidRDefault="00902937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6AB45538" w14:textId="77777777" w:rsidR="00115729" w:rsidRPr="00D42E19" w:rsidRDefault="00051D80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32"/>
        </w:rPr>
      </w:pPr>
      <w:r w:rsidRPr="00D42E19">
        <w:rPr>
          <w:rFonts w:ascii="Arial" w:hAnsi="Arial" w:cs="Arial"/>
          <w:bCs/>
          <w:sz w:val="32"/>
        </w:rPr>
        <w:t xml:space="preserve">Reference </w:t>
      </w:r>
    </w:p>
    <w:p w14:paraId="2336366A" w14:textId="77777777" w:rsidR="007A0D94" w:rsidRDefault="007A0D94" w:rsidP="00953C68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2"/>
        </w:rPr>
      </w:pPr>
    </w:p>
    <w:p w14:paraId="71D237A7" w14:textId="77777777" w:rsidR="00352FC7" w:rsidRDefault="00352FC7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  <w:r w:rsidRPr="0024281B">
        <w:rPr>
          <w:rFonts w:ascii="Times New Roman" w:hAnsi="Times New Roman" w:cs="Times New Roman"/>
          <w:color w:val="131413"/>
          <w:sz w:val="20"/>
          <w:szCs w:val="20"/>
        </w:rPr>
        <w:t xml:space="preserve">Altman, E. I. (1968). Financial ratios, discriminant analysis and the prediction of corporate bankruptcy. </w:t>
      </w:r>
      <w:r w:rsidRPr="00C36C65">
        <w:rPr>
          <w:rFonts w:ascii="Times New Roman" w:hAnsi="Times New Roman" w:cs="Times New Roman"/>
          <w:i/>
          <w:iCs/>
          <w:color w:val="131413"/>
          <w:sz w:val="20"/>
          <w:szCs w:val="20"/>
        </w:rPr>
        <w:t>The</w:t>
      </w:r>
      <w:r w:rsidR="001D5E5C" w:rsidRPr="00C36C65">
        <w:rPr>
          <w:rFonts w:ascii="Times New Roman" w:hAnsi="Times New Roman" w:cs="Times New Roman"/>
          <w:i/>
          <w:iCs/>
          <w:color w:val="131413"/>
          <w:sz w:val="20"/>
          <w:szCs w:val="20"/>
        </w:rPr>
        <w:t xml:space="preserve"> </w:t>
      </w:r>
      <w:r w:rsidRPr="00C36C65">
        <w:rPr>
          <w:rFonts w:ascii="Times New Roman" w:hAnsi="Times New Roman" w:cs="Times New Roman"/>
          <w:i/>
          <w:iCs/>
          <w:color w:val="131413"/>
          <w:sz w:val="20"/>
          <w:szCs w:val="20"/>
        </w:rPr>
        <w:t>Journal of Finance</w:t>
      </w:r>
      <w:r w:rsidRPr="0024281B">
        <w:rPr>
          <w:rFonts w:ascii="Times New Roman" w:hAnsi="Times New Roman" w:cs="Times New Roman"/>
          <w:color w:val="131413"/>
          <w:sz w:val="20"/>
          <w:szCs w:val="20"/>
        </w:rPr>
        <w:t>, 23(4), 589–609.</w:t>
      </w:r>
    </w:p>
    <w:p w14:paraId="28ADF5E2" w14:textId="77777777" w:rsidR="00DF12C7" w:rsidRDefault="00DF12C7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</w:p>
    <w:p w14:paraId="34BEAE74" w14:textId="77777777" w:rsidR="005901DD" w:rsidRDefault="00DF12C7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  <w:r w:rsidRPr="00DF12C7">
        <w:rPr>
          <w:rFonts w:ascii="Times New Roman" w:hAnsi="Times New Roman" w:cs="Times New Roman"/>
          <w:color w:val="131413"/>
          <w:sz w:val="20"/>
          <w:szCs w:val="20"/>
        </w:rPr>
        <w:t xml:space="preserve">Fama, E. F., &amp; French, K. R. (1992). The cross-section of expected stock returns. </w:t>
      </w:r>
      <w:r w:rsidRPr="00055515">
        <w:rPr>
          <w:rFonts w:ascii="Times New Roman" w:hAnsi="Times New Roman" w:cs="Times New Roman"/>
          <w:i/>
          <w:iCs/>
          <w:color w:val="131413"/>
          <w:sz w:val="20"/>
          <w:szCs w:val="20"/>
        </w:rPr>
        <w:t>The Journal of Finance</w:t>
      </w:r>
      <w:r w:rsidRPr="00DF12C7">
        <w:rPr>
          <w:rFonts w:ascii="Times New Roman" w:hAnsi="Times New Roman" w:cs="Times New Roman"/>
          <w:color w:val="131413"/>
          <w:sz w:val="20"/>
          <w:szCs w:val="20"/>
        </w:rPr>
        <w:t>,</w:t>
      </w:r>
      <w:r w:rsidR="00055515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DF12C7">
        <w:rPr>
          <w:rFonts w:ascii="Times New Roman" w:hAnsi="Times New Roman" w:cs="Times New Roman"/>
          <w:color w:val="131413"/>
          <w:sz w:val="20"/>
          <w:szCs w:val="20"/>
        </w:rPr>
        <w:t>47(2),</w:t>
      </w:r>
      <w:r w:rsidR="000647F7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DF12C7">
        <w:rPr>
          <w:rFonts w:ascii="Times New Roman" w:hAnsi="Times New Roman" w:cs="Times New Roman"/>
          <w:color w:val="131413"/>
          <w:sz w:val="20"/>
          <w:szCs w:val="20"/>
        </w:rPr>
        <w:t>427–465.</w:t>
      </w:r>
    </w:p>
    <w:p w14:paraId="12375955" w14:textId="77777777" w:rsidR="00C75965" w:rsidRPr="00702A40" w:rsidRDefault="00C75965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</w:p>
    <w:p w14:paraId="706AC667" w14:textId="77777777" w:rsidR="005901DD" w:rsidRDefault="00F23C22" w:rsidP="0097241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131413"/>
          <w:sz w:val="20"/>
          <w:szCs w:val="20"/>
        </w:rPr>
      </w:pPr>
      <w:r w:rsidRPr="00F23C22">
        <w:rPr>
          <w:rFonts w:ascii="Times New Roman" w:hAnsi="Times New Roman" w:cs="Times New Roman"/>
          <w:color w:val="131413"/>
          <w:sz w:val="20"/>
          <w:szCs w:val="20"/>
        </w:rPr>
        <w:t xml:space="preserve">Fama, E. F., &amp; French, K. R. (1993). Common risk factors in the returns on stocks and bonds. </w:t>
      </w:r>
      <w:r w:rsidRPr="00F23C22">
        <w:rPr>
          <w:rFonts w:ascii="Times New Roman" w:hAnsi="Times New Roman" w:cs="Times New Roman"/>
          <w:i/>
          <w:iCs/>
          <w:color w:val="131413"/>
          <w:sz w:val="20"/>
          <w:szCs w:val="20"/>
        </w:rPr>
        <w:t>Journal of</w:t>
      </w:r>
      <w:r w:rsidR="00347B96">
        <w:rPr>
          <w:rFonts w:ascii="Times New Roman" w:hAnsi="Times New Roman" w:cs="Times New Roman"/>
          <w:i/>
          <w:iCs/>
          <w:color w:val="131413"/>
          <w:sz w:val="20"/>
          <w:szCs w:val="20"/>
        </w:rPr>
        <w:t xml:space="preserve"> </w:t>
      </w:r>
      <w:r w:rsidRPr="00F23C22">
        <w:rPr>
          <w:rFonts w:ascii="Times New Roman" w:hAnsi="Times New Roman" w:cs="Times New Roman"/>
          <w:i/>
          <w:iCs/>
          <w:color w:val="131413"/>
          <w:sz w:val="20"/>
          <w:szCs w:val="20"/>
        </w:rPr>
        <w:t>Financial Economics</w:t>
      </w:r>
      <w:r w:rsidRPr="00F23C22">
        <w:rPr>
          <w:rFonts w:ascii="Times New Roman" w:hAnsi="Times New Roman" w:cs="Times New Roman"/>
          <w:color w:val="131413"/>
          <w:sz w:val="20"/>
          <w:szCs w:val="20"/>
        </w:rPr>
        <w:t>, 33, 3–56.</w:t>
      </w:r>
    </w:p>
    <w:p w14:paraId="4B4A43EB" w14:textId="77777777" w:rsidR="00DC6D14" w:rsidRPr="00DC6D14" w:rsidRDefault="00DC6D14" w:rsidP="0097241A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131413"/>
          <w:sz w:val="20"/>
          <w:szCs w:val="20"/>
        </w:rPr>
      </w:pPr>
    </w:p>
    <w:p w14:paraId="7B1C7ACA" w14:textId="77777777" w:rsidR="00530A7F" w:rsidRDefault="00530A7F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  <w:r w:rsidRPr="00530A7F">
        <w:rPr>
          <w:rFonts w:ascii="Times New Roman" w:hAnsi="Times New Roman" w:cs="Times New Roman"/>
          <w:color w:val="131413"/>
          <w:sz w:val="20"/>
          <w:szCs w:val="20"/>
        </w:rPr>
        <w:t xml:space="preserve">Fama, E. F., &amp; French, K. R. (2015). A five-factor asset pricing model. </w:t>
      </w:r>
      <w:r w:rsidRPr="00530A7F">
        <w:rPr>
          <w:rFonts w:ascii="Times New Roman" w:hAnsi="Times New Roman" w:cs="Times New Roman"/>
          <w:i/>
          <w:iCs/>
          <w:color w:val="131413"/>
          <w:sz w:val="20"/>
          <w:szCs w:val="20"/>
        </w:rPr>
        <w:t>Journal of Financial Economics</w:t>
      </w:r>
      <w:r w:rsidRPr="00530A7F">
        <w:rPr>
          <w:rFonts w:ascii="Times New Roman" w:hAnsi="Times New Roman" w:cs="Times New Roman"/>
          <w:color w:val="131413"/>
          <w:sz w:val="20"/>
          <w:szCs w:val="20"/>
        </w:rPr>
        <w:t>, 116,</w:t>
      </w:r>
      <w:r w:rsidR="00C06D93">
        <w:rPr>
          <w:rFonts w:ascii="Times New Roman" w:hAnsi="Times New Roman" w:cs="Times New Roman"/>
          <w:color w:val="131413"/>
          <w:sz w:val="20"/>
          <w:szCs w:val="20"/>
        </w:rPr>
        <w:t xml:space="preserve"> </w:t>
      </w:r>
      <w:r w:rsidRPr="00530A7F">
        <w:rPr>
          <w:rFonts w:ascii="Times New Roman" w:hAnsi="Times New Roman" w:cs="Times New Roman"/>
          <w:color w:val="131413"/>
          <w:sz w:val="20"/>
          <w:szCs w:val="20"/>
        </w:rPr>
        <w:t>1–22.</w:t>
      </w:r>
    </w:p>
    <w:p w14:paraId="0E9F9138" w14:textId="77777777" w:rsidR="00844F2C" w:rsidRDefault="00844F2C" w:rsidP="0097241A">
      <w:pPr>
        <w:autoSpaceDE w:val="0"/>
        <w:autoSpaceDN w:val="0"/>
        <w:adjustRightInd w:val="0"/>
        <w:rPr>
          <w:rFonts w:ascii="Times New Roman" w:hAnsi="Times New Roman" w:cs="Times New Roman"/>
          <w:color w:val="131413"/>
          <w:sz w:val="20"/>
          <w:szCs w:val="20"/>
        </w:rPr>
      </w:pPr>
    </w:p>
    <w:p w14:paraId="1A92D24F" w14:textId="77777777" w:rsidR="005B0E74" w:rsidRPr="005B0E74" w:rsidRDefault="005B0E74" w:rsidP="0097241A">
      <w:pPr>
        <w:rPr>
          <w:rFonts w:ascii="Times New Roman" w:hAnsi="Times New Roman" w:cs="Times New Roman"/>
          <w:color w:val="131413"/>
          <w:sz w:val="20"/>
          <w:szCs w:val="20"/>
        </w:rPr>
      </w:pPr>
      <w:r w:rsidRPr="005B0E74">
        <w:rPr>
          <w:rFonts w:ascii="Times New Roman" w:hAnsi="Times New Roman" w:cs="Times New Roman"/>
          <w:color w:val="131413"/>
          <w:sz w:val="20"/>
          <w:szCs w:val="20"/>
        </w:rPr>
        <w:t>Asness, C. S., Frazzini, A., &amp; Pedersen, L. H. (2019). Quality minus junk. </w:t>
      </w:r>
      <w:r w:rsidRPr="005B0E74">
        <w:rPr>
          <w:rFonts w:ascii="Times New Roman" w:hAnsi="Times New Roman" w:cs="Times New Roman"/>
          <w:i/>
          <w:iCs/>
          <w:color w:val="131413"/>
          <w:sz w:val="20"/>
          <w:szCs w:val="20"/>
        </w:rPr>
        <w:t>Review of Accounting Studies</w:t>
      </w:r>
      <w:r w:rsidRPr="005B0E74">
        <w:rPr>
          <w:rFonts w:ascii="Times New Roman" w:hAnsi="Times New Roman" w:cs="Times New Roman"/>
          <w:color w:val="131413"/>
          <w:sz w:val="20"/>
          <w:szCs w:val="20"/>
        </w:rPr>
        <w:t>, 24(1), 34-112.</w:t>
      </w:r>
    </w:p>
    <w:p w14:paraId="0D9AE6B0" w14:textId="77777777" w:rsidR="00844F2C" w:rsidRPr="00C06D93" w:rsidRDefault="00844F2C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131413"/>
          <w:sz w:val="20"/>
          <w:szCs w:val="20"/>
        </w:rPr>
      </w:pPr>
    </w:p>
    <w:p w14:paraId="0A909414" w14:textId="77777777" w:rsidR="005901DD" w:rsidRDefault="005901DD" w:rsidP="00953C68">
      <w:pPr>
        <w:autoSpaceDE w:val="0"/>
        <w:autoSpaceDN w:val="0"/>
        <w:adjustRightInd w:val="0"/>
        <w:spacing w:line="360" w:lineRule="auto"/>
        <w:rPr>
          <w:b/>
          <w:sz w:val="32"/>
        </w:rPr>
      </w:pPr>
    </w:p>
    <w:p w14:paraId="678D8833" w14:textId="77777777" w:rsidR="005901DD" w:rsidRDefault="005901DD" w:rsidP="00953C68">
      <w:pPr>
        <w:autoSpaceDE w:val="0"/>
        <w:autoSpaceDN w:val="0"/>
        <w:adjustRightInd w:val="0"/>
        <w:spacing w:line="360" w:lineRule="auto"/>
        <w:rPr>
          <w:b/>
          <w:sz w:val="32"/>
        </w:rPr>
      </w:pPr>
    </w:p>
    <w:p w14:paraId="3BAEEA90" w14:textId="77777777" w:rsidR="005901DD" w:rsidRDefault="005901DD" w:rsidP="00953C68">
      <w:pPr>
        <w:autoSpaceDE w:val="0"/>
        <w:autoSpaceDN w:val="0"/>
        <w:adjustRightInd w:val="0"/>
        <w:spacing w:line="360" w:lineRule="auto"/>
        <w:rPr>
          <w:b/>
          <w:sz w:val="32"/>
        </w:rPr>
      </w:pPr>
    </w:p>
    <w:p w14:paraId="40696E94" w14:textId="77777777" w:rsidR="005901DD" w:rsidRDefault="005901DD" w:rsidP="00953C6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i/>
        </w:rPr>
      </w:pPr>
    </w:p>
    <w:p w14:paraId="27C3FC8F" w14:textId="77777777" w:rsidR="00E27BA7" w:rsidRDefault="00E27BA7" w:rsidP="00953C68">
      <w:pPr>
        <w:spacing w:line="360" w:lineRule="auto"/>
        <w:rPr>
          <w:rFonts w:ascii="Times New Roman" w:hAnsi="Times New Roman" w:cs="Times New Roman"/>
          <w:i/>
        </w:rPr>
      </w:pPr>
    </w:p>
    <w:p w14:paraId="24BCB6CB" w14:textId="77777777" w:rsidR="008050AD" w:rsidRPr="008050AD" w:rsidRDefault="008050AD" w:rsidP="00953C68">
      <w:pPr>
        <w:spacing w:line="360" w:lineRule="auto"/>
      </w:pPr>
    </w:p>
    <w:sectPr w:rsidR="008050AD" w:rsidRPr="008050AD" w:rsidSect="00091A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C5BDD8" w14:textId="77777777" w:rsidR="00103168" w:rsidRDefault="00103168" w:rsidP="00CB4BC4">
      <w:r>
        <w:separator/>
      </w:r>
    </w:p>
  </w:endnote>
  <w:endnote w:type="continuationSeparator" w:id="0">
    <w:p w14:paraId="2D191FF1" w14:textId="77777777" w:rsidR="00103168" w:rsidRDefault="00103168" w:rsidP="00CB4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271EC" w14:textId="77777777" w:rsidR="00103168" w:rsidRDefault="00103168" w:rsidP="00CB4BC4">
      <w:r>
        <w:separator/>
      </w:r>
    </w:p>
  </w:footnote>
  <w:footnote w:type="continuationSeparator" w:id="0">
    <w:p w14:paraId="238D13BF" w14:textId="77777777" w:rsidR="00103168" w:rsidRDefault="00103168" w:rsidP="00CB4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312C8" w14:textId="77777777" w:rsidR="00CB4BC4" w:rsidRDefault="00CB4BC4" w:rsidP="000E4C28">
    <w:pPr>
      <w:pStyle w:val="Header"/>
    </w:pPr>
    <w:r w:rsidRPr="00EE5BEC">
      <w:rPr>
        <w:rFonts w:ascii="Times New Roman" w:hAnsi="Times New Roman" w:cs="Times New Roman"/>
        <w:b/>
        <w:bCs/>
      </w:rPr>
      <w:t xml:space="preserve">Quantitative Asset Management </w:t>
    </w:r>
    <w:r w:rsidR="00CF2F9B" w:rsidRPr="00EE5BEC">
      <w:rPr>
        <w:rFonts w:ascii="Times New Roman" w:hAnsi="Times New Roman" w:cs="Times New Roman"/>
        <w:b/>
        <w:bCs/>
      </w:rPr>
      <w:t>Final Project</w:t>
    </w:r>
    <w:r w:rsidR="00534EF8">
      <w:rPr>
        <w:rFonts w:ascii="Times New Roman" w:hAnsi="Times New Roman" w:cs="Times New Roman"/>
      </w:rPr>
      <w:t xml:space="preserve">                                                </w:t>
    </w:r>
    <w:r>
      <w:rPr>
        <w:rFonts w:ascii="Times New Roman" w:hAnsi="Times New Roman" w:cs="Times New Roman"/>
      </w:rPr>
      <w:t xml:space="preserve"> </w:t>
    </w:r>
    <w:r w:rsidRPr="00CB4BC4">
      <w:rPr>
        <w:rFonts w:ascii="Times New Roman" w:hAnsi="Times New Roman" w:cs="Times New Roman"/>
        <w:noProof/>
      </w:rPr>
      <w:drawing>
        <wp:inline distT="0" distB="0" distL="0" distR="0" wp14:anchorId="60999CE5" wp14:editId="0024EEB6">
          <wp:extent cx="940341" cy="252158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7603" cy="2675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72B2F"/>
    <w:multiLevelType w:val="hybridMultilevel"/>
    <w:tmpl w:val="79064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42511"/>
    <w:multiLevelType w:val="hybridMultilevel"/>
    <w:tmpl w:val="434E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73B"/>
    <w:multiLevelType w:val="hybridMultilevel"/>
    <w:tmpl w:val="363E6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F3F56"/>
    <w:multiLevelType w:val="hybridMultilevel"/>
    <w:tmpl w:val="1374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32"/>
    <w:rsid w:val="00000224"/>
    <w:rsid w:val="00002A35"/>
    <w:rsid w:val="00003E44"/>
    <w:rsid w:val="00007985"/>
    <w:rsid w:val="00010D42"/>
    <w:rsid w:val="00012C0E"/>
    <w:rsid w:val="000144B5"/>
    <w:rsid w:val="00022511"/>
    <w:rsid w:val="00023158"/>
    <w:rsid w:val="000237BE"/>
    <w:rsid w:val="00024AF8"/>
    <w:rsid w:val="0002533B"/>
    <w:rsid w:val="000271F6"/>
    <w:rsid w:val="00030C11"/>
    <w:rsid w:val="000313E9"/>
    <w:rsid w:val="00032477"/>
    <w:rsid w:val="00035874"/>
    <w:rsid w:val="000358BE"/>
    <w:rsid w:val="0004123D"/>
    <w:rsid w:val="000416A6"/>
    <w:rsid w:val="00044212"/>
    <w:rsid w:val="00044AE6"/>
    <w:rsid w:val="00045058"/>
    <w:rsid w:val="000463DD"/>
    <w:rsid w:val="000473B6"/>
    <w:rsid w:val="000503C5"/>
    <w:rsid w:val="000512AC"/>
    <w:rsid w:val="00051D80"/>
    <w:rsid w:val="00052114"/>
    <w:rsid w:val="00053835"/>
    <w:rsid w:val="00055515"/>
    <w:rsid w:val="00061074"/>
    <w:rsid w:val="000647F7"/>
    <w:rsid w:val="0006524A"/>
    <w:rsid w:val="00071207"/>
    <w:rsid w:val="00073B3C"/>
    <w:rsid w:val="00074F7B"/>
    <w:rsid w:val="00076647"/>
    <w:rsid w:val="00080F44"/>
    <w:rsid w:val="00081965"/>
    <w:rsid w:val="0008329D"/>
    <w:rsid w:val="00085D02"/>
    <w:rsid w:val="00085FE5"/>
    <w:rsid w:val="00087C18"/>
    <w:rsid w:val="00090A6B"/>
    <w:rsid w:val="00091A4F"/>
    <w:rsid w:val="00093B45"/>
    <w:rsid w:val="00095430"/>
    <w:rsid w:val="000A0075"/>
    <w:rsid w:val="000A02A7"/>
    <w:rsid w:val="000A2F9E"/>
    <w:rsid w:val="000A4CBB"/>
    <w:rsid w:val="000A500B"/>
    <w:rsid w:val="000A58DF"/>
    <w:rsid w:val="000B41FF"/>
    <w:rsid w:val="000B4A05"/>
    <w:rsid w:val="000B684B"/>
    <w:rsid w:val="000C21FF"/>
    <w:rsid w:val="000C24F7"/>
    <w:rsid w:val="000D3E0F"/>
    <w:rsid w:val="000D4166"/>
    <w:rsid w:val="000D46E4"/>
    <w:rsid w:val="000D4E95"/>
    <w:rsid w:val="000D698E"/>
    <w:rsid w:val="000E01E2"/>
    <w:rsid w:val="000E1843"/>
    <w:rsid w:val="000E2993"/>
    <w:rsid w:val="000E4C28"/>
    <w:rsid w:val="000E576E"/>
    <w:rsid w:val="000E7303"/>
    <w:rsid w:val="000F1179"/>
    <w:rsid w:val="000F2E77"/>
    <w:rsid w:val="000F57BF"/>
    <w:rsid w:val="000F7932"/>
    <w:rsid w:val="00100C6E"/>
    <w:rsid w:val="00101463"/>
    <w:rsid w:val="00103168"/>
    <w:rsid w:val="00106567"/>
    <w:rsid w:val="00115729"/>
    <w:rsid w:val="00117881"/>
    <w:rsid w:val="00123B23"/>
    <w:rsid w:val="001244F3"/>
    <w:rsid w:val="00124A8C"/>
    <w:rsid w:val="001267A7"/>
    <w:rsid w:val="00131135"/>
    <w:rsid w:val="00132121"/>
    <w:rsid w:val="001333CE"/>
    <w:rsid w:val="00133B61"/>
    <w:rsid w:val="001418B2"/>
    <w:rsid w:val="00141A49"/>
    <w:rsid w:val="00144986"/>
    <w:rsid w:val="001460C7"/>
    <w:rsid w:val="00151EDF"/>
    <w:rsid w:val="00156ACD"/>
    <w:rsid w:val="00156D69"/>
    <w:rsid w:val="00157D7B"/>
    <w:rsid w:val="00163976"/>
    <w:rsid w:val="00164C27"/>
    <w:rsid w:val="00170E8A"/>
    <w:rsid w:val="00172EF9"/>
    <w:rsid w:val="001739FC"/>
    <w:rsid w:val="001748C1"/>
    <w:rsid w:val="00175DC9"/>
    <w:rsid w:val="00177191"/>
    <w:rsid w:val="001820A4"/>
    <w:rsid w:val="001823A5"/>
    <w:rsid w:val="0018258D"/>
    <w:rsid w:val="00182DBF"/>
    <w:rsid w:val="001857B3"/>
    <w:rsid w:val="00194CAD"/>
    <w:rsid w:val="001A1E60"/>
    <w:rsid w:val="001A2E29"/>
    <w:rsid w:val="001A39DD"/>
    <w:rsid w:val="001A5C3C"/>
    <w:rsid w:val="001B1CF2"/>
    <w:rsid w:val="001B6A4F"/>
    <w:rsid w:val="001B7FBC"/>
    <w:rsid w:val="001C2FBF"/>
    <w:rsid w:val="001C40A2"/>
    <w:rsid w:val="001C4D57"/>
    <w:rsid w:val="001C4F13"/>
    <w:rsid w:val="001C769B"/>
    <w:rsid w:val="001D3514"/>
    <w:rsid w:val="001D48BF"/>
    <w:rsid w:val="001D4EAE"/>
    <w:rsid w:val="001D5A65"/>
    <w:rsid w:val="001D5E5C"/>
    <w:rsid w:val="001E17E7"/>
    <w:rsid w:val="001E45FA"/>
    <w:rsid w:val="001F1CA3"/>
    <w:rsid w:val="001F49B9"/>
    <w:rsid w:val="0020220E"/>
    <w:rsid w:val="00202F05"/>
    <w:rsid w:val="002038C2"/>
    <w:rsid w:val="00203F98"/>
    <w:rsid w:val="00204E32"/>
    <w:rsid w:val="00204F91"/>
    <w:rsid w:val="00205E69"/>
    <w:rsid w:val="00211C75"/>
    <w:rsid w:val="00212425"/>
    <w:rsid w:val="00213814"/>
    <w:rsid w:val="00213D42"/>
    <w:rsid w:val="00222C0C"/>
    <w:rsid w:val="00227724"/>
    <w:rsid w:val="002300B8"/>
    <w:rsid w:val="00236047"/>
    <w:rsid w:val="0024281B"/>
    <w:rsid w:val="0024347B"/>
    <w:rsid w:val="002453C8"/>
    <w:rsid w:val="00246AA2"/>
    <w:rsid w:val="00252312"/>
    <w:rsid w:val="00252588"/>
    <w:rsid w:val="00262438"/>
    <w:rsid w:val="002662A1"/>
    <w:rsid w:val="00270049"/>
    <w:rsid w:val="00271AF0"/>
    <w:rsid w:val="00273396"/>
    <w:rsid w:val="002745BC"/>
    <w:rsid w:val="00275B6E"/>
    <w:rsid w:val="00276373"/>
    <w:rsid w:val="0028137A"/>
    <w:rsid w:val="0028327F"/>
    <w:rsid w:val="0028493E"/>
    <w:rsid w:val="0028546A"/>
    <w:rsid w:val="00285623"/>
    <w:rsid w:val="0029068E"/>
    <w:rsid w:val="002916EB"/>
    <w:rsid w:val="002963BD"/>
    <w:rsid w:val="002A06E0"/>
    <w:rsid w:val="002A2B8A"/>
    <w:rsid w:val="002B3BDA"/>
    <w:rsid w:val="002B6108"/>
    <w:rsid w:val="002C194D"/>
    <w:rsid w:val="002C2F90"/>
    <w:rsid w:val="002C339F"/>
    <w:rsid w:val="002C40CF"/>
    <w:rsid w:val="002C484F"/>
    <w:rsid w:val="002D0B76"/>
    <w:rsid w:val="002D2F60"/>
    <w:rsid w:val="002D3BA1"/>
    <w:rsid w:val="002D58B4"/>
    <w:rsid w:val="002D738D"/>
    <w:rsid w:val="002D7E58"/>
    <w:rsid w:val="002E0C7D"/>
    <w:rsid w:val="002E3498"/>
    <w:rsid w:val="002E3A70"/>
    <w:rsid w:val="002E3AA6"/>
    <w:rsid w:val="002F159D"/>
    <w:rsid w:val="002F25F1"/>
    <w:rsid w:val="002F2939"/>
    <w:rsid w:val="002F2D70"/>
    <w:rsid w:val="002F5B5F"/>
    <w:rsid w:val="002F7A63"/>
    <w:rsid w:val="002F7C11"/>
    <w:rsid w:val="003034DF"/>
    <w:rsid w:val="00310902"/>
    <w:rsid w:val="00315D31"/>
    <w:rsid w:val="00316E6E"/>
    <w:rsid w:val="003174EB"/>
    <w:rsid w:val="00323439"/>
    <w:rsid w:val="003354CC"/>
    <w:rsid w:val="00337A95"/>
    <w:rsid w:val="00340929"/>
    <w:rsid w:val="003426DC"/>
    <w:rsid w:val="0034381D"/>
    <w:rsid w:val="003452AE"/>
    <w:rsid w:val="00347607"/>
    <w:rsid w:val="00347B96"/>
    <w:rsid w:val="0035143A"/>
    <w:rsid w:val="00352FC7"/>
    <w:rsid w:val="003535F0"/>
    <w:rsid w:val="00360A32"/>
    <w:rsid w:val="0036113C"/>
    <w:rsid w:val="0036430A"/>
    <w:rsid w:val="00367323"/>
    <w:rsid w:val="00374DC0"/>
    <w:rsid w:val="003826DC"/>
    <w:rsid w:val="00386054"/>
    <w:rsid w:val="00387425"/>
    <w:rsid w:val="00392480"/>
    <w:rsid w:val="00395024"/>
    <w:rsid w:val="003A0A86"/>
    <w:rsid w:val="003A65A1"/>
    <w:rsid w:val="003A6966"/>
    <w:rsid w:val="003A6B29"/>
    <w:rsid w:val="003B05CB"/>
    <w:rsid w:val="003B66B4"/>
    <w:rsid w:val="003B7BBD"/>
    <w:rsid w:val="003C0634"/>
    <w:rsid w:val="003C13DA"/>
    <w:rsid w:val="003C2D57"/>
    <w:rsid w:val="003C395D"/>
    <w:rsid w:val="003D3BE9"/>
    <w:rsid w:val="003D3D56"/>
    <w:rsid w:val="003D3F21"/>
    <w:rsid w:val="003D54B5"/>
    <w:rsid w:val="003E10A1"/>
    <w:rsid w:val="003E2725"/>
    <w:rsid w:val="003E7ED6"/>
    <w:rsid w:val="003F184B"/>
    <w:rsid w:val="003F2568"/>
    <w:rsid w:val="003F380B"/>
    <w:rsid w:val="003F4378"/>
    <w:rsid w:val="003F652C"/>
    <w:rsid w:val="003F752C"/>
    <w:rsid w:val="00400D8B"/>
    <w:rsid w:val="00401B2C"/>
    <w:rsid w:val="00401ECC"/>
    <w:rsid w:val="0040410C"/>
    <w:rsid w:val="004041C4"/>
    <w:rsid w:val="00404B89"/>
    <w:rsid w:val="004067EA"/>
    <w:rsid w:val="00410506"/>
    <w:rsid w:val="004230FD"/>
    <w:rsid w:val="00424568"/>
    <w:rsid w:val="00425102"/>
    <w:rsid w:val="00426003"/>
    <w:rsid w:val="004305AE"/>
    <w:rsid w:val="004314B8"/>
    <w:rsid w:val="004332BB"/>
    <w:rsid w:val="00435906"/>
    <w:rsid w:val="004363AA"/>
    <w:rsid w:val="00440316"/>
    <w:rsid w:val="004532B8"/>
    <w:rsid w:val="00454CA9"/>
    <w:rsid w:val="00457391"/>
    <w:rsid w:val="004604FF"/>
    <w:rsid w:val="00461A41"/>
    <w:rsid w:val="00463232"/>
    <w:rsid w:val="00466CC8"/>
    <w:rsid w:val="00467069"/>
    <w:rsid w:val="0047252D"/>
    <w:rsid w:val="00473617"/>
    <w:rsid w:val="00473A90"/>
    <w:rsid w:val="00474E08"/>
    <w:rsid w:val="00477E90"/>
    <w:rsid w:val="0048212A"/>
    <w:rsid w:val="00482141"/>
    <w:rsid w:val="00482F65"/>
    <w:rsid w:val="004843DA"/>
    <w:rsid w:val="00484F90"/>
    <w:rsid w:val="00492D5F"/>
    <w:rsid w:val="0049607E"/>
    <w:rsid w:val="004A24AB"/>
    <w:rsid w:val="004B0F62"/>
    <w:rsid w:val="004B2A69"/>
    <w:rsid w:val="004B2BF1"/>
    <w:rsid w:val="004B35BC"/>
    <w:rsid w:val="004B45FE"/>
    <w:rsid w:val="004B530A"/>
    <w:rsid w:val="004B53D8"/>
    <w:rsid w:val="004B78D4"/>
    <w:rsid w:val="004C1931"/>
    <w:rsid w:val="004C1E7A"/>
    <w:rsid w:val="004C2CAB"/>
    <w:rsid w:val="004C311F"/>
    <w:rsid w:val="004C578C"/>
    <w:rsid w:val="004D16F7"/>
    <w:rsid w:val="004D1FE2"/>
    <w:rsid w:val="004D20E8"/>
    <w:rsid w:val="004D73D6"/>
    <w:rsid w:val="004D7F00"/>
    <w:rsid w:val="004E09DD"/>
    <w:rsid w:val="004E6943"/>
    <w:rsid w:val="004F0990"/>
    <w:rsid w:val="004F36D6"/>
    <w:rsid w:val="00500BED"/>
    <w:rsid w:val="005133BD"/>
    <w:rsid w:val="00515668"/>
    <w:rsid w:val="005163F6"/>
    <w:rsid w:val="005249A5"/>
    <w:rsid w:val="00530A7F"/>
    <w:rsid w:val="005313ED"/>
    <w:rsid w:val="00534EF8"/>
    <w:rsid w:val="00535ACF"/>
    <w:rsid w:val="0053699A"/>
    <w:rsid w:val="00540A48"/>
    <w:rsid w:val="0054332A"/>
    <w:rsid w:val="0054597A"/>
    <w:rsid w:val="0055644F"/>
    <w:rsid w:val="00556D2E"/>
    <w:rsid w:val="00564D80"/>
    <w:rsid w:val="00565D11"/>
    <w:rsid w:val="00567629"/>
    <w:rsid w:val="0057318B"/>
    <w:rsid w:val="00574071"/>
    <w:rsid w:val="00574675"/>
    <w:rsid w:val="0057492E"/>
    <w:rsid w:val="00574991"/>
    <w:rsid w:val="0057595E"/>
    <w:rsid w:val="00581551"/>
    <w:rsid w:val="005874B2"/>
    <w:rsid w:val="005901DD"/>
    <w:rsid w:val="005912EB"/>
    <w:rsid w:val="00591A9A"/>
    <w:rsid w:val="00594B4D"/>
    <w:rsid w:val="00594CA1"/>
    <w:rsid w:val="00594E91"/>
    <w:rsid w:val="00595069"/>
    <w:rsid w:val="00595E64"/>
    <w:rsid w:val="00595F77"/>
    <w:rsid w:val="005A0833"/>
    <w:rsid w:val="005A18EA"/>
    <w:rsid w:val="005A29CC"/>
    <w:rsid w:val="005A5472"/>
    <w:rsid w:val="005B0682"/>
    <w:rsid w:val="005B0E74"/>
    <w:rsid w:val="005B3735"/>
    <w:rsid w:val="005B6551"/>
    <w:rsid w:val="005C308F"/>
    <w:rsid w:val="005C54E3"/>
    <w:rsid w:val="005C61F3"/>
    <w:rsid w:val="005C633F"/>
    <w:rsid w:val="005C7E93"/>
    <w:rsid w:val="005E1BF1"/>
    <w:rsid w:val="005E4429"/>
    <w:rsid w:val="005E508E"/>
    <w:rsid w:val="005F0810"/>
    <w:rsid w:val="005F3C4F"/>
    <w:rsid w:val="005F4E17"/>
    <w:rsid w:val="005F5560"/>
    <w:rsid w:val="006043F7"/>
    <w:rsid w:val="00611707"/>
    <w:rsid w:val="0061181C"/>
    <w:rsid w:val="00617730"/>
    <w:rsid w:val="00617D64"/>
    <w:rsid w:val="00622AC8"/>
    <w:rsid w:val="006254E0"/>
    <w:rsid w:val="006302BB"/>
    <w:rsid w:val="0063115E"/>
    <w:rsid w:val="006323DA"/>
    <w:rsid w:val="00640C8C"/>
    <w:rsid w:val="00641099"/>
    <w:rsid w:val="0064230E"/>
    <w:rsid w:val="006434E5"/>
    <w:rsid w:val="00644B27"/>
    <w:rsid w:val="00653529"/>
    <w:rsid w:val="00654EF0"/>
    <w:rsid w:val="00655D65"/>
    <w:rsid w:val="00657664"/>
    <w:rsid w:val="00661728"/>
    <w:rsid w:val="00661C63"/>
    <w:rsid w:val="00667F7A"/>
    <w:rsid w:val="006713D3"/>
    <w:rsid w:val="00671D83"/>
    <w:rsid w:val="00674552"/>
    <w:rsid w:val="00684BEA"/>
    <w:rsid w:val="006854E1"/>
    <w:rsid w:val="00685BC8"/>
    <w:rsid w:val="006868AD"/>
    <w:rsid w:val="0069258E"/>
    <w:rsid w:val="00694C0A"/>
    <w:rsid w:val="006A11E6"/>
    <w:rsid w:val="006A2083"/>
    <w:rsid w:val="006A40C3"/>
    <w:rsid w:val="006A44DA"/>
    <w:rsid w:val="006A4B68"/>
    <w:rsid w:val="006A5FA0"/>
    <w:rsid w:val="006A6210"/>
    <w:rsid w:val="006B44D9"/>
    <w:rsid w:val="006B6829"/>
    <w:rsid w:val="006C1FC1"/>
    <w:rsid w:val="006C3C86"/>
    <w:rsid w:val="006C4883"/>
    <w:rsid w:val="006C551C"/>
    <w:rsid w:val="006C650B"/>
    <w:rsid w:val="006C7DD5"/>
    <w:rsid w:val="006D728A"/>
    <w:rsid w:val="006E14D3"/>
    <w:rsid w:val="006E315F"/>
    <w:rsid w:val="006E3707"/>
    <w:rsid w:val="006E7481"/>
    <w:rsid w:val="006E793F"/>
    <w:rsid w:val="006F1FCD"/>
    <w:rsid w:val="006F7A07"/>
    <w:rsid w:val="006F7C6E"/>
    <w:rsid w:val="00701568"/>
    <w:rsid w:val="00702A40"/>
    <w:rsid w:val="00705172"/>
    <w:rsid w:val="00706C82"/>
    <w:rsid w:val="0070716F"/>
    <w:rsid w:val="00716B95"/>
    <w:rsid w:val="00716CCB"/>
    <w:rsid w:val="00720CB2"/>
    <w:rsid w:val="007210B0"/>
    <w:rsid w:val="007260AB"/>
    <w:rsid w:val="00730F33"/>
    <w:rsid w:val="007328E4"/>
    <w:rsid w:val="00737C8E"/>
    <w:rsid w:val="00741265"/>
    <w:rsid w:val="0074333F"/>
    <w:rsid w:val="00744031"/>
    <w:rsid w:val="0075036B"/>
    <w:rsid w:val="00750E3E"/>
    <w:rsid w:val="00750F08"/>
    <w:rsid w:val="00752C2F"/>
    <w:rsid w:val="00752F50"/>
    <w:rsid w:val="007541D0"/>
    <w:rsid w:val="00754E7C"/>
    <w:rsid w:val="00756842"/>
    <w:rsid w:val="0076011F"/>
    <w:rsid w:val="00761B84"/>
    <w:rsid w:val="00762681"/>
    <w:rsid w:val="007664CC"/>
    <w:rsid w:val="00767825"/>
    <w:rsid w:val="00770E10"/>
    <w:rsid w:val="0078021B"/>
    <w:rsid w:val="00781E34"/>
    <w:rsid w:val="007837CE"/>
    <w:rsid w:val="00784440"/>
    <w:rsid w:val="0078584D"/>
    <w:rsid w:val="0078719C"/>
    <w:rsid w:val="00791842"/>
    <w:rsid w:val="00791EA1"/>
    <w:rsid w:val="00794AE2"/>
    <w:rsid w:val="007976D3"/>
    <w:rsid w:val="007A0D94"/>
    <w:rsid w:val="007A1FAB"/>
    <w:rsid w:val="007A7E3B"/>
    <w:rsid w:val="007B18CD"/>
    <w:rsid w:val="007B7C32"/>
    <w:rsid w:val="007C2418"/>
    <w:rsid w:val="007C287E"/>
    <w:rsid w:val="007C30FE"/>
    <w:rsid w:val="007D1592"/>
    <w:rsid w:val="007D17C7"/>
    <w:rsid w:val="007D4908"/>
    <w:rsid w:val="007E5F2D"/>
    <w:rsid w:val="007F4A76"/>
    <w:rsid w:val="0080115D"/>
    <w:rsid w:val="00801900"/>
    <w:rsid w:val="008050AD"/>
    <w:rsid w:val="00806194"/>
    <w:rsid w:val="008102D5"/>
    <w:rsid w:val="00811B2A"/>
    <w:rsid w:val="00812F03"/>
    <w:rsid w:val="00816A7E"/>
    <w:rsid w:val="0081722F"/>
    <w:rsid w:val="0082234F"/>
    <w:rsid w:val="00822E2F"/>
    <w:rsid w:val="008260D2"/>
    <w:rsid w:val="00826812"/>
    <w:rsid w:val="00826BE4"/>
    <w:rsid w:val="00831615"/>
    <w:rsid w:val="00834D58"/>
    <w:rsid w:val="008414D9"/>
    <w:rsid w:val="00842EA5"/>
    <w:rsid w:val="0084490C"/>
    <w:rsid w:val="00844F2C"/>
    <w:rsid w:val="00847D51"/>
    <w:rsid w:val="00850411"/>
    <w:rsid w:val="0085280B"/>
    <w:rsid w:val="00854B44"/>
    <w:rsid w:val="00862886"/>
    <w:rsid w:val="008640C7"/>
    <w:rsid w:val="008657B3"/>
    <w:rsid w:val="00865CBB"/>
    <w:rsid w:val="00875D61"/>
    <w:rsid w:val="00877E1A"/>
    <w:rsid w:val="00883E18"/>
    <w:rsid w:val="008860F1"/>
    <w:rsid w:val="008942F1"/>
    <w:rsid w:val="008A4F73"/>
    <w:rsid w:val="008A62B3"/>
    <w:rsid w:val="008B07FA"/>
    <w:rsid w:val="008B1984"/>
    <w:rsid w:val="008B1E9F"/>
    <w:rsid w:val="008B3EF7"/>
    <w:rsid w:val="008B4C97"/>
    <w:rsid w:val="008B72A7"/>
    <w:rsid w:val="008C5DDC"/>
    <w:rsid w:val="008D02C5"/>
    <w:rsid w:val="008D4B30"/>
    <w:rsid w:val="008D4B3D"/>
    <w:rsid w:val="008D4C9A"/>
    <w:rsid w:val="008D53EA"/>
    <w:rsid w:val="008D699C"/>
    <w:rsid w:val="008E1C33"/>
    <w:rsid w:val="008E3283"/>
    <w:rsid w:val="008E699A"/>
    <w:rsid w:val="008F1BA6"/>
    <w:rsid w:val="008F6F97"/>
    <w:rsid w:val="00902937"/>
    <w:rsid w:val="00902FBB"/>
    <w:rsid w:val="00904C4C"/>
    <w:rsid w:val="00906DC5"/>
    <w:rsid w:val="00910533"/>
    <w:rsid w:val="0091144A"/>
    <w:rsid w:val="0091267D"/>
    <w:rsid w:val="009130BD"/>
    <w:rsid w:val="0091460D"/>
    <w:rsid w:val="00915418"/>
    <w:rsid w:val="00915E5A"/>
    <w:rsid w:val="0092144F"/>
    <w:rsid w:val="00924B59"/>
    <w:rsid w:val="00925352"/>
    <w:rsid w:val="009256A0"/>
    <w:rsid w:val="00926206"/>
    <w:rsid w:val="00927BE9"/>
    <w:rsid w:val="00930D20"/>
    <w:rsid w:val="00932B57"/>
    <w:rsid w:val="00933072"/>
    <w:rsid w:val="009332C5"/>
    <w:rsid w:val="00935AF6"/>
    <w:rsid w:val="00942BBA"/>
    <w:rsid w:val="009439FE"/>
    <w:rsid w:val="00944EC9"/>
    <w:rsid w:val="009471ED"/>
    <w:rsid w:val="00947513"/>
    <w:rsid w:val="009513FA"/>
    <w:rsid w:val="00953C68"/>
    <w:rsid w:val="009540AB"/>
    <w:rsid w:val="00954776"/>
    <w:rsid w:val="00955BA3"/>
    <w:rsid w:val="009567B5"/>
    <w:rsid w:val="0097045A"/>
    <w:rsid w:val="0097241A"/>
    <w:rsid w:val="00972EFB"/>
    <w:rsid w:val="00973EEB"/>
    <w:rsid w:val="00976047"/>
    <w:rsid w:val="0097639F"/>
    <w:rsid w:val="009824D0"/>
    <w:rsid w:val="00982595"/>
    <w:rsid w:val="00984850"/>
    <w:rsid w:val="009870EF"/>
    <w:rsid w:val="00987EFD"/>
    <w:rsid w:val="00990E88"/>
    <w:rsid w:val="00991DD2"/>
    <w:rsid w:val="009A0748"/>
    <w:rsid w:val="009A1D21"/>
    <w:rsid w:val="009A3F42"/>
    <w:rsid w:val="009A5B1C"/>
    <w:rsid w:val="009B04CD"/>
    <w:rsid w:val="009B1518"/>
    <w:rsid w:val="009B268E"/>
    <w:rsid w:val="009B4DEF"/>
    <w:rsid w:val="009B62A1"/>
    <w:rsid w:val="009C4D75"/>
    <w:rsid w:val="009C6447"/>
    <w:rsid w:val="009D191F"/>
    <w:rsid w:val="009D2642"/>
    <w:rsid w:val="009D2B4B"/>
    <w:rsid w:val="009D5E68"/>
    <w:rsid w:val="009E16E8"/>
    <w:rsid w:val="009E20B8"/>
    <w:rsid w:val="009E3C6C"/>
    <w:rsid w:val="009E50C3"/>
    <w:rsid w:val="009E57D5"/>
    <w:rsid w:val="009F0209"/>
    <w:rsid w:val="009F021F"/>
    <w:rsid w:val="009F0FCE"/>
    <w:rsid w:val="009F214B"/>
    <w:rsid w:val="009F2234"/>
    <w:rsid w:val="009F555A"/>
    <w:rsid w:val="009F7B13"/>
    <w:rsid w:val="00A05536"/>
    <w:rsid w:val="00A06915"/>
    <w:rsid w:val="00A07547"/>
    <w:rsid w:val="00A16181"/>
    <w:rsid w:val="00A20379"/>
    <w:rsid w:val="00A20458"/>
    <w:rsid w:val="00A204F8"/>
    <w:rsid w:val="00A23FE3"/>
    <w:rsid w:val="00A32F5E"/>
    <w:rsid w:val="00A335DA"/>
    <w:rsid w:val="00A403F6"/>
    <w:rsid w:val="00A50F37"/>
    <w:rsid w:val="00A52A04"/>
    <w:rsid w:val="00A537B8"/>
    <w:rsid w:val="00A620AF"/>
    <w:rsid w:val="00A66CFE"/>
    <w:rsid w:val="00A70829"/>
    <w:rsid w:val="00A711E6"/>
    <w:rsid w:val="00A718C9"/>
    <w:rsid w:val="00A80938"/>
    <w:rsid w:val="00A81D9C"/>
    <w:rsid w:val="00A8422C"/>
    <w:rsid w:val="00A847C5"/>
    <w:rsid w:val="00A9218B"/>
    <w:rsid w:val="00A95515"/>
    <w:rsid w:val="00A9575D"/>
    <w:rsid w:val="00AA12DE"/>
    <w:rsid w:val="00AA2354"/>
    <w:rsid w:val="00AA783B"/>
    <w:rsid w:val="00AB2B0C"/>
    <w:rsid w:val="00AB3F9E"/>
    <w:rsid w:val="00AB3FCF"/>
    <w:rsid w:val="00AC50E1"/>
    <w:rsid w:val="00AC5A8A"/>
    <w:rsid w:val="00AD0E2C"/>
    <w:rsid w:val="00AD1D61"/>
    <w:rsid w:val="00AD2335"/>
    <w:rsid w:val="00AD5D37"/>
    <w:rsid w:val="00AD6FA0"/>
    <w:rsid w:val="00AE1BB8"/>
    <w:rsid w:val="00AE43F3"/>
    <w:rsid w:val="00AE5CD5"/>
    <w:rsid w:val="00AE6874"/>
    <w:rsid w:val="00AF172B"/>
    <w:rsid w:val="00AF4700"/>
    <w:rsid w:val="00B02465"/>
    <w:rsid w:val="00B0336E"/>
    <w:rsid w:val="00B033F8"/>
    <w:rsid w:val="00B03F84"/>
    <w:rsid w:val="00B05FB0"/>
    <w:rsid w:val="00B065E1"/>
    <w:rsid w:val="00B10D37"/>
    <w:rsid w:val="00B160F9"/>
    <w:rsid w:val="00B163C7"/>
    <w:rsid w:val="00B2043D"/>
    <w:rsid w:val="00B204A7"/>
    <w:rsid w:val="00B208E5"/>
    <w:rsid w:val="00B209FC"/>
    <w:rsid w:val="00B21338"/>
    <w:rsid w:val="00B221F7"/>
    <w:rsid w:val="00B265DC"/>
    <w:rsid w:val="00B26D97"/>
    <w:rsid w:val="00B34443"/>
    <w:rsid w:val="00B355E7"/>
    <w:rsid w:val="00B42F72"/>
    <w:rsid w:val="00B44023"/>
    <w:rsid w:val="00B45BB3"/>
    <w:rsid w:val="00B56A1E"/>
    <w:rsid w:val="00B61473"/>
    <w:rsid w:val="00B61F54"/>
    <w:rsid w:val="00B63534"/>
    <w:rsid w:val="00B7134E"/>
    <w:rsid w:val="00B7184C"/>
    <w:rsid w:val="00B74EB2"/>
    <w:rsid w:val="00B752BC"/>
    <w:rsid w:val="00B777AA"/>
    <w:rsid w:val="00B80E08"/>
    <w:rsid w:val="00B86D71"/>
    <w:rsid w:val="00B8747B"/>
    <w:rsid w:val="00B91AF9"/>
    <w:rsid w:val="00B94DB8"/>
    <w:rsid w:val="00B96D58"/>
    <w:rsid w:val="00BA17A8"/>
    <w:rsid w:val="00BA2C8B"/>
    <w:rsid w:val="00BA7791"/>
    <w:rsid w:val="00BA779E"/>
    <w:rsid w:val="00BB0918"/>
    <w:rsid w:val="00BB0A06"/>
    <w:rsid w:val="00BB476B"/>
    <w:rsid w:val="00BB51BD"/>
    <w:rsid w:val="00BB5E35"/>
    <w:rsid w:val="00BC117A"/>
    <w:rsid w:val="00BC1C0F"/>
    <w:rsid w:val="00BC2C7D"/>
    <w:rsid w:val="00BD29F8"/>
    <w:rsid w:val="00BD711C"/>
    <w:rsid w:val="00BD7A43"/>
    <w:rsid w:val="00BE1FF4"/>
    <w:rsid w:val="00BE3536"/>
    <w:rsid w:val="00BE4E68"/>
    <w:rsid w:val="00BE4F23"/>
    <w:rsid w:val="00BE5AA9"/>
    <w:rsid w:val="00BE6506"/>
    <w:rsid w:val="00BF10D7"/>
    <w:rsid w:val="00BF365A"/>
    <w:rsid w:val="00BF3D6D"/>
    <w:rsid w:val="00BF4FCE"/>
    <w:rsid w:val="00BF627F"/>
    <w:rsid w:val="00C027BF"/>
    <w:rsid w:val="00C05F50"/>
    <w:rsid w:val="00C06D93"/>
    <w:rsid w:val="00C07521"/>
    <w:rsid w:val="00C112A7"/>
    <w:rsid w:val="00C12D6C"/>
    <w:rsid w:val="00C153C2"/>
    <w:rsid w:val="00C20126"/>
    <w:rsid w:val="00C21DD4"/>
    <w:rsid w:val="00C22A9B"/>
    <w:rsid w:val="00C24367"/>
    <w:rsid w:val="00C31CD4"/>
    <w:rsid w:val="00C348FF"/>
    <w:rsid w:val="00C357DE"/>
    <w:rsid w:val="00C35B4D"/>
    <w:rsid w:val="00C36343"/>
    <w:rsid w:val="00C36C65"/>
    <w:rsid w:val="00C42830"/>
    <w:rsid w:val="00C4290B"/>
    <w:rsid w:val="00C4514B"/>
    <w:rsid w:val="00C47251"/>
    <w:rsid w:val="00C53220"/>
    <w:rsid w:val="00C54A71"/>
    <w:rsid w:val="00C55154"/>
    <w:rsid w:val="00C561E5"/>
    <w:rsid w:val="00C61E15"/>
    <w:rsid w:val="00C62AE6"/>
    <w:rsid w:val="00C631E8"/>
    <w:rsid w:val="00C6365D"/>
    <w:rsid w:val="00C63B78"/>
    <w:rsid w:val="00C673D5"/>
    <w:rsid w:val="00C70AD4"/>
    <w:rsid w:val="00C74E1A"/>
    <w:rsid w:val="00C75965"/>
    <w:rsid w:val="00C7610D"/>
    <w:rsid w:val="00C76CE2"/>
    <w:rsid w:val="00C80251"/>
    <w:rsid w:val="00C850C0"/>
    <w:rsid w:val="00C909FC"/>
    <w:rsid w:val="00C9149D"/>
    <w:rsid w:val="00C95B23"/>
    <w:rsid w:val="00C961B7"/>
    <w:rsid w:val="00C97DDD"/>
    <w:rsid w:val="00CA1948"/>
    <w:rsid w:val="00CA2911"/>
    <w:rsid w:val="00CA2BD3"/>
    <w:rsid w:val="00CA3677"/>
    <w:rsid w:val="00CA4097"/>
    <w:rsid w:val="00CA51DF"/>
    <w:rsid w:val="00CA5482"/>
    <w:rsid w:val="00CA78C6"/>
    <w:rsid w:val="00CB29DF"/>
    <w:rsid w:val="00CB4BC4"/>
    <w:rsid w:val="00CB54F4"/>
    <w:rsid w:val="00CB7928"/>
    <w:rsid w:val="00CC31C6"/>
    <w:rsid w:val="00CC71D0"/>
    <w:rsid w:val="00CD0E72"/>
    <w:rsid w:val="00CD163A"/>
    <w:rsid w:val="00CD1DB4"/>
    <w:rsid w:val="00CD322D"/>
    <w:rsid w:val="00CD3F4C"/>
    <w:rsid w:val="00CD625D"/>
    <w:rsid w:val="00CE12A6"/>
    <w:rsid w:val="00CE2B60"/>
    <w:rsid w:val="00CE5D1F"/>
    <w:rsid w:val="00CF10B0"/>
    <w:rsid w:val="00CF2F9B"/>
    <w:rsid w:val="00CF3F9F"/>
    <w:rsid w:val="00CF5762"/>
    <w:rsid w:val="00D0091E"/>
    <w:rsid w:val="00D05BBB"/>
    <w:rsid w:val="00D05F65"/>
    <w:rsid w:val="00D06968"/>
    <w:rsid w:val="00D1159F"/>
    <w:rsid w:val="00D142B8"/>
    <w:rsid w:val="00D1554C"/>
    <w:rsid w:val="00D20507"/>
    <w:rsid w:val="00D2389A"/>
    <w:rsid w:val="00D25A31"/>
    <w:rsid w:val="00D3063F"/>
    <w:rsid w:val="00D31592"/>
    <w:rsid w:val="00D31BE2"/>
    <w:rsid w:val="00D32AA8"/>
    <w:rsid w:val="00D3355D"/>
    <w:rsid w:val="00D33C34"/>
    <w:rsid w:val="00D406C6"/>
    <w:rsid w:val="00D4239C"/>
    <w:rsid w:val="00D42E19"/>
    <w:rsid w:val="00D436DB"/>
    <w:rsid w:val="00D449BA"/>
    <w:rsid w:val="00D52841"/>
    <w:rsid w:val="00D53D8E"/>
    <w:rsid w:val="00D544E7"/>
    <w:rsid w:val="00D578FE"/>
    <w:rsid w:val="00D64EE0"/>
    <w:rsid w:val="00D66D19"/>
    <w:rsid w:val="00D67C6D"/>
    <w:rsid w:val="00D72B9A"/>
    <w:rsid w:val="00D731E9"/>
    <w:rsid w:val="00D7596E"/>
    <w:rsid w:val="00D82336"/>
    <w:rsid w:val="00D825B7"/>
    <w:rsid w:val="00D82810"/>
    <w:rsid w:val="00D82970"/>
    <w:rsid w:val="00D829D9"/>
    <w:rsid w:val="00D8535F"/>
    <w:rsid w:val="00D861E0"/>
    <w:rsid w:val="00D90409"/>
    <w:rsid w:val="00D9114A"/>
    <w:rsid w:val="00D93ED9"/>
    <w:rsid w:val="00D95C25"/>
    <w:rsid w:val="00DA3C65"/>
    <w:rsid w:val="00DA46F7"/>
    <w:rsid w:val="00DA48EA"/>
    <w:rsid w:val="00DA54C7"/>
    <w:rsid w:val="00DA79E4"/>
    <w:rsid w:val="00DB022B"/>
    <w:rsid w:val="00DB3041"/>
    <w:rsid w:val="00DB3758"/>
    <w:rsid w:val="00DC4200"/>
    <w:rsid w:val="00DC4399"/>
    <w:rsid w:val="00DC4FBD"/>
    <w:rsid w:val="00DC6D14"/>
    <w:rsid w:val="00DD1474"/>
    <w:rsid w:val="00DD1966"/>
    <w:rsid w:val="00DD2633"/>
    <w:rsid w:val="00DD3CF6"/>
    <w:rsid w:val="00DD3EC4"/>
    <w:rsid w:val="00DE081D"/>
    <w:rsid w:val="00DE11C0"/>
    <w:rsid w:val="00DE3926"/>
    <w:rsid w:val="00DE403A"/>
    <w:rsid w:val="00DE4596"/>
    <w:rsid w:val="00DE4C38"/>
    <w:rsid w:val="00DF12C7"/>
    <w:rsid w:val="00DF2163"/>
    <w:rsid w:val="00DF50FD"/>
    <w:rsid w:val="00DF548A"/>
    <w:rsid w:val="00DF562C"/>
    <w:rsid w:val="00DF5D37"/>
    <w:rsid w:val="00DF5F3E"/>
    <w:rsid w:val="00E0126F"/>
    <w:rsid w:val="00E0205E"/>
    <w:rsid w:val="00E03ABC"/>
    <w:rsid w:val="00E102A8"/>
    <w:rsid w:val="00E11DCD"/>
    <w:rsid w:val="00E15C8E"/>
    <w:rsid w:val="00E1749D"/>
    <w:rsid w:val="00E176F8"/>
    <w:rsid w:val="00E17AE5"/>
    <w:rsid w:val="00E2045E"/>
    <w:rsid w:val="00E24814"/>
    <w:rsid w:val="00E272DA"/>
    <w:rsid w:val="00E27BA7"/>
    <w:rsid w:val="00E30208"/>
    <w:rsid w:val="00E306CF"/>
    <w:rsid w:val="00E31454"/>
    <w:rsid w:val="00E31A2D"/>
    <w:rsid w:val="00E33F89"/>
    <w:rsid w:val="00E43B3B"/>
    <w:rsid w:val="00E4505A"/>
    <w:rsid w:val="00E45B55"/>
    <w:rsid w:val="00E47D77"/>
    <w:rsid w:val="00E50565"/>
    <w:rsid w:val="00E51B9B"/>
    <w:rsid w:val="00E57DD1"/>
    <w:rsid w:val="00E60137"/>
    <w:rsid w:val="00E61F21"/>
    <w:rsid w:val="00E6569F"/>
    <w:rsid w:val="00E671E7"/>
    <w:rsid w:val="00E714D3"/>
    <w:rsid w:val="00E715EA"/>
    <w:rsid w:val="00E72D8F"/>
    <w:rsid w:val="00E7691B"/>
    <w:rsid w:val="00E8231D"/>
    <w:rsid w:val="00E8351A"/>
    <w:rsid w:val="00E96F44"/>
    <w:rsid w:val="00E9701E"/>
    <w:rsid w:val="00EA2379"/>
    <w:rsid w:val="00EA2575"/>
    <w:rsid w:val="00EA3F8C"/>
    <w:rsid w:val="00EA66FF"/>
    <w:rsid w:val="00EA6856"/>
    <w:rsid w:val="00EA692D"/>
    <w:rsid w:val="00EB01FD"/>
    <w:rsid w:val="00EB6497"/>
    <w:rsid w:val="00EC345B"/>
    <w:rsid w:val="00EC42BF"/>
    <w:rsid w:val="00EC6439"/>
    <w:rsid w:val="00ED125F"/>
    <w:rsid w:val="00ED176E"/>
    <w:rsid w:val="00ED4AE5"/>
    <w:rsid w:val="00ED765A"/>
    <w:rsid w:val="00EE299D"/>
    <w:rsid w:val="00EE4007"/>
    <w:rsid w:val="00EE5BEC"/>
    <w:rsid w:val="00EE704F"/>
    <w:rsid w:val="00EF1751"/>
    <w:rsid w:val="00EF1C1B"/>
    <w:rsid w:val="00EF3206"/>
    <w:rsid w:val="00EF4164"/>
    <w:rsid w:val="00EF60DA"/>
    <w:rsid w:val="00EF68CA"/>
    <w:rsid w:val="00EF7B30"/>
    <w:rsid w:val="00F051B2"/>
    <w:rsid w:val="00F0658F"/>
    <w:rsid w:val="00F06ABD"/>
    <w:rsid w:val="00F07150"/>
    <w:rsid w:val="00F07295"/>
    <w:rsid w:val="00F07840"/>
    <w:rsid w:val="00F126A5"/>
    <w:rsid w:val="00F12A75"/>
    <w:rsid w:val="00F132A9"/>
    <w:rsid w:val="00F23C22"/>
    <w:rsid w:val="00F27114"/>
    <w:rsid w:val="00F300B4"/>
    <w:rsid w:val="00F304A8"/>
    <w:rsid w:val="00F33A6B"/>
    <w:rsid w:val="00F34E60"/>
    <w:rsid w:val="00F36ECE"/>
    <w:rsid w:val="00F37737"/>
    <w:rsid w:val="00F37B2F"/>
    <w:rsid w:val="00F37C74"/>
    <w:rsid w:val="00F51F01"/>
    <w:rsid w:val="00F5291B"/>
    <w:rsid w:val="00F52A98"/>
    <w:rsid w:val="00F53EFD"/>
    <w:rsid w:val="00F617C9"/>
    <w:rsid w:val="00F65678"/>
    <w:rsid w:val="00F6633C"/>
    <w:rsid w:val="00F66384"/>
    <w:rsid w:val="00F664EC"/>
    <w:rsid w:val="00F66BFA"/>
    <w:rsid w:val="00F6727D"/>
    <w:rsid w:val="00F7514F"/>
    <w:rsid w:val="00F76E68"/>
    <w:rsid w:val="00F80B79"/>
    <w:rsid w:val="00F81307"/>
    <w:rsid w:val="00F8138C"/>
    <w:rsid w:val="00F81663"/>
    <w:rsid w:val="00F82475"/>
    <w:rsid w:val="00F83F30"/>
    <w:rsid w:val="00F8459B"/>
    <w:rsid w:val="00F85A6A"/>
    <w:rsid w:val="00F86855"/>
    <w:rsid w:val="00F87CA3"/>
    <w:rsid w:val="00F931E1"/>
    <w:rsid w:val="00F9433D"/>
    <w:rsid w:val="00F97204"/>
    <w:rsid w:val="00FA25BA"/>
    <w:rsid w:val="00FA412A"/>
    <w:rsid w:val="00FB1D97"/>
    <w:rsid w:val="00FB3CA5"/>
    <w:rsid w:val="00FB7568"/>
    <w:rsid w:val="00FC03C7"/>
    <w:rsid w:val="00FC0946"/>
    <w:rsid w:val="00FC1E94"/>
    <w:rsid w:val="00FC220A"/>
    <w:rsid w:val="00FC5EB4"/>
    <w:rsid w:val="00FC696D"/>
    <w:rsid w:val="00FC6E69"/>
    <w:rsid w:val="00FC7628"/>
    <w:rsid w:val="00FD3DD1"/>
    <w:rsid w:val="00FD5201"/>
    <w:rsid w:val="00FD5EC6"/>
    <w:rsid w:val="00FE0788"/>
    <w:rsid w:val="00FE0C89"/>
    <w:rsid w:val="00FE2DA9"/>
    <w:rsid w:val="00FE2F86"/>
    <w:rsid w:val="00FE5308"/>
    <w:rsid w:val="00FE6A91"/>
    <w:rsid w:val="00FF053F"/>
    <w:rsid w:val="00FF3599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4FF9B"/>
  <w15:chartTrackingRefBased/>
  <w15:docId w15:val="{E4553762-BFC2-DB4C-9A35-90067968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843"/>
    <w:pPr>
      <w:ind w:left="720"/>
      <w:contextualSpacing/>
    </w:pPr>
  </w:style>
  <w:style w:type="table" w:styleId="TableGrid">
    <w:name w:val="Table Grid"/>
    <w:basedOn w:val="TableNormal"/>
    <w:uiPriority w:val="39"/>
    <w:rsid w:val="001D5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D5E6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B4B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BC4"/>
  </w:style>
  <w:style w:type="paragraph" w:styleId="Footer">
    <w:name w:val="footer"/>
    <w:basedOn w:val="Normal"/>
    <w:link w:val="FooterChar"/>
    <w:uiPriority w:val="99"/>
    <w:unhideWhenUsed/>
    <w:rsid w:val="00CB4B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BC4"/>
  </w:style>
  <w:style w:type="paragraph" w:styleId="BalloonText">
    <w:name w:val="Balloon Text"/>
    <w:basedOn w:val="Normal"/>
    <w:link w:val="BalloonTextChar"/>
    <w:uiPriority w:val="99"/>
    <w:semiHidden/>
    <w:unhideWhenUsed/>
    <w:rsid w:val="00CB4B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BC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3C6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Nanhao N.</dc:creator>
  <cp:keywords/>
  <dc:description/>
  <cp:lastModifiedBy>Tan, Yong Jia Y.</cp:lastModifiedBy>
  <cp:revision>1898</cp:revision>
  <dcterms:created xsi:type="dcterms:W3CDTF">2019-04-14T21:08:00Z</dcterms:created>
  <dcterms:modified xsi:type="dcterms:W3CDTF">2019-06-04T02:33:00Z</dcterms:modified>
</cp:coreProperties>
</file>