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628" w:rsidRPr="00270628" w:rsidRDefault="00270628" w:rsidP="00270628">
      <w:pPr>
        <w:spacing w:before="100" w:beforeAutospacing="1" w:after="240"/>
        <w:outlineLvl w:val="2"/>
        <w:rPr>
          <w:rFonts w:ascii="-webkit-standard" w:eastAsia="Times New Roman" w:hAnsi="-webkit-standard" w:cs="Times New Roman"/>
          <w:b/>
          <w:bCs/>
          <w:color w:val="000000" w:themeColor="text1"/>
          <w:sz w:val="30"/>
          <w:szCs w:val="30"/>
        </w:rPr>
      </w:pPr>
      <w:r w:rsidRPr="00270628">
        <w:rPr>
          <w:rFonts w:ascii="-webkit-standard" w:eastAsia="Times New Roman" w:hAnsi="-webkit-standard" w:cs="Times New Roman"/>
          <w:b/>
          <w:bCs/>
          <w:color w:val="000000" w:themeColor="text1"/>
          <w:sz w:val="30"/>
          <w:szCs w:val="30"/>
        </w:rPr>
        <w:t>1.4</w:t>
      </w:r>
      <w:bookmarkStart w:id="0" w:name="_GoBack"/>
      <w:bookmarkEnd w:id="0"/>
    </w:p>
    <w:p w:rsidR="00270628" w:rsidRPr="00270628" w:rsidRDefault="00270628" w:rsidP="00270628">
      <w:pPr>
        <w:spacing w:after="100" w:afterAutospacing="1"/>
        <w:rPr>
          <w:rFonts w:ascii="-webkit-standard" w:eastAsia="Times New Roman" w:hAnsi="-webkit-standard" w:cs="Times New Roman"/>
          <w:color w:val="000000" w:themeColor="text1"/>
        </w:rPr>
      </w:pPr>
      <w:r w:rsidRPr="00270628">
        <w:rPr>
          <w:rFonts w:ascii="-webkit-standard" w:eastAsia="Times New Roman" w:hAnsi="-webkit-standard" w:cs="Times New Roman"/>
          <w:color w:val="000000" w:themeColor="text1"/>
        </w:rPr>
        <w:t>There are more exceptions for EWMA and GARCH model. However, the trend of the EWMA VaR is similar to the volatility of returns. Thus, you could add capital to invest the stock though the exceptions are not really small. In the opposite, if the VaRs are high and the number of exceptions is small, you will not invest in the stock because of the high VaRs. </w:t>
      </w:r>
    </w:p>
    <w:p w:rsidR="00270628" w:rsidRPr="00270628" w:rsidRDefault="00270628" w:rsidP="00270628">
      <w:pPr>
        <w:spacing w:before="100" w:beforeAutospacing="1" w:after="240"/>
        <w:outlineLvl w:val="2"/>
        <w:rPr>
          <w:rFonts w:ascii="-webkit-standard" w:eastAsia="Times New Roman" w:hAnsi="-webkit-standard" w:cs="Times New Roman"/>
          <w:b/>
          <w:bCs/>
          <w:color w:val="000000" w:themeColor="text1"/>
          <w:sz w:val="30"/>
          <w:szCs w:val="30"/>
        </w:rPr>
      </w:pPr>
      <w:r w:rsidRPr="00270628">
        <w:rPr>
          <w:rFonts w:ascii="-webkit-standard" w:eastAsia="Times New Roman" w:hAnsi="-webkit-standard" w:cs="Times New Roman"/>
          <w:b/>
          <w:bCs/>
          <w:color w:val="000000" w:themeColor="text1"/>
          <w:sz w:val="30"/>
          <w:szCs w:val="30"/>
        </w:rPr>
        <w:t>2.1</w:t>
      </w:r>
    </w:p>
    <w:p w:rsidR="00270628" w:rsidRPr="00270628" w:rsidRDefault="00270628" w:rsidP="00270628">
      <w:pPr>
        <w:spacing w:after="240"/>
        <w:rPr>
          <w:rFonts w:ascii="-webkit-standard" w:eastAsia="Times New Roman" w:hAnsi="-webkit-standard" w:cs="Times New Roman"/>
          <w:color w:val="000000" w:themeColor="text1"/>
        </w:rPr>
      </w:pPr>
      <w:r w:rsidRPr="00270628">
        <w:rPr>
          <w:rFonts w:ascii="-webkit-standard" w:eastAsia="Times New Roman" w:hAnsi="-webkit-standard" w:cs="Times New Roman"/>
          <w:color w:val="000000" w:themeColor="text1"/>
        </w:rPr>
        <w:t>The broad trading strategy of LTCM was to take advantage of small differences in prices among closely related securities. They aim for "relative-value", or "convergence-arbitrage", trades. The key is that the securities would ultimately converge to the same value. This was used in a variety of markets, such as long swap-government</w:t>
      </w:r>
    </w:p>
    <w:p w:rsidR="00270628" w:rsidRPr="00270628" w:rsidRDefault="00270628" w:rsidP="00270628">
      <w:pPr>
        <w:spacing w:after="240"/>
        <w:rPr>
          <w:rFonts w:ascii="-webkit-standard" w:eastAsia="Times New Roman" w:hAnsi="-webkit-standard" w:cs="Times New Roman"/>
          <w:color w:val="000000" w:themeColor="text1"/>
        </w:rPr>
      </w:pPr>
      <w:r w:rsidRPr="00270628">
        <w:rPr>
          <w:rFonts w:ascii="-webkit-standard" w:eastAsia="Times New Roman" w:hAnsi="-webkit-standard" w:cs="Times New Roman"/>
          <w:color w:val="000000" w:themeColor="text1"/>
        </w:rPr>
        <w:t>spreads, long mortgage-backed securities versus short government, long high-yielding versus short low- yielding European bonds, Japanese convertible bond arbitrage, equity pairs, and so on. LTCM also had other</w:t>
      </w:r>
    </w:p>
    <w:p w:rsidR="00270628" w:rsidRPr="00270628" w:rsidRDefault="00270628" w:rsidP="00270628">
      <w:pPr>
        <w:spacing w:after="100" w:afterAutospacing="1"/>
        <w:rPr>
          <w:rFonts w:ascii="-webkit-standard" w:eastAsia="Times New Roman" w:hAnsi="-webkit-standard" w:cs="Times New Roman"/>
          <w:color w:val="000000" w:themeColor="text1"/>
        </w:rPr>
      </w:pPr>
      <w:r w:rsidRPr="00270628">
        <w:rPr>
          <w:rFonts w:ascii="-webkit-standard" w:eastAsia="Times New Roman" w:hAnsi="-webkit-standard" w:cs="Times New Roman"/>
          <w:color w:val="000000" w:themeColor="text1"/>
        </w:rPr>
        <w:t>non-arbitrage strategies, such as short positions in equity options, bets on takeover stocks, emerging market debt, etc. Their trades are usually profitable, unless there is default or market disruption.</w:t>
      </w:r>
    </w:p>
    <w:p w:rsidR="00270628" w:rsidRPr="00270628" w:rsidRDefault="00270628" w:rsidP="00270628">
      <w:pPr>
        <w:spacing w:before="100" w:beforeAutospacing="1" w:after="240"/>
        <w:outlineLvl w:val="2"/>
        <w:rPr>
          <w:rFonts w:ascii="-webkit-standard" w:eastAsia="Times New Roman" w:hAnsi="-webkit-standard" w:cs="Times New Roman"/>
          <w:b/>
          <w:bCs/>
          <w:color w:val="000000" w:themeColor="text1"/>
          <w:sz w:val="30"/>
          <w:szCs w:val="30"/>
        </w:rPr>
      </w:pPr>
      <w:r w:rsidRPr="00270628">
        <w:rPr>
          <w:rFonts w:ascii="-webkit-standard" w:eastAsia="Times New Roman" w:hAnsi="-webkit-standard" w:cs="Times New Roman"/>
          <w:b/>
          <w:bCs/>
          <w:color w:val="000000" w:themeColor="text1"/>
          <w:sz w:val="30"/>
          <w:szCs w:val="30"/>
        </w:rPr>
        <w:t>2.2</w:t>
      </w:r>
    </w:p>
    <w:p w:rsidR="00270628" w:rsidRPr="00270628" w:rsidRDefault="00270628" w:rsidP="00270628">
      <w:pPr>
        <w:spacing w:after="100" w:afterAutospacing="1"/>
        <w:rPr>
          <w:rFonts w:ascii="-webkit-standard" w:eastAsia="Times New Roman" w:hAnsi="-webkit-standard" w:cs="Times New Roman"/>
          <w:color w:val="000000" w:themeColor="text1"/>
        </w:rPr>
      </w:pPr>
      <w:r w:rsidRPr="00270628">
        <w:rPr>
          <w:rFonts w:ascii="-webkit-standard" w:eastAsia="Times New Roman" w:hAnsi="-webkit-standard" w:cs="Times New Roman"/>
          <w:color w:val="000000" w:themeColor="text1"/>
        </w:rPr>
        <w:t>They needed a lot of leverage because their trading strategy only generate tiny profits. By using leverage, they can produce much more attractive returns. To control risk, they set their leverage to a target volatility of an unlevered position in US equities. They ended up being four times the asset size of the next largest hedge fund.</w:t>
      </w:r>
    </w:p>
    <w:p w:rsidR="00270628" w:rsidRPr="00270628" w:rsidRDefault="00270628" w:rsidP="00270628">
      <w:pPr>
        <w:spacing w:before="100" w:beforeAutospacing="1" w:after="240"/>
        <w:outlineLvl w:val="2"/>
        <w:rPr>
          <w:rFonts w:ascii="-webkit-standard" w:eastAsia="Times New Roman" w:hAnsi="-webkit-standard" w:cs="Times New Roman"/>
          <w:b/>
          <w:bCs/>
          <w:color w:val="000000" w:themeColor="text1"/>
          <w:sz w:val="30"/>
          <w:szCs w:val="30"/>
        </w:rPr>
      </w:pPr>
      <w:r w:rsidRPr="00270628">
        <w:rPr>
          <w:rFonts w:ascii="-webkit-standard" w:eastAsia="Times New Roman" w:hAnsi="-webkit-standard" w:cs="Times New Roman"/>
          <w:b/>
          <w:bCs/>
          <w:color w:val="000000" w:themeColor="text1"/>
          <w:sz w:val="30"/>
          <w:szCs w:val="30"/>
        </w:rPr>
        <w:t>2.3</w:t>
      </w:r>
    </w:p>
    <w:p w:rsidR="00270628" w:rsidRPr="00270628" w:rsidRDefault="00270628" w:rsidP="00270628">
      <w:pPr>
        <w:numPr>
          <w:ilvl w:val="0"/>
          <w:numId w:val="1"/>
        </w:numPr>
        <w:spacing w:before="100" w:beforeAutospacing="1" w:after="100" w:afterAutospacing="1"/>
        <w:rPr>
          <w:rFonts w:ascii="-webkit-standard" w:eastAsia="Times New Roman" w:hAnsi="-webkit-standard" w:cs="Times New Roman"/>
          <w:color w:val="000000" w:themeColor="text1"/>
        </w:rPr>
      </w:pPr>
      <w:r w:rsidRPr="00270628">
        <w:rPr>
          <w:rFonts w:ascii="-webkit-standard" w:eastAsia="Times New Roman" w:hAnsi="-webkit-standard" w:cs="Times New Roman"/>
          <w:color w:val="000000" w:themeColor="text1"/>
        </w:rPr>
        <w:t>LTCM was a highly leveraged hedge fund. The 1997, the Debt to Equity Ratio of the fund was 28:1 which was very high. </w:t>
      </w:r>
    </w:p>
    <w:p w:rsidR="00270628" w:rsidRPr="00270628" w:rsidRDefault="00270628" w:rsidP="00270628">
      <w:pPr>
        <w:numPr>
          <w:ilvl w:val="0"/>
          <w:numId w:val="1"/>
        </w:numPr>
        <w:spacing w:before="60" w:after="100" w:afterAutospacing="1"/>
        <w:rPr>
          <w:rFonts w:ascii="-webkit-standard" w:eastAsia="Times New Roman" w:hAnsi="-webkit-standard" w:cs="Times New Roman"/>
          <w:color w:val="000000" w:themeColor="text1"/>
        </w:rPr>
      </w:pPr>
      <w:r w:rsidRPr="00270628">
        <w:rPr>
          <w:rFonts w:ascii="-webkit-standard" w:eastAsia="Times New Roman" w:hAnsi="-webkit-standard" w:cs="Times New Roman"/>
          <w:color w:val="000000" w:themeColor="text1"/>
        </w:rPr>
        <w:t>In June 1998 the Firm lost 16% of its capital due to downturn in MBS market, which further increased the leverage ratio to 31:1. </w:t>
      </w:r>
    </w:p>
    <w:p w:rsidR="00270628" w:rsidRPr="00270628" w:rsidRDefault="00270628" w:rsidP="00270628">
      <w:pPr>
        <w:numPr>
          <w:ilvl w:val="0"/>
          <w:numId w:val="1"/>
        </w:numPr>
        <w:spacing w:before="60" w:after="100" w:afterAutospacing="1"/>
        <w:rPr>
          <w:rFonts w:ascii="-webkit-standard" w:eastAsia="Times New Roman" w:hAnsi="-webkit-standard" w:cs="Times New Roman"/>
          <w:color w:val="000000" w:themeColor="text1"/>
        </w:rPr>
      </w:pPr>
      <w:r w:rsidRPr="00270628">
        <w:rPr>
          <w:rFonts w:ascii="-webkit-standard" w:eastAsia="Times New Roman" w:hAnsi="-webkit-standard" w:cs="Times New Roman"/>
          <w:color w:val="000000" w:themeColor="text1"/>
        </w:rPr>
        <w:t>On August 17, 1998, Russia de facto defaulted on its Treasury Bonds, which led to global reassessment of Sovereign risks. Since, LTCM’s major book was mostly Interest rates swaps and equity volatility, LTCM suffered huge losses in August due to increase in credit spreads, liquidity spreads and risk premia. </w:t>
      </w:r>
    </w:p>
    <w:p w:rsidR="00270628" w:rsidRPr="00270628" w:rsidRDefault="00270628" w:rsidP="00270628">
      <w:pPr>
        <w:numPr>
          <w:ilvl w:val="0"/>
          <w:numId w:val="1"/>
        </w:numPr>
        <w:spacing w:before="60" w:after="100" w:afterAutospacing="1"/>
        <w:rPr>
          <w:rFonts w:ascii="-webkit-standard" w:eastAsia="Times New Roman" w:hAnsi="-webkit-standard" w:cs="Times New Roman"/>
          <w:color w:val="000000" w:themeColor="text1"/>
        </w:rPr>
      </w:pPr>
      <w:r w:rsidRPr="00270628">
        <w:rPr>
          <w:rFonts w:ascii="-webkit-standard" w:eastAsia="Times New Roman" w:hAnsi="-webkit-standard" w:cs="Times New Roman"/>
          <w:color w:val="000000" w:themeColor="text1"/>
        </w:rPr>
        <w:t>By end of August the fund had lost 52% of its Dec 1997 value and the leverage ratio increased from 31 to 55:1. </w:t>
      </w:r>
    </w:p>
    <w:p w:rsidR="00270628" w:rsidRPr="00270628" w:rsidRDefault="00270628" w:rsidP="00270628">
      <w:pPr>
        <w:numPr>
          <w:ilvl w:val="0"/>
          <w:numId w:val="1"/>
        </w:numPr>
        <w:spacing w:before="60" w:after="100" w:afterAutospacing="1"/>
        <w:rPr>
          <w:rFonts w:ascii="-webkit-standard" w:eastAsia="Times New Roman" w:hAnsi="-webkit-standard" w:cs="Times New Roman"/>
          <w:color w:val="000000" w:themeColor="text1"/>
        </w:rPr>
      </w:pPr>
      <w:r w:rsidRPr="00270628">
        <w:rPr>
          <w:rFonts w:ascii="-webkit-standard" w:eastAsia="Times New Roman" w:hAnsi="-webkit-standard" w:cs="Times New Roman"/>
          <w:color w:val="000000" w:themeColor="text1"/>
        </w:rPr>
        <w:t xml:space="preserve">In September, Lenders feared that they would have to liquidate their Repo collaterals, because LTCM would not be able to fulfil its Margin calls, because their </w:t>
      </w:r>
      <w:r w:rsidRPr="00270628">
        <w:rPr>
          <w:rFonts w:ascii="-webkit-standard" w:eastAsia="Times New Roman" w:hAnsi="-webkit-standard" w:cs="Times New Roman"/>
          <w:color w:val="000000" w:themeColor="text1"/>
        </w:rPr>
        <w:lastRenderedPageBreak/>
        <w:t>capital was substantially reduced, and the firm’s value had reduced too mere $400 millions. </w:t>
      </w:r>
    </w:p>
    <w:p w:rsidR="00270628" w:rsidRPr="00270628" w:rsidRDefault="00270628" w:rsidP="00270628">
      <w:pPr>
        <w:numPr>
          <w:ilvl w:val="0"/>
          <w:numId w:val="1"/>
        </w:numPr>
        <w:spacing w:before="60" w:after="100" w:afterAutospacing="1"/>
        <w:rPr>
          <w:rFonts w:ascii="-webkit-standard" w:eastAsia="Times New Roman" w:hAnsi="-webkit-standard" w:cs="Times New Roman"/>
          <w:color w:val="000000" w:themeColor="text1"/>
        </w:rPr>
      </w:pPr>
      <w:r w:rsidRPr="00270628">
        <w:rPr>
          <w:rFonts w:ascii="-webkit-standard" w:eastAsia="Times New Roman" w:hAnsi="-webkit-standard" w:cs="Times New Roman"/>
          <w:color w:val="000000" w:themeColor="text1"/>
        </w:rPr>
        <w:t>This led to the demise of LTCM, at which point the Federal Reserve had to Bailout LTCM to avoid large rippling losses in the entire financial market.</w:t>
      </w:r>
    </w:p>
    <w:p w:rsidR="00270628" w:rsidRPr="00270628" w:rsidRDefault="00270628" w:rsidP="00270628">
      <w:pPr>
        <w:spacing w:before="100" w:beforeAutospacing="1" w:after="240"/>
        <w:outlineLvl w:val="2"/>
        <w:rPr>
          <w:rFonts w:ascii="-webkit-standard" w:eastAsia="Times New Roman" w:hAnsi="-webkit-standard" w:cs="Times New Roman"/>
          <w:b/>
          <w:bCs/>
          <w:color w:val="000000" w:themeColor="text1"/>
          <w:sz w:val="30"/>
          <w:szCs w:val="30"/>
        </w:rPr>
      </w:pPr>
      <w:r w:rsidRPr="00270628">
        <w:rPr>
          <w:rFonts w:ascii="-webkit-standard" w:eastAsia="Times New Roman" w:hAnsi="-webkit-standard" w:cs="Times New Roman"/>
          <w:b/>
          <w:bCs/>
          <w:color w:val="000000" w:themeColor="text1"/>
          <w:sz w:val="30"/>
          <w:szCs w:val="30"/>
        </w:rPr>
        <w:t>2.4</w:t>
      </w:r>
    </w:p>
    <w:p w:rsidR="00270628" w:rsidRPr="00270628" w:rsidRDefault="00270628" w:rsidP="00270628">
      <w:pPr>
        <w:numPr>
          <w:ilvl w:val="0"/>
          <w:numId w:val="2"/>
        </w:numPr>
        <w:spacing w:before="100" w:beforeAutospacing="1" w:after="100" w:afterAutospacing="1"/>
        <w:rPr>
          <w:rFonts w:ascii="-webkit-standard" w:eastAsia="Times New Roman" w:hAnsi="-webkit-standard" w:cs="Times New Roman"/>
          <w:color w:val="000000" w:themeColor="text1"/>
        </w:rPr>
      </w:pPr>
      <w:r w:rsidRPr="00270628">
        <w:rPr>
          <w:rFonts w:ascii="-webkit-standard" w:eastAsia="Times New Roman" w:hAnsi="-webkit-standard" w:cs="Times New Roman"/>
          <w:color w:val="000000" w:themeColor="text1"/>
        </w:rPr>
        <w:t>LTCM targeted the firm’s volatility to an unlevered position in US Equities. As per volatility calculation, the daily dollar volatility of LTCM was close to $45 millions, as stated by them in May 1998. </w:t>
      </w:r>
    </w:p>
    <w:p w:rsidR="00270628" w:rsidRPr="00270628" w:rsidRDefault="00270628" w:rsidP="00270628">
      <w:pPr>
        <w:numPr>
          <w:ilvl w:val="0"/>
          <w:numId w:val="2"/>
        </w:numPr>
        <w:spacing w:before="240" w:after="240"/>
        <w:rPr>
          <w:rFonts w:ascii="-webkit-standard" w:eastAsia="Times New Roman" w:hAnsi="-webkit-standard" w:cs="Times New Roman"/>
          <w:color w:val="000000" w:themeColor="text1"/>
        </w:rPr>
      </w:pPr>
      <w:r w:rsidRPr="00270628">
        <w:rPr>
          <w:rFonts w:ascii="-webkit-standard" w:eastAsia="Times New Roman" w:hAnsi="-webkit-standard" w:cs="Times New Roman"/>
          <w:color w:val="000000" w:themeColor="text1"/>
        </w:rPr>
        <w:t>However, LTCM made some very aggressive assumptions about their volatility calculations:</w:t>
      </w:r>
      <w:r w:rsidRPr="00270628">
        <w:rPr>
          <w:rFonts w:ascii="-webkit-standard" w:eastAsia="Times New Roman" w:hAnsi="-webkit-standard" w:cs="Times New Roman"/>
          <w:color w:val="000000" w:themeColor="text1"/>
        </w:rPr>
        <w:br/>
        <w:t>They assumed that Volatility is constant when in fact in turbulent times it can easily double</w:t>
      </w:r>
      <w:r w:rsidRPr="00270628">
        <w:rPr>
          <w:rFonts w:ascii="-webkit-standard" w:eastAsia="Times New Roman" w:hAnsi="-webkit-standard" w:cs="Times New Roman"/>
          <w:color w:val="000000" w:themeColor="text1"/>
        </w:rPr>
        <w:br/>
        <w:t>Also, they only focused on Volatility (second) moment which is under the assumption that distribution of PnL is symmetric on both sides. However, credit risks often have higher downside than upside.</w:t>
      </w:r>
      <w:r w:rsidRPr="00270628">
        <w:rPr>
          <w:rFonts w:ascii="-webkit-standard" w:eastAsia="Times New Roman" w:hAnsi="-webkit-standard" w:cs="Times New Roman"/>
          <w:color w:val="000000" w:themeColor="text1"/>
        </w:rPr>
        <w:br/>
        <w:t>Also, its distribution in tails cannot be assumed as normal, as we can see from past realized returns that most financial series have fatter tails than normal. </w:t>
      </w:r>
    </w:p>
    <w:p w:rsidR="00270628" w:rsidRPr="00270628" w:rsidRDefault="00270628" w:rsidP="00270628">
      <w:pPr>
        <w:numPr>
          <w:ilvl w:val="0"/>
          <w:numId w:val="2"/>
        </w:numPr>
        <w:spacing w:before="240" w:after="240"/>
        <w:rPr>
          <w:rFonts w:ascii="-webkit-standard" w:eastAsia="Times New Roman" w:hAnsi="-webkit-standard" w:cs="Times New Roman"/>
          <w:color w:val="000000" w:themeColor="text1"/>
        </w:rPr>
      </w:pPr>
      <w:r w:rsidRPr="00270628">
        <w:rPr>
          <w:rFonts w:ascii="-webkit-standard" w:eastAsia="Times New Roman" w:hAnsi="-webkit-standard" w:cs="Times New Roman"/>
          <w:color w:val="000000" w:themeColor="text1"/>
        </w:rPr>
        <w:t>When the risk models of the firm had started to blow up, they made another mistake of selling off their most liquid investments, because of less profitability, thereby exposing themselves to liquidity risk. </w:t>
      </w:r>
    </w:p>
    <w:p w:rsidR="00270628" w:rsidRPr="00270628" w:rsidRDefault="00270628" w:rsidP="00270628">
      <w:pPr>
        <w:numPr>
          <w:ilvl w:val="0"/>
          <w:numId w:val="2"/>
        </w:numPr>
        <w:spacing w:before="60" w:after="100" w:afterAutospacing="1"/>
        <w:rPr>
          <w:rFonts w:ascii="-webkit-standard" w:eastAsia="Times New Roman" w:hAnsi="-webkit-standard" w:cs="Times New Roman"/>
          <w:color w:val="000000" w:themeColor="text1"/>
        </w:rPr>
      </w:pPr>
      <w:r w:rsidRPr="00270628">
        <w:rPr>
          <w:rFonts w:ascii="-webkit-standard" w:eastAsia="Times New Roman" w:hAnsi="-webkit-standard" w:cs="Times New Roman"/>
          <w:color w:val="000000" w:themeColor="text1"/>
        </w:rPr>
        <w:t>LTCM gave more weightage to recent times, (which were periods of low volatility) and ignored major previous crashes such as 1987 crash or sovereign defaults.</w:t>
      </w:r>
    </w:p>
    <w:p w:rsidR="00270628" w:rsidRPr="00270628" w:rsidRDefault="00270628" w:rsidP="00270628">
      <w:pPr>
        <w:spacing w:before="100" w:beforeAutospacing="1" w:after="240"/>
        <w:outlineLvl w:val="2"/>
        <w:rPr>
          <w:rFonts w:ascii="-webkit-standard" w:eastAsia="Times New Roman" w:hAnsi="-webkit-standard" w:cs="Times New Roman"/>
          <w:b/>
          <w:bCs/>
          <w:color w:val="000000" w:themeColor="text1"/>
          <w:sz w:val="30"/>
          <w:szCs w:val="30"/>
        </w:rPr>
      </w:pPr>
      <w:r w:rsidRPr="00270628">
        <w:rPr>
          <w:rFonts w:ascii="-webkit-standard" w:eastAsia="Times New Roman" w:hAnsi="-webkit-standard" w:cs="Times New Roman"/>
          <w:b/>
          <w:bCs/>
          <w:color w:val="000000" w:themeColor="text1"/>
          <w:sz w:val="30"/>
          <w:szCs w:val="30"/>
        </w:rPr>
        <w:t>2.5</w:t>
      </w:r>
    </w:p>
    <w:p w:rsidR="00270628" w:rsidRPr="00270628" w:rsidRDefault="00270628" w:rsidP="00270628">
      <w:pPr>
        <w:spacing w:after="100" w:afterAutospacing="1"/>
        <w:rPr>
          <w:rFonts w:ascii="-webkit-standard" w:eastAsia="Times New Roman" w:hAnsi="-webkit-standard" w:cs="Times New Roman"/>
          <w:color w:val="000000" w:themeColor="text1"/>
        </w:rPr>
      </w:pPr>
      <w:r w:rsidRPr="00270628">
        <w:rPr>
          <w:rFonts w:ascii="-webkit-standard" w:eastAsia="Times New Roman" w:hAnsi="-webkit-standard" w:cs="Times New Roman"/>
          <w:color w:val="000000" w:themeColor="text1"/>
        </w:rPr>
        <w:t>Firstly, historical VaR cannot be used as the sole measure of risk, especially for firms like LTCM which have specialized trading strategies. When measuring the volatility, it is not sufficient to extrapolate from market data when your assets are highly correlated.</w:t>
      </w:r>
      <w:r w:rsidRPr="00270628">
        <w:rPr>
          <w:rFonts w:ascii="-webkit-standard" w:eastAsia="Times New Roman" w:hAnsi="-webkit-standard" w:cs="Times New Roman"/>
          <w:color w:val="000000" w:themeColor="text1"/>
        </w:rPr>
        <w:br/>
        <w:t>Furthermore, liquidity concerns must be taken into account if access to emergency capital is not guaranteed. For this purpose, the author suggests the use of stress testing to predict the firm’s actual needed equity capital, not by looking at past data, instead of considering possible scenarios for the portfolio in question. We need to take into account that returns are not symmetric and there can be significant tail risk in times when volatility spikes.</w:t>
      </w:r>
      <w:r w:rsidRPr="00270628">
        <w:rPr>
          <w:rFonts w:ascii="-webkit-standard" w:eastAsia="Times New Roman" w:hAnsi="-webkit-standard" w:cs="Times New Roman"/>
          <w:color w:val="000000" w:themeColor="text1"/>
        </w:rPr>
        <w:br/>
        <w:t>Secondly, to reduce correlation between assets it is safer to diversify the portfolio so catastrophic events do no end up bankrupting the firm.</w:t>
      </w:r>
    </w:p>
    <w:p w:rsidR="004A6F5F" w:rsidRPr="00270628" w:rsidRDefault="004A6F5F">
      <w:pPr>
        <w:rPr>
          <w:color w:val="000000" w:themeColor="text1"/>
        </w:rPr>
      </w:pPr>
    </w:p>
    <w:sectPr w:rsidR="004A6F5F" w:rsidRPr="00270628" w:rsidSect="00D60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1A9D"/>
    <w:multiLevelType w:val="multilevel"/>
    <w:tmpl w:val="7750C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F41D41"/>
    <w:multiLevelType w:val="multilevel"/>
    <w:tmpl w:val="07C0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628"/>
    <w:rsid w:val="00270628"/>
    <w:rsid w:val="004A6F5F"/>
    <w:rsid w:val="00D60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C4F6AD2-95BC-6941-8FD3-E465A255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062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06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062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70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084077">
      <w:bodyDiv w:val="1"/>
      <w:marLeft w:val="0"/>
      <w:marRight w:val="0"/>
      <w:marTop w:val="0"/>
      <w:marBottom w:val="0"/>
      <w:divBdr>
        <w:top w:val="none" w:sz="0" w:space="0" w:color="auto"/>
        <w:left w:val="none" w:sz="0" w:space="0" w:color="auto"/>
        <w:bottom w:val="none" w:sz="0" w:space="0" w:color="auto"/>
        <w:right w:val="none" w:sz="0" w:space="0" w:color="auto"/>
      </w:divBdr>
      <w:divsChild>
        <w:div w:id="402407694">
          <w:marLeft w:val="0"/>
          <w:marRight w:val="0"/>
          <w:marTop w:val="0"/>
          <w:marBottom w:val="0"/>
          <w:divBdr>
            <w:top w:val="none" w:sz="0" w:space="0" w:color="auto"/>
            <w:left w:val="none" w:sz="0" w:space="0" w:color="auto"/>
            <w:bottom w:val="none" w:sz="0" w:space="0" w:color="auto"/>
            <w:right w:val="none" w:sz="0" w:space="0" w:color="auto"/>
          </w:divBdr>
          <w:divsChild>
            <w:div w:id="1377775450">
              <w:marLeft w:val="0"/>
              <w:marRight w:val="0"/>
              <w:marTop w:val="0"/>
              <w:marBottom w:val="0"/>
              <w:divBdr>
                <w:top w:val="none" w:sz="0" w:space="0" w:color="auto"/>
                <w:left w:val="none" w:sz="0" w:space="0" w:color="auto"/>
                <w:bottom w:val="none" w:sz="0" w:space="0" w:color="auto"/>
                <w:right w:val="none" w:sz="0" w:space="0" w:color="auto"/>
              </w:divBdr>
              <w:divsChild>
                <w:div w:id="2029017713">
                  <w:marLeft w:val="0"/>
                  <w:marRight w:val="0"/>
                  <w:marTop w:val="0"/>
                  <w:marBottom w:val="0"/>
                  <w:divBdr>
                    <w:top w:val="none" w:sz="0" w:space="0" w:color="auto"/>
                    <w:left w:val="none" w:sz="0" w:space="0" w:color="auto"/>
                    <w:bottom w:val="none" w:sz="0" w:space="0" w:color="auto"/>
                    <w:right w:val="none" w:sz="0" w:space="0" w:color="auto"/>
                  </w:divBdr>
                  <w:divsChild>
                    <w:div w:id="6831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1262">
          <w:marLeft w:val="0"/>
          <w:marRight w:val="0"/>
          <w:marTop w:val="0"/>
          <w:marBottom w:val="0"/>
          <w:divBdr>
            <w:top w:val="none" w:sz="0" w:space="0" w:color="auto"/>
            <w:left w:val="none" w:sz="0" w:space="0" w:color="auto"/>
            <w:bottom w:val="none" w:sz="0" w:space="0" w:color="auto"/>
            <w:right w:val="none" w:sz="0" w:space="0" w:color="auto"/>
          </w:divBdr>
          <w:divsChild>
            <w:div w:id="2059042445">
              <w:marLeft w:val="0"/>
              <w:marRight w:val="0"/>
              <w:marTop w:val="0"/>
              <w:marBottom w:val="0"/>
              <w:divBdr>
                <w:top w:val="none" w:sz="0" w:space="0" w:color="auto"/>
                <w:left w:val="none" w:sz="0" w:space="0" w:color="auto"/>
                <w:bottom w:val="none" w:sz="0" w:space="0" w:color="auto"/>
                <w:right w:val="none" w:sz="0" w:space="0" w:color="auto"/>
              </w:divBdr>
              <w:divsChild>
                <w:div w:id="1154225857">
                  <w:marLeft w:val="0"/>
                  <w:marRight w:val="0"/>
                  <w:marTop w:val="0"/>
                  <w:marBottom w:val="0"/>
                  <w:divBdr>
                    <w:top w:val="none" w:sz="0" w:space="0" w:color="auto"/>
                    <w:left w:val="none" w:sz="0" w:space="0" w:color="auto"/>
                    <w:bottom w:val="none" w:sz="0" w:space="0" w:color="auto"/>
                    <w:right w:val="none" w:sz="0" w:space="0" w:color="auto"/>
                  </w:divBdr>
                  <w:divsChild>
                    <w:div w:id="13501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0703">
          <w:marLeft w:val="0"/>
          <w:marRight w:val="0"/>
          <w:marTop w:val="0"/>
          <w:marBottom w:val="0"/>
          <w:divBdr>
            <w:top w:val="none" w:sz="0" w:space="0" w:color="auto"/>
            <w:left w:val="none" w:sz="0" w:space="0" w:color="auto"/>
            <w:bottom w:val="none" w:sz="0" w:space="0" w:color="auto"/>
            <w:right w:val="none" w:sz="0" w:space="0" w:color="auto"/>
          </w:divBdr>
          <w:divsChild>
            <w:div w:id="631911087">
              <w:marLeft w:val="0"/>
              <w:marRight w:val="0"/>
              <w:marTop w:val="0"/>
              <w:marBottom w:val="0"/>
              <w:divBdr>
                <w:top w:val="none" w:sz="0" w:space="0" w:color="auto"/>
                <w:left w:val="none" w:sz="0" w:space="0" w:color="auto"/>
                <w:bottom w:val="none" w:sz="0" w:space="0" w:color="auto"/>
                <w:right w:val="none" w:sz="0" w:space="0" w:color="auto"/>
              </w:divBdr>
              <w:divsChild>
                <w:div w:id="1249460823">
                  <w:marLeft w:val="0"/>
                  <w:marRight w:val="0"/>
                  <w:marTop w:val="0"/>
                  <w:marBottom w:val="0"/>
                  <w:divBdr>
                    <w:top w:val="none" w:sz="0" w:space="0" w:color="auto"/>
                    <w:left w:val="none" w:sz="0" w:space="0" w:color="auto"/>
                    <w:bottom w:val="none" w:sz="0" w:space="0" w:color="auto"/>
                    <w:right w:val="none" w:sz="0" w:space="0" w:color="auto"/>
                  </w:divBdr>
                  <w:divsChild>
                    <w:div w:id="17362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81020">
          <w:marLeft w:val="0"/>
          <w:marRight w:val="0"/>
          <w:marTop w:val="0"/>
          <w:marBottom w:val="0"/>
          <w:divBdr>
            <w:top w:val="none" w:sz="0" w:space="0" w:color="auto"/>
            <w:left w:val="none" w:sz="0" w:space="0" w:color="auto"/>
            <w:bottom w:val="none" w:sz="0" w:space="0" w:color="auto"/>
            <w:right w:val="none" w:sz="0" w:space="0" w:color="auto"/>
          </w:divBdr>
          <w:divsChild>
            <w:div w:id="2100442275">
              <w:marLeft w:val="0"/>
              <w:marRight w:val="0"/>
              <w:marTop w:val="0"/>
              <w:marBottom w:val="0"/>
              <w:divBdr>
                <w:top w:val="none" w:sz="0" w:space="0" w:color="auto"/>
                <w:left w:val="none" w:sz="0" w:space="0" w:color="auto"/>
                <w:bottom w:val="none" w:sz="0" w:space="0" w:color="auto"/>
                <w:right w:val="none" w:sz="0" w:space="0" w:color="auto"/>
              </w:divBdr>
              <w:divsChild>
                <w:div w:id="281964925">
                  <w:marLeft w:val="0"/>
                  <w:marRight w:val="0"/>
                  <w:marTop w:val="0"/>
                  <w:marBottom w:val="0"/>
                  <w:divBdr>
                    <w:top w:val="none" w:sz="0" w:space="0" w:color="auto"/>
                    <w:left w:val="none" w:sz="0" w:space="0" w:color="auto"/>
                    <w:bottom w:val="none" w:sz="0" w:space="0" w:color="auto"/>
                    <w:right w:val="none" w:sz="0" w:space="0" w:color="auto"/>
                  </w:divBdr>
                  <w:divsChild>
                    <w:div w:id="14072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6393">
          <w:marLeft w:val="0"/>
          <w:marRight w:val="0"/>
          <w:marTop w:val="0"/>
          <w:marBottom w:val="0"/>
          <w:divBdr>
            <w:top w:val="none" w:sz="0" w:space="0" w:color="auto"/>
            <w:left w:val="none" w:sz="0" w:space="0" w:color="auto"/>
            <w:bottom w:val="none" w:sz="0" w:space="0" w:color="auto"/>
            <w:right w:val="none" w:sz="0" w:space="0" w:color="auto"/>
          </w:divBdr>
          <w:divsChild>
            <w:div w:id="1775782950">
              <w:marLeft w:val="0"/>
              <w:marRight w:val="0"/>
              <w:marTop w:val="0"/>
              <w:marBottom w:val="0"/>
              <w:divBdr>
                <w:top w:val="none" w:sz="0" w:space="0" w:color="auto"/>
                <w:left w:val="none" w:sz="0" w:space="0" w:color="auto"/>
                <w:bottom w:val="none" w:sz="0" w:space="0" w:color="auto"/>
                <w:right w:val="none" w:sz="0" w:space="0" w:color="auto"/>
              </w:divBdr>
              <w:divsChild>
                <w:div w:id="1975988370">
                  <w:marLeft w:val="0"/>
                  <w:marRight w:val="0"/>
                  <w:marTop w:val="0"/>
                  <w:marBottom w:val="0"/>
                  <w:divBdr>
                    <w:top w:val="none" w:sz="0" w:space="0" w:color="auto"/>
                    <w:left w:val="none" w:sz="0" w:space="0" w:color="auto"/>
                    <w:bottom w:val="none" w:sz="0" w:space="0" w:color="auto"/>
                    <w:right w:val="none" w:sz="0" w:space="0" w:color="auto"/>
                  </w:divBdr>
                  <w:divsChild>
                    <w:div w:id="18832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198311">
          <w:marLeft w:val="0"/>
          <w:marRight w:val="0"/>
          <w:marTop w:val="0"/>
          <w:marBottom w:val="0"/>
          <w:divBdr>
            <w:top w:val="none" w:sz="0" w:space="0" w:color="auto"/>
            <w:left w:val="none" w:sz="0" w:space="0" w:color="auto"/>
            <w:bottom w:val="none" w:sz="0" w:space="0" w:color="auto"/>
            <w:right w:val="none" w:sz="0" w:space="0" w:color="auto"/>
          </w:divBdr>
          <w:divsChild>
            <w:div w:id="1333996385">
              <w:marLeft w:val="0"/>
              <w:marRight w:val="0"/>
              <w:marTop w:val="0"/>
              <w:marBottom w:val="0"/>
              <w:divBdr>
                <w:top w:val="none" w:sz="0" w:space="0" w:color="auto"/>
                <w:left w:val="none" w:sz="0" w:space="0" w:color="auto"/>
                <w:bottom w:val="none" w:sz="0" w:space="0" w:color="auto"/>
                <w:right w:val="none" w:sz="0" w:space="0" w:color="auto"/>
              </w:divBdr>
              <w:divsChild>
                <w:div w:id="1781876186">
                  <w:marLeft w:val="0"/>
                  <w:marRight w:val="0"/>
                  <w:marTop w:val="0"/>
                  <w:marBottom w:val="0"/>
                  <w:divBdr>
                    <w:top w:val="none" w:sz="0" w:space="0" w:color="auto"/>
                    <w:left w:val="none" w:sz="0" w:space="0" w:color="auto"/>
                    <w:bottom w:val="none" w:sz="0" w:space="0" w:color="auto"/>
                    <w:right w:val="none" w:sz="0" w:space="0" w:color="auto"/>
                  </w:divBdr>
                  <w:divsChild>
                    <w:div w:id="11996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Huanyu H.</dc:creator>
  <cp:keywords/>
  <dc:description/>
  <cp:lastModifiedBy>Liu, Huanyu H.</cp:lastModifiedBy>
  <cp:revision>1</cp:revision>
  <dcterms:created xsi:type="dcterms:W3CDTF">2019-05-07T05:28:00Z</dcterms:created>
  <dcterms:modified xsi:type="dcterms:W3CDTF">2019-05-07T05:29:00Z</dcterms:modified>
</cp:coreProperties>
</file>