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5C67" w14:textId="77777777" w:rsidR="00711AE9" w:rsidRPr="00711AE9" w:rsidRDefault="00711AE9" w:rsidP="002102AC">
      <w:pPr>
        <w:spacing w:line="276" w:lineRule="auto"/>
        <w:jc w:val="center"/>
        <w:rPr>
          <w:rFonts w:ascii="Times New Roman" w:eastAsia="Times New Roman" w:hAnsi="Times New Roman" w:cs="Times New Roman"/>
          <w:b/>
          <w:bCs/>
          <w:sz w:val="32"/>
          <w:szCs w:val="32"/>
        </w:rPr>
      </w:pPr>
      <w:r w:rsidRPr="00711AE9">
        <w:rPr>
          <w:rFonts w:ascii="Times New Roman" w:eastAsia="Times New Roman" w:hAnsi="Times New Roman" w:cs="Times New Roman"/>
          <w:b/>
          <w:bCs/>
          <w:sz w:val="32"/>
          <w:szCs w:val="32"/>
        </w:rPr>
        <w:t>MFE409 HW5 – Case Study</w:t>
      </w:r>
    </w:p>
    <w:p w14:paraId="23C9CBAA" w14:textId="77777777" w:rsidR="00711AE9" w:rsidRPr="00711AE9" w:rsidRDefault="00711AE9" w:rsidP="002102AC">
      <w:pPr>
        <w:spacing w:line="276" w:lineRule="auto"/>
        <w:jc w:val="center"/>
        <w:rPr>
          <w:rFonts w:ascii="Times New Roman" w:eastAsia="Times New Roman" w:hAnsi="Times New Roman" w:cs="Times New Roman"/>
          <w:i/>
          <w:iCs/>
        </w:rPr>
      </w:pPr>
      <w:r w:rsidRPr="00711AE9">
        <w:rPr>
          <w:rFonts w:ascii="Times New Roman" w:eastAsia="Times New Roman" w:hAnsi="Times New Roman" w:cs="Times New Roman"/>
          <w:i/>
          <w:iCs/>
        </w:rPr>
        <w:t xml:space="preserve">Group Members: </w:t>
      </w:r>
      <w:proofErr w:type="spellStart"/>
      <w:r w:rsidRPr="00711AE9">
        <w:rPr>
          <w:rFonts w:ascii="Times New Roman" w:eastAsia="Times New Roman" w:hAnsi="Times New Roman" w:cs="Times New Roman"/>
          <w:i/>
          <w:iCs/>
        </w:rPr>
        <w:t>Sejal</w:t>
      </w:r>
      <w:proofErr w:type="spellEnd"/>
      <w:r w:rsidRPr="00711AE9">
        <w:rPr>
          <w:rFonts w:ascii="Times New Roman" w:eastAsia="Times New Roman" w:hAnsi="Times New Roman" w:cs="Times New Roman"/>
          <w:i/>
          <w:iCs/>
        </w:rPr>
        <w:t xml:space="preserve"> Bharati, </w:t>
      </w:r>
      <w:proofErr w:type="spellStart"/>
      <w:r w:rsidRPr="00711AE9">
        <w:rPr>
          <w:rFonts w:ascii="Times New Roman" w:eastAsia="Times New Roman" w:hAnsi="Times New Roman" w:cs="Times New Roman"/>
          <w:i/>
          <w:iCs/>
        </w:rPr>
        <w:t>Huanyu</w:t>
      </w:r>
      <w:proofErr w:type="spellEnd"/>
      <w:r w:rsidRPr="00711AE9">
        <w:rPr>
          <w:rFonts w:ascii="Times New Roman" w:eastAsia="Times New Roman" w:hAnsi="Times New Roman" w:cs="Times New Roman"/>
          <w:i/>
          <w:iCs/>
        </w:rPr>
        <w:t xml:space="preserve"> Liu, Tongsu Peng, Yong Jia Tan</w:t>
      </w:r>
    </w:p>
    <w:p w14:paraId="0F96F022" w14:textId="77777777" w:rsidR="00711AE9" w:rsidRDefault="00711AE9" w:rsidP="002102AC">
      <w:pPr>
        <w:spacing w:line="276" w:lineRule="auto"/>
        <w:rPr>
          <w:rFonts w:ascii="Times New Roman" w:eastAsia="Times New Roman" w:hAnsi="Times New Roman" w:cs="Times New Roman"/>
          <w:b/>
          <w:bCs/>
        </w:rPr>
      </w:pPr>
    </w:p>
    <w:p w14:paraId="2C8704BF" w14:textId="77777777" w:rsidR="00711AE9" w:rsidRDefault="00711AE9" w:rsidP="002102AC">
      <w:pPr>
        <w:spacing w:line="276" w:lineRule="auto"/>
        <w:rPr>
          <w:rFonts w:ascii="Times New Roman" w:eastAsia="Times New Roman" w:hAnsi="Times New Roman" w:cs="Times New Roman"/>
          <w:b/>
          <w:bCs/>
        </w:rPr>
      </w:pPr>
    </w:p>
    <w:p w14:paraId="52CDD64C" w14:textId="77777777" w:rsidR="00342F6A" w:rsidRDefault="00342F6A" w:rsidP="002102AC">
      <w:pPr>
        <w:spacing w:line="276" w:lineRule="auto"/>
        <w:rPr>
          <w:rFonts w:ascii="Times New Roman" w:eastAsia="Times New Roman" w:hAnsi="Times New Roman" w:cs="Times New Roman"/>
          <w:b/>
          <w:bCs/>
        </w:rPr>
      </w:pPr>
      <w:r w:rsidRPr="008F139D">
        <w:rPr>
          <w:rFonts w:ascii="Times New Roman" w:eastAsia="Times New Roman" w:hAnsi="Times New Roman" w:cs="Times New Roman"/>
          <w:b/>
          <w:bCs/>
        </w:rPr>
        <w:t xml:space="preserve">Question </w:t>
      </w:r>
      <w:r w:rsidR="00873DF7" w:rsidRPr="008F139D">
        <w:rPr>
          <w:rFonts w:ascii="Times New Roman" w:eastAsia="Times New Roman" w:hAnsi="Times New Roman" w:cs="Times New Roman"/>
          <w:b/>
          <w:bCs/>
        </w:rPr>
        <w:t>1</w:t>
      </w:r>
    </w:p>
    <w:p w14:paraId="3DA30351" w14:textId="77777777" w:rsidR="0079104F" w:rsidRPr="008F139D" w:rsidRDefault="0079104F" w:rsidP="002102AC">
      <w:pPr>
        <w:spacing w:line="276" w:lineRule="auto"/>
        <w:rPr>
          <w:rFonts w:ascii="Times New Roman" w:eastAsia="Times New Roman" w:hAnsi="Times New Roman" w:cs="Times New Roman"/>
          <w:b/>
          <w:bCs/>
        </w:rPr>
      </w:pPr>
    </w:p>
    <w:p w14:paraId="31C30EDF" w14:textId="77777777" w:rsidR="006C0F89" w:rsidRPr="004C0025" w:rsidRDefault="006C0F89" w:rsidP="002102AC">
      <w:pPr>
        <w:spacing w:line="276" w:lineRule="auto"/>
        <w:rPr>
          <w:rFonts w:ascii="Times New Roman" w:eastAsia="Times New Roman" w:hAnsi="Times New Roman" w:cs="Times New Roman"/>
        </w:rPr>
      </w:pPr>
      <w:r w:rsidRPr="004C0025">
        <w:rPr>
          <w:rFonts w:ascii="Times New Roman" w:eastAsia="Times New Roman" w:hAnsi="Times New Roman" w:cs="Times New Roman"/>
        </w:rPr>
        <w:t>Jasper</w:t>
      </w:r>
      <w:r w:rsidR="005209F4" w:rsidRPr="004C0025">
        <w:rPr>
          <w:rFonts w:ascii="Times New Roman" w:eastAsia="Times New Roman" w:hAnsi="Times New Roman" w:cs="Times New Roman"/>
        </w:rPr>
        <w:t>’s aim is to b</w:t>
      </w:r>
      <w:r w:rsidRPr="004C0025">
        <w:rPr>
          <w:rFonts w:ascii="Times New Roman" w:eastAsia="Times New Roman" w:hAnsi="Times New Roman" w:cs="Times New Roman"/>
        </w:rPr>
        <w:t xml:space="preserve">uild </w:t>
      </w:r>
      <w:proofErr w:type="spellStart"/>
      <w:r w:rsidRPr="004C0025">
        <w:rPr>
          <w:rFonts w:ascii="Times New Roman" w:eastAsia="Times New Roman" w:hAnsi="Times New Roman" w:cs="Times New Roman"/>
        </w:rPr>
        <w:t>Guang</w:t>
      </w:r>
      <w:proofErr w:type="spellEnd"/>
      <w:r w:rsidRPr="004C0025">
        <w:rPr>
          <w:rFonts w:ascii="Times New Roman" w:eastAsia="Times New Roman" w:hAnsi="Times New Roman" w:cs="Times New Roman"/>
        </w:rPr>
        <w:t xml:space="preserve"> Guo’s risk management function,</w:t>
      </w:r>
      <w:r w:rsidR="00B024F2" w:rsidRPr="004C0025">
        <w:rPr>
          <w:rFonts w:ascii="Times New Roman" w:eastAsia="Times New Roman" w:hAnsi="Times New Roman" w:cs="Times New Roman"/>
        </w:rPr>
        <w:t xml:space="preserve"> </w:t>
      </w:r>
      <w:r w:rsidRPr="004C0025">
        <w:rPr>
          <w:rFonts w:ascii="Times New Roman" w:eastAsia="Times New Roman" w:hAnsi="Times New Roman" w:cs="Times New Roman"/>
        </w:rPr>
        <w:t>introduce international</w:t>
      </w:r>
      <w:r w:rsidR="004C0025" w:rsidRPr="004C0025">
        <w:rPr>
          <w:rFonts w:ascii="Times New Roman" w:eastAsia="Times New Roman" w:hAnsi="Times New Roman" w:cs="Times New Roman"/>
        </w:rPr>
        <w:t xml:space="preserve"> </w:t>
      </w:r>
      <w:r w:rsidRPr="004C0025">
        <w:rPr>
          <w:rFonts w:ascii="Times New Roman" w:eastAsia="Times New Roman" w:hAnsi="Times New Roman" w:cs="Times New Roman"/>
        </w:rPr>
        <w:t xml:space="preserve">standards in risk measurement and management to </w:t>
      </w:r>
      <w:proofErr w:type="spellStart"/>
      <w:r w:rsidRPr="004C0025">
        <w:rPr>
          <w:rFonts w:ascii="Times New Roman" w:eastAsia="Times New Roman" w:hAnsi="Times New Roman" w:cs="Times New Roman"/>
        </w:rPr>
        <w:t>Guang</w:t>
      </w:r>
      <w:proofErr w:type="spellEnd"/>
      <w:r w:rsidRPr="004C0025">
        <w:rPr>
          <w:rFonts w:ascii="Times New Roman" w:eastAsia="Times New Roman" w:hAnsi="Times New Roman" w:cs="Times New Roman"/>
        </w:rPr>
        <w:t xml:space="preserve"> Guo</w:t>
      </w:r>
      <w:r w:rsidR="00B024F2" w:rsidRPr="004C0025">
        <w:rPr>
          <w:rFonts w:ascii="Times New Roman" w:eastAsia="Times New Roman" w:hAnsi="Times New Roman" w:cs="Times New Roman"/>
        </w:rPr>
        <w:t xml:space="preserve">, and control risk-adjusted returns using minimum capital requirements based on </w:t>
      </w:r>
      <w:proofErr w:type="spellStart"/>
      <w:r w:rsidR="00B024F2" w:rsidRPr="004C0025">
        <w:rPr>
          <w:rFonts w:ascii="Times New Roman" w:eastAsia="Times New Roman" w:hAnsi="Times New Roman" w:cs="Times New Roman"/>
        </w:rPr>
        <w:t>VaR.</w:t>
      </w:r>
      <w:proofErr w:type="spellEnd"/>
    </w:p>
    <w:p w14:paraId="231E4FB0" w14:textId="77777777" w:rsidR="006C0F89" w:rsidRPr="004C0025" w:rsidRDefault="006C0F89" w:rsidP="002102AC">
      <w:pPr>
        <w:spacing w:line="276" w:lineRule="auto"/>
        <w:rPr>
          <w:rFonts w:ascii="Times New Roman" w:eastAsia="Times New Roman" w:hAnsi="Times New Roman" w:cs="Times New Roman"/>
        </w:rPr>
      </w:pPr>
      <w:r w:rsidRPr="004C0025">
        <w:rPr>
          <w:rFonts w:ascii="Times New Roman" w:eastAsia="Times New Roman" w:hAnsi="Times New Roman" w:cs="Times New Roman"/>
        </w:rPr>
        <w:t>Charles</w:t>
      </w:r>
      <w:r w:rsidR="00AB2938" w:rsidRPr="004C0025">
        <w:rPr>
          <w:rFonts w:ascii="Times New Roman" w:eastAsia="Times New Roman" w:hAnsi="Times New Roman" w:cs="Times New Roman"/>
        </w:rPr>
        <w:t>’s goal is to find</w:t>
      </w:r>
      <w:r w:rsidRPr="004C0025">
        <w:rPr>
          <w:rFonts w:ascii="Times New Roman" w:eastAsia="Times New Roman" w:hAnsi="Times New Roman" w:cs="Times New Roman"/>
        </w:rPr>
        <w:t xml:space="preserve"> </w:t>
      </w:r>
      <w:r w:rsidR="00AB2938" w:rsidRPr="004C0025">
        <w:rPr>
          <w:rFonts w:ascii="Times New Roman" w:eastAsia="Times New Roman" w:hAnsi="Times New Roman" w:cs="Times New Roman"/>
        </w:rPr>
        <w:t xml:space="preserve">an </w:t>
      </w:r>
      <w:r w:rsidRPr="004C0025">
        <w:rPr>
          <w:rFonts w:ascii="Times New Roman" w:eastAsia="Times New Roman" w:hAnsi="Times New Roman" w:cs="Times New Roman"/>
        </w:rPr>
        <w:t>overseas trained Chinese candidate</w:t>
      </w:r>
      <w:r w:rsidR="00AB2938" w:rsidRPr="004C0025">
        <w:rPr>
          <w:rFonts w:ascii="Times New Roman" w:eastAsia="Times New Roman" w:hAnsi="Times New Roman" w:cs="Times New Roman"/>
        </w:rPr>
        <w:t xml:space="preserve"> for risk management</w:t>
      </w:r>
      <w:r w:rsidR="00374A17" w:rsidRPr="004C0025">
        <w:rPr>
          <w:rFonts w:ascii="Times New Roman" w:eastAsia="Times New Roman" w:hAnsi="Times New Roman" w:cs="Times New Roman"/>
        </w:rPr>
        <w:t>, ultimat</w:t>
      </w:r>
      <w:r w:rsidR="00C64D6D" w:rsidRPr="004C0025">
        <w:rPr>
          <w:rFonts w:ascii="Times New Roman" w:eastAsia="Times New Roman" w:hAnsi="Times New Roman" w:cs="Times New Roman"/>
        </w:rPr>
        <w:t>e</w:t>
      </w:r>
      <w:r w:rsidR="00AB2938" w:rsidRPr="004C0025">
        <w:rPr>
          <w:rFonts w:ascii="Times New Roman" w:eastAsia="Times New Roman" w:hAnsi="Times New Roman" w:cs="Times New Roman"/>
        </w:rPr>
        <w:t>ly</w:t>
      </w:r>
      <w:r w:rsidR="00374A17" w:rsidRPr="004C0025">
        <w:rPr>
          <w:rFonts w:ascii="Times New Roman" w:eastAsia="Times New Roman" w:hAnsi="Times New Roman" w:cs="Times New Roman"/>
        </w:rPr>
        <w:t xml:space="preserve"> </w:t>
      </w:r>
      <w:r w:rsidR="00AB2938" w:rsidRPr="004C0025">
        <w:rPr>
          <w:rFonts w:ascii="Times New Roman" w:eastAsia="Times New Roman" w:hAnsi="Times New Roman" w:cs="Times New Roman"/>
        </w:rPr>
        <w:t xml:space="preserve">establish </w:t>
      </w:r>
      <w:r w:rsidR="00374A17" w:rsidRPr="004C0025">
        <w:rPr>
          <w:rFonts w:ascii="Times New Roman" w:eastAsia="Times New Roman" w:hAnsi="Times New Roman" w:cs="Times New Roman"/>
        </w:rPr>
        <w:t xml:space="preserve">overseas </w:t>
      </w:r>
      <w:r w:rsidR="00632B75" w:rsidRPr="004C0025">
        <w:rPr>
          <w:rFonts w:ascii="Times New Roman" w:eastAsia="Times New Roman" w:hAnsi="Times New Roman" w:cs="Times New Roman"/>
        </w:rPr>
        <w:t>branches</w:t>
      </w:r>
      <w:r w:rsidR="00374A17" w:rsidRPr="004C0025">
        <w:rPr>
          <w:rFonts w:ascii="Times New Roman" w:eastAsia="Times New Roman" w:hAnsi="Times New Roman" w:cs="Times New Roman"/>
        </w:rPr>
        <w:t xml:space="preserve"> of </w:t>
      </w:r>
      <w:proofErr w:type="spellStart"/>
      <w:r w:rsidR="00374A17" w:rsidRPr="004C0025">
        <w:rPr>
          <w:rFonts w:ascii="Times New Roman" w:eastAsia="Times New Roman" w:hAnsi="Times New Roman" w:cs="Times New Roman"/>
        </w:rPr>
        <w:t>Guang</w:t>
      </w:r>
      <w:proofErr w:type="spellEnd"/>
      <w:r w:rsidR="00374A17" w:rsidRPr="004C0025">
        <w:rPr>
          <w:rFonts w:ascii="Times New Roman" w:eastAsia="Times New Roman" w:hAnsi="Times New Roman" w:cs="Times New Roman"/>
        </w:rPr>
        <w:t xml:space="preserve"> Guo</w:t>
      </w:r>
      <w:r w:rsidR="00C64D6D" w:rsidRPr="004C0025">
        <w:rPr>
          <w:rFonts w:ascii="Times New Roman" w:eastAsia="Times New Roman" w:hAnsi="Times New Roman" w:cs="Times New Roman"/>
        </w:rPr>
        <w:t xml:space="preserve">. </w:t>
      </w:r>
    </w:p>
    <w:p w14:paraId="5CE3E223" w14:textId="77777777" w:rsidR="006C0F89" w:rsidRPr="009B1B04" w:rsidRDefault="006C0F89" w:rsidP="002102AC">
      <w:pPr>
        <w:spacing w:line="276" w:lineRule="auto"/>
        <w:rPr>
          <w:rFonts w:ascii="Times New Roman" w:eastAsia="Times New Roman" w:hAnsi="Times New Roman" w:cs="Times New Roman"/>
        </w:rPr>
      </w:pPr>
      <w:proofErr w:type="spellStart"/>
      <w:r w:rsidRPr="009B1B04">
        <w:rPr>
          <w:rFonts w:ascii="Times New Roman" w:eastAsia="Times New Roman" w:hAnsi="Times New Roman" w:cs="Times New Roman"/>
        </w:rPr>
        <w:t>Jianguo</w:t>
      </w:r>
      <w:proofErr w:type="spellEnd"/>
      <w:r w:rsidR="00C64D6D" w:rsidRPr="009B1B04">
        <w:rPr>
          <w:rFonts w:ascii="Times New Roman" w:eastAsia="Times New Roman" w:hAnsi="Times New Roman" w:cs="Times New Roman"/>
        </w:rPr>
        <w:t xml:space="preserve"> is </w:t>
      </w:r>
      <w:r w:rsidRPr="009B1B04">
        <w:rPr>
          <w:rFonts w:ascii="Times New Roman" w:eastAsia="Times New Roman" w:hAnsi="Times New Roman" w:cs="Times New Roman"/>
        </w:rPr>
        <w:t>in charge of trading strategy and asset allocation</w:t>
      </w:r>
      <w:r w:rsidR="00C64D6D" w:rsidRPr="009B1B04">
        <w:rPr>
          <w:rFonts w:ascii="Times New Roman" w:eastAsia="Times New Roman" w:hAnsi="Times New Roman" w:cs="Times New Roman"/>
        </w:rPr>
        <w:t xml:space="preserve"> and</w:t>
      </w:r>
      <w:r w:rsidRPr="009B1B04">
        <w:rPr>
          <w:rFonts w:ascii="Times New Roman" w:eastAsia="Times New Roman" w:hAnsi="Times New Roman" w:cs="Times New Roman"/>
        </w:rPr>
        <w:t xml:space="preserve"> lack</w:t>
      </w:r>
      <w:r w:rsidR="00C64D6D" w:rsidRPr="009B1B04">
        <w:rPr>
          <w:rFonts w:ascii="Times New Roman" w:eastAsia="Times New Roman" w:hAnsi="Times New Roman" w:cs="Times New Roman"/>
        </w:rPr>
        <w:t xml:space="preserve">s interest </w:t>
      </w:r>
      <w:r w:rsidRPr="009B1B04">
        <w:rPr>
          <w:rFonts w:ascii="Times New Roman" w:eastAsia="Times New Roman" w:hAnsi="Times New Roman" w:cs="Times New Roman"/>
        </w:rPr>
        <w:t>in risk management</w:t>
      </w:r>
      <w:r w:rsidR="00C64D6D" w:rsidRPr="009B1B04">
        <w:rPr>
          <w:rFonts w:ascii="Times New Roman" w:eastAsia="Times New Roman" w:hAnsi="Times New Roman" w:cs="Times New Roman"/>
        </w:rPr>
        <w:t>. He just wants to make profitable actions and believed his own experience and judgement in better than statistical risk management models.</w:t>
      </w:r>
    </w:p>
    <w:p w14:paraId="2D673255" w14:textId="77777777" w:rsidR="00C64D6D" w:rsidRPr="00543413" w:rsidRDefault="00C64D6D" w:rsidP="002102AC">
      <w:pPr>
        <w:spacing w:line="276" w:lineRule="auto"/>
        <w:rPr>
          <w:rFonts w:ascii="Times New Roman" w:eastAsia="Times New Roman" w:hAnsi="Times New Roman" w:cs="Times New Roman"/>
        </w:rPr>
      </w:pPr>
      <w:r w:rsidRPr="00543413">
        <w:rPr>
          <w:rFonts w:ascii="Times New Roman" w:eastAsia="Times New Roman" w:hAnsi="Times New Roman" w:cs="Times New Roman"/>
        </w:rPr>
        <w:t xml:space="preserve">Obvious tensions existed between Jasper and </w:t>
      </w:r>
      <w:proofErr w:type="spellStart"/>
      <w:r w:rsidRPr="00543413">
        <w:rPr>
          <w:rFonts w:ascii="Times New Roman" w:eastAsia="Times New Roman" w:hAnsi="Times New Roman" w:cs="Times New Roman"/>
        </w:rPr>
        <w:t>Jianguo</w:t>
      </w:r>
      <w:proofErr w:type="spellEnd"/>
      <w:r w:rsidRPr="00543413">
        <w:rPr>
          <w:rFonts w:ascii="Times New Roman" w:eastAsia="Times New Roman" w:hAnsi="Times New Roman" w:cs="Times New Roman"/>
        </w:rPr>
        <w:t xml:space="preserve">, as Jasper is effectively limiting Jasper’s actions due to risk management. </w:t>
      </w:r>
      <w:proofErr w:type="spellStart"/>
      <w:r w:rsidRPr="00543413">
        <w:rPr>
          <w:rFonts w:ascii="Times New Roman" w:eastAsia="Times New Roman" w:hAnsi="Times New Roman" w:cs="Times New Roman"/>
        </w:rPr>
        <w:t>Jianguo’s</w:t>
      </w:r>
      <w:proofErr w:type="spellEnd"/>
      <w:r w:rsidRPr="00543413">
        <w:rPr>
          <w:rFonts w:ascii="Times New Roman" w:eastAsia="Times New Roman" w:hAnsi="Times New Roman" w:cs="Times New Roman"/>
        </w:rPr>
        <w:t xml:space="preserve"> resistance to Jasper’s risk management ideas also effects Charles, as he wants to turn </w:t>
      </w:r>
      <w:proofErr w:type="spellStart"/>
      <w:r w:rsidRPr="00543413">
        <w:rPr>
          <w:rFonts w:ascii="Times New Roman" w:eastAsia="Times New Roman" w:hAnsi="Times New Roman" w:cs="Times New Roman"/>
        </w:rPr>
        <w:t>Guang</w:t>
      </w:r>
      <w:proofErr w:type="spellEnd"/>
      <w:r w:rsidRPr="00543413">
        <w:rPr>
          <w:rFonts w:ascii="Times New Roman" w:eastAsia="Times New Roman" w:hAnsi="Times New Roman" w:cs="Times New Roman"/>
        </w:rPr>
        <w:t xml:space="preserve"> </w:t>
      </w:r>
      <w:r w:rsidR="00632B75">
        <w:rPr>
          <w:rFonts w:ascii="Times New Roman" w:eastAsia="Times New Roman" w:hAnsi="Times New Roman" w:cs="Times New Roman"/>
        </w:rPr>
        <w:t>G</w:t>
      </w:r>
      <w:r w:rsidRPr="00543413">
        <w:rPr>
          <w:rFonts w:ascii="Times New Roman" w:eastAsia="Times New Roman" w:hAnsi="Times New Roman" w:cs="Times New Roman"/>
        </w:rPr>
        <w:t>uo into an international corporation.</w:t>
      </w:r>
    </w:p>
    <w:p w14:paraId="6B02A3A5" w14:textId="77777777" w:rsidR="00C81026" w:rsidRDefault="00C81026" w:rsidP="002102AC">
      <w:pPr>
        <w:spacing w:line="276" w:lineRule="auto"/>
        <w:rPr>
          <w:rFonts w:ascii="Times New Roman" w:eastAsia="Times New Roman" w:hAnsi="Times New Roman" w:cs="Times New Roman"/>
        </w:rPr>
      </w:pPr>
    </w:p>
    <w:p w14:paraId="5F4CD6B1" w14:textId="77777777" w:rsidR="002F5C54" w:rsidRDefault="00AE3DB0" w:rsidP="002102AC">
      <w:pPr>
        <w:spacing w:line="276" w:lineRule="auto"/>
        <w:rPr>
          <w:rFonts w:ascii="Times New Roman" w:eastAsia="Times New Roman" w:hAnsi="Times New Roman" w:cs="Times New Roman"/>
          <w:b/>
          <w:bCs/>
        </w:rPr>
      </w:pPr>
      <w:r w:rsidRPr="008F139D">
        <w:rPr>
          <w:rFonts w:ascii="Times New Roman" w:eastAsia="Times New Roman" w:hAnsi="Times New Roman" w:cs="Times New Roman"/>
          <w:b/>
          <w:bCs/>
        </w:rPr>
        <w:t>Question 2</w:t>
      </w:r>
    </w:p>
    <w:p w14:paraId="21D537EB" w14:textId="77777777" w:rsidR="008F139D" w:rsidRPr="008F139D" w:rsidRDefault="008F139D" w:rsidP="002102AC">
      <w:pPr>
        <w:spacing w:line="276" w:lineRule="auto"/>
        <w:rPr>
          <w:rFonts w:ascii="Times New Roman" w:eastAsia="Times New Roman" w:hAnsi="Times New Roman" w:cs="Times New Roman"/>
        </w:rPr>
      </w:pPr>
    </w:p>
    <w:p w14:paraId="0BCEF044" w14:textId="77777777" w:rsidR="00D8463E" w:rsidRPr="00AE3DB0" w:rsidRDefault="00D8463E" w:rsidP="002102AC">
      <w:pPr>
        <w:spacing w:line="276" w:lineRule="auto"/>
        <w:rPr>
          <w:rFonts w:ascii="Times New Roman" w:eastAsia="Times New Roman" w:hAnsi="Times New Roman" w:cs="Times New Roman"/>
        </w:rPr>
      </w:pPr>
      <w:r w:rsidRPr="00AE3DB0">
        <w:rPr>
          <w:rFonts w:ascii="Times New Roman" w:eastAsia="Times New Roman" w:hAnsi="Times New Roman" w:cs="Times New Roman"/>
        </w:rPr>
        <w:t xml:space="preserve">The </w:t>
      </w:r>
      <w:proofErr w:type="spellStart"/>
      <w:r w:rsidRPr="00AE3DB0">
        <w:rPr>
          <w:rFonts w:ascii="Times New Roman" w:eastAsia="Times New Roman" w:hAnsi="Times New Roman" w:cs="Times New Roman"/>
        </w:rPr>
        <w:t>VaR</w:t>
      </w:r>
      <w:proofErr w:type="spellEnd"/>
      <w:r w:rsidRPr="00AE3DB0">
        <w:rPr>
          <w:rFonts w:ascii="Times New Roman" w:eastAsia="Times New Roman" w:hAnsi="Times New Roman" w:cs="Times New Roman"/>
        </w:rPr>
        <w:t xml:space="preserve"> model is an internationally used measure for risk, recommended by Basel rules as well. It is widely used to calculate banks’ minimum capital requirements.</w:t>
      </w:r>
    </w:p>
    <w:p w14:paraId="1CE41588" w14:textId="77777777" w:rsidR="00C81026" w:rsidRDefault="00C81026" w:rsidP="002102AC">
      <w:pPr>
        <w:spacing w:line="276" w:lineRule="auto"/>
        <w:rPr>
          <w:rFonts w:ascii="Times New Roman" w:eastAsia="Times New Roman" w:hAnsi="Times New Roman" w:cs="Times New Roman"/>
        </w:rPr>
      </w:pPr>
    </w:p>
    <w:p w14:paraId="751AB80D" w14:textId="77777777" w:rsidR="002F5C54" w:rsidRDefault="00AE3DB0" w:rsidP="002102AC">
      <w:pPr>
        <w:spacing w:line="276" w:lineRule="auto"/>
        <w:rPr>
          <w:rFonts w:ascii="Times New Roman" w:eastAsia="Times New Roman" w:hAnsi="Times New Roman" w:cs="Times New Roman"/>
          <w:b/>
          <w:bCs/>
        </w:rPr>
      </w:pPr>
      <w:r w:rsidRPr="008F139D">
        <w:rPr>
          <w:rFonts w:ascii="Times New Roman" w:eastAsia="Times New Roman" w:hAnsi="Times New Roman" w:cs="Times New Roman"/>
          <w:b/>
          <w:bCs/>
        </w:rPr>
        <w:t>Question 3</w:t>
      </w:r>
    </w:p>
    <w:p w14:paraId="1D13CD07" w14:textId="77777777" w:rsidR="008F139D" w:rsidRPr="008F139D" w:rsidRDefault="008F139D" w:rsidP="002102AC">
      <w:pPr>
        <w:spacing w:line="276" w:lineRule="auto"/>
        <w:rPr>
          <w:rFonts w:ascii="Times New Roman" w:eastAsia="Times New Roman" w:hAnsi="Times New Roman" w:cs="Times New Roman"/>
          <w:b/>
          <w:bCs/>
        </w:rPr>
      </w:pPr>
    </w:p>
    <w:p w14:paraId="1BAD343A" w14:textId="77777777" w:rsidR="006C0F89" w:rsidRPr="00AE3DB0" w:rsidRDefault="00AE3DB0" w:rsidP="002102AC">
      <w:pPr>
        <w:spacing w:line="276" w:lineRule="auto"/>
        <w:rPr>
          <w:rFonts w:ascii="Times New Roman" w:eastAsia="Times New Roman" w:hAnsi="Times New Roman" w:cs="Times New Roman"/>
        </w:rPr>
      </w:pPr>
      <w:proofErr w:type="spellStart"/>
      <w:r w:rsidRPr="00AE3DB0">
        <w:rPr>
          <w:rFonts w:ascii="Times New Roman" w:eastAsia="Times New Roman" w:hAnsi="Times New Roman" w:cs="Times New Roman"/>
        </w:rPr>
        <w:t>Jianguo</w:t>
      </w:r>
      <w:proofErr w:type="spellEnd"/>
      <w:r w:rsidR="006C0F89" w:rsidRPr="00AE3DB0">
        <w:rPr>
          <w:rFonts w:ascii="Times New Roman" w:eastAsia="Times New Roman" w:hAnsi="Times New Roman" w:cs="Times New Roman"/>
        </w:rPr>
        <w:t xml:space="preserve"> argued that no </w:t>
      </w:r>
      <w:proofErr w:type="spellStart"/>
      <w:r w:rsidR="006C0F89" w:rsidRPr="00AE3DB0">
        <w:rPr>
          <w:rFonts w:ascii="Times New Roman" w:eastAsia="Times New Roman" w:hAnsi="Times New Roman" w:cs="Times New Roman"/>
        </w:rPr>
        <w:t>VaR</w:t>
      </w:r>
      <w:proofErr w:type="spellEnd"/>
      <w:r w:rsidR="006C0F89" w:rsidRPr="00AE3DB0">
        <w:rPr>
          <w:rFonts w:ascii="Times New Roman" w:eastAsia="Times New Roman" w:hAnsi="Times New Roman" w:cs="Times New Roman"/>
        </w:rPr>
        <w:t xml:space="preserve"> model could replace his years of experience in Chinese </w:t>
      </w:r>
      <w:r w:rsidR="003C4253" w:rsidRPr="00AE3DB0">
        <w:rPr>
          <w:rFonts w:ascii="Times New Roman" w:eastAsia="Times New Roman" w:hAnsi="Times New Roman" w:cs="Times New Roman"/>
        </w:rPr>
        <w:t>markets and</w:t>
      </w:r>
      <w:r w:rsidR="006C0F89" w:rsidRPr="00AE3DB0">
        <w:rPr>
          <w:rFonts w:ascii="Times New Roman" w:eastAsia="Times New Roman" w:hAnsi="Times New Roman" w:cs="Times New Roman"/>
        </w:rPr>
        <w:t xml:space="preserve"> stated that Chinese markets are different from Western markets.</w:t>
      </w:r>
      <w:r w:rsidR="00374A17" w:rsidRPr="00AE3DB0">
        <w:rPr>
          <w:rFonts w:ascii="Times New Roman" w:eastAsia="Times New Roman" w:hAnsi="Times New Roman" w:cs="Times New Roman"/>
        </w:rPr>
        <w:t xml:space="preserve"> He thought that the Shanghai equity markets were dominated by speculative retail investors and prone to unpredictable movements that </w:t>
      </w:r>
      <w:r w:rsidR="001759C0" w:rsidRPr="00AE3DB0">
        <w:rPr>
          <w:rFonts w:ascii="Times New Roman" w:eastAsia="Times New Roman" w:hAnsi="Times New Roman" w:cs="Times New Roman"/>
        </w:rPr>
        <w:t>cannot</w:t>
      </w:r>
      <w:r w:rsidR="00374A17" w:rsidRPr="00AE3DB0">
        <w:rPr>
          <w:rFonts w:ascii="Times New Roman" w:eastAsia="Times New Roman" w:hAnsi="Times New Roman" w:cs="Times New Roman"/>
        </w:rPr>
        <w:t xml:space="preserve"> be captured well by statistical models</w:t>
      </w:r>
    </w:p>
    <w:p w14:paraId="5EB94EC3" w14:textId="77777777" w:rsidR="00C81026" w:rsidRDefault="00C81026" w:rsidP="002102AC">
      <w:pPr>
        <w:spacing w:line="276" w:lineRule="auto"/>
        <w:rPr>
          <w:rFonts w:ascii="Times New Roman" w:eastAsia="Times New Roman" w:hAnsi="Times New Roman" w:cs="Times New Roman"/>
        </w:rPr>
      </w:pPr>
    </w:p>
    <w:p w14:paraId="060F89CD" w14:textId="77777777" w:rsidR="00C81026" w:rsidRPr="008F139D" w:rsidRDefault="00BB5298" w:rsidP="002102AC">
      <w:pPr>
        <w:spacing w:line="276" w:lineRule="auto"/>
        <w:rPr>
          <w:rFonts w:ascii="Times New Roman" w:eastAsia="Times New Roman" w:hAnsi="Times New Roman" w:cs="Times New Roman"/>
          <w:b/>
          <w:bCs/>
        </w:rPr>
      </w:pPr>
      <w:r w:rsidRPr="008F139D">
        <w:rPr>
          <w:rFonts w:ascii="Times New Roman" w:eastAsia="Times New Roman" w:hAnsi="Times New Roman" w:cs="Times New Roman"/>
          <w:b/>
          <w:bCs/>
        </w:rPr>
        <w:t>Question 4</w:t>
      </w:r>
    </w:p>
    <w:p w14:paraId="1D2633B9" w14:textId="77777777" w:rsidR="008F139D" w:rsidRDefault="008F139D" w:rsidP="002102AC">
      <w:pPr>
        <w:spacing w:line="276" w:lineRule="auto"/>
        <w:rPr>
          <w:rFonts w:ascii="Times New Roman" w:hAnsi="Times New Roman" w:cs="Times New Roman"/>
        </w:rPr>
      </w:pPr>
    </w:p>
    <w:p w14:paraId="5D9B072A" w14:textId="28BE3628" w:rsidR="008F139D" w:rsidRDefault="008F139D" w:rsidP="002102AC">
      <w:pPr>
        <w:spacing w:line="276" w:lineRule="auto"/>
        <w:rPr>
          <w:rFonts w:ascii="Times New Roman" w:hAnsi="Times New Roman" w:cs="Times New Roman"/>
        </w:rPr>
      </w:pPr>
      <w:r>
        <w:rPr>
          <w:rFonts w:ascii="Times New Roman" w:hAnsi="Times New Roman" w:cs="Times New Roman"/>
        </w:rPr>
        <w:t xml:space="preserve">For this question, I calculate the rolling </w:t>
      </w:r>
      <w:proofErr w:type="spellStart"/>
      <w:r>
        <w:rPr>
          <w:rFonts w:ascii="Times New Roman" w:hAnsi="Times New Roman" w:cs="Times New Roman"/>
        </w:rPr>
        <w:t>VaR</w:t>
      </w:r>
      <w:proofErr w:type="spellEnd"/>
      <w:r>
        <w:rPr>
          <w:rFonts w:ascii="Times New Roman" w:hAnsi="Times New Roman" w:cs="Times New Roman"/>
        </w:rPr>
        <w:t xml:space="preserve"> for Shanghai Composite Index and S&amp;P 500 Index. The rolling (lookback) periods are 3-month, 6-month, and 9-month. Under the risk management assumptions, the average return is zero and the </w:t>
      </w:r>
      <w:proofErr w:type="spellStart"/>
      <w:r>
        <w:rPr>
          <w:rFonts w:ascii="Times New Roman" w:hAnsi="Times New Roman" w:cs="Times New Roman"/>
        </w:rPr>
        <w:t>VaR</w:t>
      </w:r>
      <w:proofErr w:type="spellEnd"/>
      <w:r>
        <w:rPr>
          <w:rFonts w:ascii="Times New Roman" w:hAnsi="Times New Roman" w:cs="Times New Roman"/>
        </w:rPr>
        <w:t xml:space="preserve"> is the lookback period volatility times the z statistics.</w:t>
      </w:r>
    </w:p>
    <w:p w14:paraId="1F6EB0A0" w14:textId="77777777" w:rsidR="008F139D" w:rsidRDefault="008F139D" w:rsidP="002102AC">
      <w:pPr>
        <w:spacing w:line="276" w:lineRule="auto"/>
        <w:rPr>
          <w:rFonts w:ascii="Times New Roman" w:hAnsi="Times New Roman" w:cs="Times New Roman"/>
        </w:rPr>
      </w:pPr>
    </w:p>
    <w:p w14:paraId="747A9FD9" w14:textId="7793DB67" w:rsidR="008F139D" w:rsidRDefault="008F139D" w:rsidP="002102AC">
      <w:pPr>
        <w:spacing w:line="276" w:lineRule="auto"/>
        <w:rPr>
          <w:rFonts w:ascii="Times New Roman" w:hAnsi="Times New Roman" w:cs="Times New Roman"/>
        </w:rPr>
      </w:pPr>
      <w:r>
        <w:rPr>
          <w:rFonts w:ascii="Times New Roman" w:hAnsi="Times New Roman" w:cs="Times New Roman"/>
        </w:rPr>
        <w:t xml:space="preserve">The table below summarizes the number of exceptions per year for the three different lookback periods and for Shanghai Composite Index and S&amp;P500. Given </w:t>
      </w:r>
      <w:r w:rsidR="001539E4">
        <w:rPr>
          <w:rFonts w:ascii="Times New Roman" w:hAnsi="Times New Roman" w:cs="Times New Roman"/>
        </w:rPr>
        <w:t xml:space="preserve">the 95% confidence level and </w:t>
      </w:r>
      <w:r>
        <w:rPr>
          <w:rFonts w:ascii="Times New Roman" w:hAnsi="Times New Roman" w:cs="Times New Roman"/>
        </w:rPr>
        <w:t xml:space="preserve">252 trading days each year, we would expect about 12-13 exceptions per year. To get a more </w:t>
      </w:r>
      <w:r>
        <w:rPr>
          <w:rFonts w:ascii="Times New Roman" w:hAnsi="Times New Roman" w:cs="Times New Roman"/>
        </w:rPr>
        <w:lastRenderedPageBreak/>
        <w:t xml:space="preserve">concrete range for the acceptable number of exceptions, we would do the binomial tests and get the range to be [6, 19]. If the number of exceptions falls outside of the range, we could reject with 95% confidence. </w:t>
      </w:r>
      <w:r w:rsidRPr="001539E4">
        <w:rPr>
          <w:rFonts w:ascii="Times New Roman" w:hAnsi="Times New Roman" w:cs="Times New Roman"/>
          <w:b/>
          <w:i/>
        </w:rPr>
        <w:t>I highlight the ones that is not significant in yellow</w:t>
      </w:r>
      <w:r>
        <w:rPr>
          <w:rFonts w:ascii="Times New Roman" w:hAnsi="Times New Roman" w:cs="Times New Roman"/>
        </w:rPr>
        <w:t xml:space="preserve">. </w:t>
      </w:r>
    </w:p>
    <w:p w14:paraId="1F532ABD" w14:textId="77777777" w:rsidR="008F139D" w:rsidRDefault="008F139D" w:rsidP="002102AC">
      <w:pPr>
        <w:spacing w:line="276" w:lineRule="auto"/>
        <w:rPr>
          <w:rFonts w:ascii="Times New Roman" w:hAnsi="Times New Roman" w:cs="Times New Roman"/>
        </w:rPr>
      </w:pPr>
    </w:p>
    <w:p w14:paraId="549B6582" w14:textId="6D749CE5" w:rsidR="008F139D" w:rsidRDefault="008F139D" w:rsidP="002102AC">
      <w:pPr>
        <w:spacing w:line="276" w:lineRule="auto"/>
        <w:rPr>
          <w:rFonts w:ascii="Times New Roman" w:hAnsi="Times New Roman" w:cs="Times New Roman"/>
        </w:rPr>
      </w:pPr>
      <w:r>
        <w:rPr>
          <w:rFonts w:ascii="Times New Roman" w:hAnsi="Times New Roman" w:cs="Times New Roman"/>
        </w:rPr>
        <w:t xml:space="preserve">Comparing the number of non-significant exceptions between the two indexes, we could conclude that S&amp;P 500 index does more poorly in this </w:t>
      </w:r>
      <w:proofErr w:type="spellStart"/>
      <w:r>
        <w:rPr>
          <w:rFonts w:ascii="Times New Roman" w:hAnsi="Times New Roman" w:cs="Times New Roman"/>
        </w:rPr>
        <w:t>VaR</w:t>
      </w:r>
      <w:proofErr w:type="spellEnd"/>
      <w:r>
        <w:rPr>
          <w:rFonts w:ascii="Times New Roman" w:hAnsi="Times New Roman" w:cs="Times New Roman"/>
        </w:rPr>
        <w:t xml:space="preserve"> </w:t>
      </w:r>
      <w:proofErr w:type="spellStart"/>
      <w:r>
        <w:rPr>
          <w:rFonts w:ascii="Times New Roman" w:hAnsi="Times New Roman" w:cs="Times New Roman"/>
        </w:rPr>
        <w:t>backtest</w:t>
      </w:r>
      <w:proofErr w:type="spellEnd"/>
      <w:r>
        <w:rPr>
          <w:rFonts w:ascii="Times New Roman" w:hAnsi="Times New Roman" w:cs="Times New Roman"/>
        </w:rPr>
        <w:t xml:space="preserve">. Lengthening the lookback period does not improve the performance of </w:t>
      </w:r>
      <w:proofErr w:type="spellStart"/>
      <w:r>
        <w:rPr>
          <w:rFonts w:ascii="Times New Roman" w:hAnsi="Times New Roman" w:cs="Times New Roman"/>
        </w:rPr>
        <w:t>VaR</w:t>
      </w:r>
      <w:proofErr w:type="spellEnd"/>
      <w:r>
        <w:rPr>
          <w:rFonts w:ascii="Times New Roman" w:hAnsi="Times New Roman" w:cs="Times New Roman"/>
        </w:rPr>
        <w:t xml:space="preserve"> at all. On the contrary, lengthening the lookback period monotonically worsen</w:t>
      </w:r>
      <w:r w:rsidR="005B447B">
        <w:rPr>
          <w:rFonts w:ascii="Times New Roman" w:hAnsi="Times New Roman" w:cs="Times New Roman"/>
        </w:rPr>
        <w:t>s</w:t>
      </w:r>
      <w:r>
        <w:rPr>
          <w:rFonts w:ascii="Times New Roman" w:hAnsi="Times New Roman" w:cs="Times New Roman"/>
        </w:rPr>
        <w:t xml:space="preserve"> the performance</w:t>
      </w:r>
      <w:r w:rsidR="00CA4F05">
        <w:rPr>
          <w:rFonts w:ascii="Times New Roman" w:hAnsi="Times New Roman" w:cs="Times New Roman"/>
        </w:rPr>
        <w:t>. This is consistent with our understanding that shorter lookback period captures more recent volatility better.</w:t>
      </w:r>
    </w:p>
    <w:p w14:paraId="689205B0" w14:textId="77777777" w:rsidR="008F139D" w:rsidRDefault="008F139D" w:rsidP="002102AC">
      <w:pPr>
        <w:spacing w:line="276" w:lineRule="auto"/>
        <w:rPr>
          <w:rFonts w:ascii="Times New Roman" w:hAnsi="Times New Roman" w:cs="Times New Roman"/>
        </w:rPr>
      </w:pPr>
    </w:p>
    <w:p w14:paraId="44F12C7F" w14:textId="77777777" w:rsidR="008F139D" w:rsidRDefault="008F139D" w:rsidP="002102AC">
      <w:pPr>
        <w:spacing w:line="276" w:lineRule="auto"/>
        <w:rPr>
          <w:rFonts w:ascii="Times New Roman" w:hAnsi="Times New Roman" w:cs="Times New Roman"/>
        </w:rPr>
      </w:pPr>
    </w:p>
    <w:p w14:paraId="7344CBC4" w14:textId="1B68574B" w:rsidR="008F139D" w:rsidRDefault="005B447B" w:rsidP="002102AC">
      <w:pPr>
        <w:spacing w:line="276" w:lineRule="auto"/>
        <w:rPr>
          <w:rFonts w:ascii="Times New Roman" w:hAnsi="Times New Roman" w:cs="Times New Roman"/>
        </w:rPr>
      </w:pPr>
      <w:r w:rsidRPr="005B447B">
        <w:rPr>
          <w:noProof/>
        </w:rPr>
        <w:drawing>
          <wp:inline distT="0" distB="0" distL="0" distR="0" wp14:anchorId="22F7172A" wp14:editId="5A546FFD">
            <wp:extent cx="5175250" cy="3327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250" cy="3327400"/>
                    </a:xfrm>
                    <a:prstGeom prst="rect">
                      <a:avLst/>
                    </a:prstGeom>
                    <a:noFill/>
                    <a:ln>
                      <a:noFill/>
                    </a:ln>
                  </pic:spPr>
                </pic:pic>
              </a:graphicData>
            </a:graphic>
          </wp:inline>
        </w:drawing>
      </w:r>
    </w:p>
    <w:p w14:paraId="314A10EB" w14:textId="0CE98A3A" w:rsidR="008F139D" w:rsidRPr="00055A7D" w:rsidRDefault="008F139D" w:rsidP="002102AC">
      <w:pPr>
        <w:spacing w:line="276" w:lineRule="auto"/>
        <w:rPr>
          <w:rFonts w:ascii="Times New Roman" w:hAnsi="Times New Roman" w:cs="Times New Roman"/>
          <w:b/>
          <w:i/>
          <w:sz w:val="22"/>
        </w:rPr>
      </w:pPr>
      <w:r w:rsidRPr="00055A7D">
        <w:rPr>
          <w:rFonts w:ascii="Times New Roman" w:hAnsi="Times New Roman" w:cs="Times New Roman"/>
          <w:b/>
          <w:i/>
          <w:sz w:val="22"/>
        </w:rPr>
        <w:t>*Note: 1999 has less than 250 data tries due to the lookback period</w:t>
      </w:r>
    </w:p>
    <w:p w14:paraId="76688C76" w14:textId="367FC593" w:rsidR="005B447B" w:rsidRPr="00055A7D" w:rsidRDefault="005B447B" w:rsidP="002102AC">
      <w:pPr>
        <w:spacing w:line="276" w:lineRule="auto"/>
        <w:rPr>
          <w:rFonts w:ascii="Times New Roman" w:hAnsi="Times New Roman" w:cs="Times New Roman"/>
          <w:b/>
          <w:i/>
          <w:sz w:val="22"/>
        </w:rPr>
      </w:pPr>
      <w:r w:rsidRPr="00055A7D">
        <w:rPr>
          <w:rFonts w:ascii="Times New Roman" w:hAnsi="Times New Roman" w:cs="Times New Roman"/>
          <w:b/>
          <w:i/>
          <w:sz w:val="22"/>
        </w:rPr>
        <w:t>**Non-significant number of exceptions is highlighted in yellow.</w:t>
      </w:r>
    </w:p>
    <w:p w14:paraId="0177E4D0" w14:textId="77777777" w:rsidR="008F139D" w:rsidRDefault="008F139D" w:rsidP="002102AC">
      <w:pPr>
        <w:spacing w:line="276" w:lineRule="auto"/>
        <w:rPr>
          <w:rFonts w:ascii="Times New Roman" w:hAnsi="Times New Roman" w:cs="Times New Roman"/>
        </w:rPr>
      </w:pPr>
    </w:p>
    <w:p w14:paraId="40ED1A26" w14:textId="761B4F64" w:rsidR="00A06FBA" w:rsidRDefault="00A06FBA" w:rsidP="002102AC">
      <w:pPr>
        <w:spacing w:line="276" w:lineRule="auto"/>
        <w:rPr>
          <w:rFonts w:ascii="Times New Roman" w:hAnsi="Times New Roman" w:cs="Times New Roman"/>
        </w:rPr>
      </w:pPr>
      <w:r>
        <w:rPr>
          <w:rFonts w:ascii="Times New Roman" w:hAnsi="Times New Roman" w:cs="Times New Roman"/>
        </w:rPr>
        <w:t xml:space="preserve">The two charts below plot the returns of two indexes along with the </w:t>
      </w:r>
      <w:proofErr w:type="spellStart"/>
      <w:r>
        <w:rPr>
          <w:rFonts w:ascii="Times New Roman" w:hAnsi="Times New Roman" w:cs="Times New Roman"/>
        </w:rPr>
        <w:t>VaR</w:t>
      </w:r>
      <w:proofErr w:type="spellEnd"/>
      <w:r>
        <w:rPr>
          <w:rFonts w:ascii="Times New Roman" w:hAnsi="Times New Roman" w:cs="Times New Roman"/>
        </w:rPr>
        <w:t xml:space="preserve"> level with 3-month, 6-month, and 9-month lookback period, respectively.</w:t>
      </w:r>
    </w:p>
    <w:p w14:paraId="10C1AA37" w14:textId="77777777" w:rsidR="00A06FBA" w:rsidRDefault="00A06FBA" w:rsidP="002102AC">
      <w:pPr>
        <w:spacing w:line="276" w:lineRule="auto"/>
        <w:rPr>
          <w:rFonts w:ascii="Times New Roman" w:hAnsi="Times New Roman" w:cs="Times New Roman"/>
        </w:rPr>
      </w:pPr>
    </w:p>
    <w:p w14:paraId="40B71907" w14:textId="77777777" w:rsidR="008F139D" w:rsidRDefault="008F139D" w:rsidP="002102AC">
      <w:pPr>
        <w:spacing w:line="276" w:lineRule="auto"/>
        <w:rPr>
          <w:rFonts w:ascii="Times New Roman" w:hAnsi="Times New Roman" w:cs="Times New Roman"/>
        </w:rPr>
      </w:pPr>
      <w:r>
        <w:rPr>
          <w:noProof/>
        </w:rPr>
        <w:lastRenderedPageBreak/>
        <w:drawing>
          <wp:inline distT="0" distB="0" distL="0" distR="0" wp14:anchorId="33E1B75D" wp14:editId="754432DD">
            <wp:extent cx="59436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1900"/>
                    </a:xfrm>
                    <a:prstGeom prst="rect">
                      <a:avLst/>
                    </a:prstGeom>
                  </pic:spPr>
                </pic:pic>
              </a:graphicData>
            </a:graphic>
          </wp:inline>
        </w:drawing>
      </w:r>
    </w:p>
    <w:p w14:paraId="4B47E700" w14:textId="77777777" w:rsidR="008F139D" w:rsidRDefault="008F139D" w:rsidP="002102AC">
      <w:pPr>
        <w:spacing w:line="276" w:lineRule="auto"/>
        <w:rPr>
          <w:rFonts w:ascii="Times New Roman" w:hAnsi="Times New Roman" w:cs="Times New Roman"/>
        </w:rPr>
      </w:pPr>
    </w:p>
    <w:p w14:paraId="2075D374" w14:textId="77777777" w:rsidR="008F139D" w:rsidRPr="00365948" w:rsidRDefault="008F139D" w:rsidP="002102AC">
      <w:pPr>
        <w:spacing w:line="276" w:lineRule="auto"/>
        <w:rPr>
          <w:rFonts w:ascii="Times New Roman" w:hAnsi="Times New Roman" w:cs="Times New Roman"/>
        </w:rPr>
      </w:pPr>
      <w:r>
        <w:rPr>
          <w:noProof/>
        </w:rPr>
        <w:drawing>
          <wp:inline distT="0" distB="0" distL="0" distR="0" wp14:anchorId="54603E72" wp14:editId="0B48867D">
            <wp:extent cx="59436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pic:spPr>
                </pic:pic>
              </a:graphicData>
            </a:graphic>
          </wp:inline>
        </w:drawing>
      </w:r>
    </w:p>
    <w:p w14:paraId="633DC48F" w14:textId="77777777" w:rsidR="008F139D" w:rsidRDefault="008F139D" w:rsidP="002102AC">
      <w:pPr>
        <w:spacing w:line="276" w:lineRule="auto"/>
        <w:rPr>
          <w:rFonts w:ascii="Times New Roman" w:hAnsi="Times New Roman" w:cs="Times New Roman"/>
        </w:rPr>
      </w:pPr>
    </w:p>
    <w:p w14:paraId="53AA7D5C" w14:textId="77777777" w:rsidR="00C81026" w:rsidRDefault="00C81026" w:rsidP="002102AC">
      <w:pPr>
        <w:spacing w:line="276" w:lineRule="auto"/>
        <w:rPr>
          <w:rFonts w:ascii="Times New Roman" w:eastAsia="Times New Roman" w:hAnsi="Times New Roman" w:cs="Times New Roman"/>
        </w:rPr>
      </w:pPr>
    </w:p>
    <w:p w14:paraId="4E982357" w14:textId="77777777" w:rsidR="00C81026" w:rsidRDefault="000138C1" w:rsidP="002102AC">
      <w:pPr>
        <w:spacing w:line="276" w:lineRule="auto"/>
        <w:rPr>
          <w:rFonts w:ascii="Times New Roman" w:eastAsia="Times New Roman" w:hAnsi="Times New Roman" w:cs="Times New Roman"/>
          <w:b/>
          <w:bCs/>
        </w:rPr>
      </w:pPr>
      <w:r w:rsidRPr="005D2607">
        <w:rPr>
          <w:rFonts w:ascii="Times New Roman" w:eastAsia="Times New Roman" w:hAnsi="Times New Roman" w:cs="Times New Roman"/>
          <w:b/>
          <w:bCs/>
        </w:rPr>
        <w:t>Question 5</w:t>
      </w:r>
    </w:p>
    <w:p w14:paraId="3D90902E" w14:textId="77777777" w:rsidR="005D2607" w:rsidRPr="005D2607" w:rsidRDefault="005D2607" w:rsidP="002102AC">
      <w:pPr>
        <w:spacing w:line="276" w:lineRule="auto"/>
        <w:rPr>
          <w:rFonts w:ascii="Times New Roman" w:eastAsia="Times New Roman" w:hAnsi="Times New Roman" w:cs="Times New Roman"/>
          <w:b/>
          <w:bCs/>
        </w:rPr>
      </w:pPr>
    </w:p>
    <w:p w14:paraId="6DF80ACD" w14:textId="77777777" w:rsidR="00C81026" w:rsidRDefault="009B62AA" w:rsidP="002102AC">
      <w:pPr>
        <w:spacing w:line="276" w:lineRule="auto"/>
        <w:rPr>
          <w:rFonts w:ascii="Times New Roman" w:eastAsia="Times New Roman" w:hAnsi="Times New Roman" w:cs="Times New Roman"/>
        </w:rPr>
      </w:pPr>
      <w:r>
        <w:rPr>
          <w:rFonts w:ascii="Times New Roman" w:eastAsia="Times New Roman" w:hAnsi="Times New Roman" w:cs="Times New Roman"/>
        </w:rPr>
        <w:t xml:space="preserve">As the </w:t>
      </w:r>
      <w:proofErr w:type="spellStart"/>
      <w:r>
        <w:rPr>
          <w:rFonts w:ascii="Times New Roman" w:eastAsia="Times New Roman" w:hAnsi="Times New Roman" w:cs="Times New Roman"/>
        </w:rPr>
        <w:t>backtest</w:t>
      </w:r>
      <w:proofErr w:type="spellEnd"/>
      <w:r>
        <w:rPr>
          <w:rFonts w:ascii="Times New Roman" w:eastAsia="Times New Roman" w:hAnsi="Times New Roman" w:cs="Times New Roman"/>
        </w:rPr>
        <w:t xml:space="preserve"> results uses historical data in </w:t>
      </w:r>
      <w:r w:rsidR="002B134A">
        <w:rPr>
          <w:rFonts w:ascii="Times New Roman" w:eastAsia="Times New Roman" w:hAnsi="Times New Roman" w:cs="Times New Roman"/>
        </w:rPr>
        <w:t>China and</w:t>
      </w:r>
      <w:r>
        <w:rPr>
          <w:rFonts w:ascii="Times New Roman" w:eastAsia="Times New Roman" w:hAnsi="Times New Roman" w:cs="Times New Roman"/>
        </w:rPr>
        <w:t xml:space="preserve"> shows that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results have been even better with the Shanghai Composite than the S&amp;P 500, Jasper can use this as strong evidence that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measure is actually very suitable for risk management in a Chinese equity environment.</w:t>
      </w:r>
    </w:p>
    <w:p w14:paraId="5FC34F5C" w14:textId="77777777" w:rsidR="009B62AA" w:rsidRDefault="009B62AA" w:rsidP="002102AC">
      <w:pPr>
        <w:spacing w:line="276" w:lineRule="auto"/>
        <w:rPr>
          <w:rFonts w:ascii="Times New Roman" w:eastAsia="Times New Roman" w:hAnsi="Times New Roman" w:cs="Times New Roman"/>
        </w:rPr>
      </w:pPr>
    </w:p>
    <w:p w14:paraId="62C8640C" w14:textId="77777777" w:rsidR="00C81026" w:rsidRDefault="00673BB9" w:rsidP="002102AC">
      <w:pPr>
        <w:spacing w:line="276" w:lineRule="auto"/>
        <w:rPr>
          <w:rFonts w:ascii="Times New Roman" w:eastAsia="Times New Roman" w:hAnsi="Times New Roman" w:cs="Times New Roman"/>
          <w:b/>
          <w:bCs/>
        </w:rPr>
      </w:pPr>
      <w:r w:rsidRPr="005D2607">
        <w:rPr>
          <w:rFonts w:ascii="Times New Roman" w:eastAsia="Times New Roman" w:hAnsi="Times New Roman" w:cs="Times New Roman"/>
          <w:b/>
          <w:bCs/>
        </w:rPr>
        <w:t>Question 6</w:t>
      </w:r>
    </w:p>
    <w:p w14:paraId="3CB30237" w14:textId="77777777" w:rsidR="005D2607" w:rsidRPr="005D2607" w:rsidRDefault="005D2607" w:rsidP="002102AC">
      <w:pPr>
        <w:spacing w:line="276" w:lineRule="auto"/>
        <w:rPr>
          <w:rFonts w:ascii="Times New Roman" w:eastAsia="Times New Roman" w:hAnsi="Times New Roman" w:cs="Times New Roman"/>
          <w:b/>
          <w:bCs/>
        </w:rPr>
      </w:pPr>
    </w:p>
    <w:p w14:paraId="3A68DA5D" w14:textId="77777777" w:rsidR="00C81026" w:rsidRDefault="00E314C3" w:rsidP="002102AC">
      <w:pPr>
        <w:spacing w:line="276" w:lineRule="auto"/>
        <w:rPr>
          <w:rFonts w:ascii="Times New Roman" w:eastAsia="Times New Roman" w:hAnsi="Times New Roman" w:cs="Times New Roman"/>
        </w:rPr>
      </w:pPr>
      <w:r>
        <w:rPr>
          <w:rFonts w:ascii="Times New Roman" w:eastAsia="Times New Roman" w:hAnsi="Times New Roman" w:cs="Times New Roman"/>
        </w:rPr>
        <w:t xml:space="preserve">We think his attempt will be hard to implement in actual practice, because the traders and asset managers are used to their ways of business and have a strong bias towards the specialties of the Chinese markets. Advice we would give to someone is his role would be </w:t>
      </w:r>
      <w:r w:rsidR="002A6DBC">
        <w:rPr>
          <w:rFonts w:ascii="Times New Roman" w:eastAsia="Times New Roman" w:hAnsi="Times New Roman" w:cs="Times New Roman"/>
        </w:rPr>
        <w:t xml:space="preserve">to seek strong support </w:t>
      </w:r>
      <w:r w:rsidR="002A6DBC">
        <w:rPr>
          <w:rFonts w:ascii="Times New Roman" w:eastAsia="Times New Roman" w:hAnsi="Times New Roman" w:cs="Times New Roman"/>
        </w:rPr>
        <w:lastRenderedPageBreak/>
        <w:t>from both the CEO and other colleagues, as well as trying to pitch the risk management measures in a more intuitive way to persuade traders and asset managers to agree that the methods are consistent with their own beliefs.</w:t>
      </w:r>
    </w:p>
    <w:p w14:paraId="638DE837" w14:textId="77777777" w:rsidR="0063593E" w:rsidRDefault="0063593E" w:rsidP="002102AC">
      <w:pPr>
        <w:spacing w:line="276" w:lineRule="auto"/>
        <w:rPr>
          <w:rFonts w:ascii="Times New Roman" w:eastAsia="Times New Roman" w:hAnsi="Times New Roman" w:cs="Times New Roman"/>
        </w:rPr>
      </w:pPr>
    </w:p>
    <w:p w14:paraId="56127C4B" w14:textId="77777777" w:rsidR="005D2607" w:rsidRPr="0063593E" w:rsidRDefault="005D2607" w:rsidP="002102AC">
      <w:pPr>
        <w:spacing w:line="276" w:lineRule="auto"/>
        <w:rPr>
          <w:rFonts w:ascii="Times New Roman" w:eastAsia="Times New Roman" w:hAnsi="Times New Roman" w:cs="Times New Roman"/>
          <w:b/>
          <w:bCs/>
        </w:rPr>
      </w:pPr>
      <w:r w:rsidRPr="005D2607">
        <w:rPr>
          <w:rFonts w:ascii="Times New Roman" w:eastAsia="Times New Roman" w:hAnsi="Times New Roman" w:cs="Times New Roman"/>
          <w:b/>
          <w:bCs/>
        </w:rPr>
        <w:t>Question 7</w:t>
      </w:r>
    </w:p>
    <w:p w14:paraId="1E371BD2" w14:textId="6BE54DF1" w:rsidR="007E3A8A" w:rsidRDefault="002102AC" w:rsidP="002102AC">
      <w:pPr>
        <w:spacing w:line="276" w:lineRule="auto"/>
      </w:pPr>
    </w:p>
    <w:p w14:paraId="359A10D5" w14:textId="77777777" w:rsidR="002102AC" w:rsidRPr="002500F2" w:rsidRDefault="002102AC" w:rsidP="002102AC">
      <w:pPr>
        <w:shd w:val="clear" w:color="auto" w:fill="FFFFFF"/>
        <w:spacing w:line="276" w:lineRule="auto"/>
        <w:rPr>
          <w:rFonts w:ascii="Times New Roman" w:eastAsia="Times New Roman" w:hAnsi="Times New Roman" w:cs="Times New Roman"/>
          <w:color w:val="000000" w:themeColor="text1"/>
        </w:rPr>
      </w:pPr>
      <w:r w:rsidRPr="002500F2">
        <w:rPr>
          <w:rFonts w:ascii="Times New Roman" w:eastAsia="Times New Roman" w:hAnsi="Times New Roman" w:cs="Times New Roman"/>
          <w:color w:val="000000" w:themeColor="text1"/>
        </w:rPr>
        <w:t>The main regulatory body that oversees the Chinese banking system is the </w:t>
      </w:r>
      <w:hyperlink r:id="rId8" w:tgtFrame="_blank" w:history="1">
        <w:r w:rsidRPr="002500F2">
          <w:rPr>
            <w:rFonts w:ascii="Times New Roman" w:eastAsia="Times New Roman" w:hAnsi="Times New Roman" w:cs="Times New Roman"/>
            <w:color w:val="000000" w:themeColor="text1"/>
          </w:rPr>
          <w:t>China Banking Insurance Regulatory Commission</w:t>
        </w:r>
      </w:hyperlink>
      <w:r w:rsidRPr="002500F2">
        <w:rPr>
          <w:rFonts w:ascii="Times New Roman" w:eastAsia="Times New Roman" w:hAnsi="Times New Roman" w:cs="Times New Roman"/>
          <w:color w:val="000000" w:themeColor="text1"/>
        </w:rPr>
        <w:t> (CBIRC), which replaced the China Banking Regulatory Commission (CBRC) in April 2018. The CBIRC is charged with writing the rules and regulations governing the banking and insurance sectors in China. It also conducts examinations and oversight of banks and insurers; collects and publishes statistics on the banking system; approves the establishment or expansion of banks; and resolves potential liquidity, solvency, or other problems that might emerge at individual banks. </w:t>
      </w:r>
    </w:p>
    <w:p w14:paraId="728479DE" w14:textId="77777777" w:rsidR="002102AC" w:rsidRPr="00E57993" w:rsidRDefault="002102AC" w:rsidP="002102AC">
      <w:pPr>
        <w:shd w:val="clear" w:color="auto" w:fill="FFFFFF"/>
        <w:spacing w:line="276" w:lineRule="auto"/>
        <w:rPr>
          <w:rFonts w:ascii="Times New Roman" w:eastAsia="Times New Roman" w:hAnsi="Times New Roman" w:cs="Times New Roman"/>
          <w:color w:val="000000" w:themeColor="text1"/>
        </w:rPr>
      </w:pPr>
      <w:r w:rsidRPr="002500F2">
        <w:rPr>
          <w:rFonts w:ascii="Times New Roman" w:eastAsia="Times New Roman" w:hAnsi="Times New Roman" w:cs="Times New Roman"/>
          <w:color w:val="000000" w:themeColor="text1"/>
        </w:rPr>
        <w:t>The People's Bank of China also has considerable authority over the Chinese banking system. Aside from the typical central bank responsibility for </w:t>
      </w:r>
      <w:hyperlink r:id="rId9" w:history="1">
        <w:r w:rsidRPr="002500F2">
          <w:rPr>
            <w:rFonts w:ascii="Times New Roman" w:eastAsia="Times New Roman" w:hAnsi="Times New Roman" w:cs="Times New Roman"/>
            <w:color w:val="000000" w:themeColor="text1"/>
          </w:rPr>
          <w:t>monetary policy</w:t>
        </w:r>
      </w:hyperlink>
      <w:r w:rsidRPr="002500F2">
        <w:rPr>
          <w:rFonts w:ascii="Times New Roman" w:eastAsia="Times New Roman" w:hAnsi="Times New Roman" w:cs="Times New Roman"/>
          <w:color w:val="000000" w:themeColor="text1"/>
        </w:rPr>
        <w:t> and representing the country in an international forum, the PBC's role is to reduce overall risk and promote the stability of the financial system. The PBC also regulates lending and </w:t>
      </w:r>
      <w:hyperlink r:id="rId10" w:history="1">
        <w:r w:rsidRPr="002500F2">
          <w:rPr>
            <w:rFonts w:ascii="Times New Roman" w:eastAsia="Times New Roman" w:hAnsi="Times New Roman" w:cs="Times New Roman"/>
            <w:color w:val="000000" w:themeColor="text1"/>
          </w:rPr>
          <w:t>foreign exchange</w:t>
        </w:r>
      </w:hyperlink>
      <w:r w:rsidRPr="002500F2">
        <w:rPr>
          <w:rFonts w:ascii="Times New Roman" w:eastAsia="Times New Roman" w:hAnsi="Times New Roman" w:cs="Times New Roman"/>
          <w:color w:val="000000" w:themeColor="text1"/>
        </w:rPr>
        <w:t> between banks and supervises the payment and settlement system of the country.</w:t>
      </w:r>
    </w:p>
    <w:p w14:paraId="5F442638" w14:textId="77777777" w:rsidR="002102AC" w:rsidRPr="00E57993" w:rsidRDefault="002102AC" w:rsidP="002102AC">
      <w:pPr>
        <w:shd w:val="clear" w:color="auto" w:fill="FFFFFF"/>
        <w:spacing w:line="276" w:lineRule="auto"/>
        <w:rPr>
          <w:rFonts w:ascii="Times New Roman" w:eastAsia="Times New Roman" w:hAnsi="Times New Roman" w:cs="Times New Roman"/>
          <w:color w:val="000000" w:themeColor="text1"/>
        </w:rPr>
      </w:pPr>
    </w:p>
    <w:p w14:paraId="547B13D3" w14:textId="77777777" w:rsidR="002102AC" w:rsidRPr="00D47037" w:rsidRDefault="002102AC" w:rsidP="002102AC">
      <w:pPr>
        <w:spacing w:line="276" w:lineRule="auto"/>
        <w:rPr>
          <w:rFonts w:ascii="Times New Roman" w:eastAsia="Times New Roman" w:hAnsi="Times New Roman" w:cs="Times New Roman"/>
        </w:rPr>
      </w:pPr>
      <w:r>
        <w:rPr>
          <w:rFonts w:ascii="Times New Roman" w:eastAsia="Times New Roman" w:hAnsi="Times New Roman" w:cs="Times New Roman"/>
        </w:rPr>
        <w:t>After the crisis, t</w:t>
      </w:r>
      <w:r w:rsidRPr="00D47037">
        <w:rPr>
          <w:rFonts w:ascii="Times New Roman" w:eastAsia="Times New Roman" w:hAnsi="Times New Roman" w:cs="Times New Roman"/>
        </w:rPr>
        <w:t>he People’s Bank of China increased its window guidance to banks and took other initiatives to slow the growth of lending starting in mid-2009. As a result, ne</w:t>
      </w:r>
      <w:bookmarkStart w:id="0" w:name="_GoBack"/>
      <w:bookmarkEnd w:id="0"/>
      <w:r w:rsidRPr="00D47037">
        <w:rPr>
          <w:rFonts w:ascii="Times New Roman" w:eastAsia="Times New Roman" w:hAnsi="Times New Roman" w:cs="Times New Roman"/>
        </w:rPr>
        <w:t>w loans extended in the second half of the year were less than a third of the new lending volume in the first half. Although lending spiked upward in January 2010, the China Banking Regulatory Commission (CBRC) the same month announced tougher measures to moderate the pace of lending over the balance of 2010. The CBRC reinstated mandatory lending quotas on individual banks and imposed tougher regulations to prevent banks from lending out most of their lending quota in the first quarter or two of the year</w:t>
      </w:r>
      <w:r w:rsidRPr="00E57993">
        <w:rPr>
          <w:rFonts w:ascii="Times New Roman" w:eastAsia="Times New Roman" w:hAnsi="Times New Roman" w:cs="Times New Roman"/>
        </w:rPr>
        <w:t xml:space="preserve">. </w:t>
      </w:r>
      <w:r w:rsidRPr="00D47037">
        <w:rPr>
          <w:rFonts w:ascii="Times New Roman" w:eastAsia="Times New Roman" w:hAnsi="Times New Roman" w:cs="Times New Roman"/>
          <w:position w:val="8"/>
        </w:rPr>
        <w:t xml:space="preserve"> </w:t>
      </w:r>
      <w:r w:rsidRPr="00D47037">
        <w:rPr>
          <w:rFonts w:ascii="Times New Roman" w:eastAsia="Times New Roman" w:hAnsi="Times New Roman" w:cs="Times New Roman"/>
        </w:rPr>
        <w:t>They also raised the required reserve ratio by 50 basis points in January, in February, and again in March 2010. This had the effect of cutting banks’ excess reserves and signaled the transition away from the “appropriately loose” (</w:t>
      </w:r>
      <w:proofErr w:type="spellStart"/>
      <w:r w:rsidRPr="00D47037">
        <w:rPr>
          <w:rFonts w:ascii="Times New Roman" w:eastAsia="Times New Roman" w:hAnsi="Times New Roman" w:cs="Times New Roman"/>
          <w:i/>
          <w:iCs/>
        </w:rPr>
        <w:t>shidu</w:t>
      </w:r>
      <w:proofErr w:type="spellEnd"/>
      <w:r w:rsidRPr="00D47037">
        <w:rPr>
          <w:rFonts w:ascii="Times New Roman" w:eastAsia="Times New Roman" w:hAnsi="Times New Roman" w:cs="Times New Roman"/>
          <w:i/>
          <w:iCs/>
        </w:rPr>
        <w:t xml:space="preserve"> </w:t>
      </w:r>
      <w:proofErr w:type="spellStart"/>
      <w:r w:rsidRPr="00D47037">
        <w:rPr>
          <w:rFonts w:ascii="Times New Roman" w:eastAsia="Times New Roman" w:hAnsi="Times New Roman" w:cs="Times New Roman"/>
          <w:i/>
          <w:iCs/>
        </w:rPr>
        <w:t>kuansong</w:t>
      </w:r>
      <w:proofErr w:type="spellEnd"/>
      <w:r w:rsidRPr="00D47037">
        <w:rPr>
          <w:rFonts w:ascii="Times New Roman" w:eastAsia="Times New Roman" w:hAnsi="Times New Roman" w:cs="Times New Roman"/>
        </w:rPr>
        <w:t>) monetary policy initiated in November 2008 to the appropriately loose monetary policy implemented with “better targeting and more flexibility based on changing conditions” in 2010. The central bank followed up by hiking benchmark lending rates and further increasing the required reserve ratio in late 2010 and the first half of 2011, key steps inaugurating a “tight” (</w:t>
      </w:r>
      <w:proofErr w:type="spellStart"/>
      <w:r w:rsidRPr="00D47037">
        <w:rPr>
          <w:rFonts w:ascii="Times New Roman" w:eastAsia="Times New Roman" w:hAnsi="Times New Roman" w:cs="Times New Roman"/>
          <w:i/>
          <w:iCs/>
        </w:rPr>
        <w:t>wenjian</w:t>
      </w:r>
      <w:proofErr w:type="spellEnd"/>
      <w:r w:rsidRPr="00D47037">
        <w:rPr>
          <w:rFonts w:ascii="Times New Roman" w:eastAsia="Times New Roman" w:hAnsi="Times New Roman" w:cs="Times New Roman"/>
        </w:rPr>
        <w:t>) monetary policy</w:t>
      </w:r>
      <w:r w:rsidRPr="00E57993">
        <w:rPr>
          <w:rFonts w:ascii="Times New Roman" w:eastAsia="Times New Roman" w:hAnsi="Times New Roman" w:cs="Times New Roman"/>
        </w:rPr>
        <w:t>.</w:t>
      </w:r>
    </w:p>
    <w:p w14:paraId="10B46B8F" w14:textId="77777777" w:rsidR="002102AC" w:rsidRPr="00D47037" w:rsidRDefault="002102AC" w:rsidP="002102AC">
      <w:pPr>
        <w:spacing w:line="276" w:lineRule="auto"/>
        <w:rPr>
          <w:rFonts w:ascii="Times New Roman" w:eastAsia="Times New Roman" w:hAnsi="Times New Roman" w:cs="Times New Roman"/>
        </w:rPr>
      </w:pPr>
      <w:r w:rsidRPr="00D47037">
        <w:rPr>
          <w:rFonts w:ascii="Times New Roman" w:eastAsia="Times New Roman" w:hAnsi="Times New Roman" w:cs="Times New Roman"/>
        </w:rPr>
        <w:t>The CBRC also took a series of other steps to curtail the expansion of bank credit. In 2008 it had put pressure on banks to increase their minimum bank capital adequacy ratio by 2 percentage points (from 8 to 10 percent) and in late summer 2009, when the commission sought to slow the lending growth, it apparently raised this ratio further, to 12 percent, for selected city commercial banks</w:t>
      </w:r>
      <w:r w:rsidRPr="00E57993">
        <w:rPr>
          <w:rFonts w:ascii="Times New Roman" w:eastAsia="Times New Roman" w:hAnsi="Times New Roman" w:cs="Times New Roman"/>
        </w:rPr>
        <w:t xml:space="preserve">. </w:t>
      </w:r>
      <w:r w:rsidRPr="00D47037">
        <w:rPr>
          <w:rFonts w:ascii="Times New Roman" w:eastAsia="Times New Roman" w:hAnsi="Times New Roman" w:cs="Times New Roman"/>
        </w:rPr>
        <w:t>In August 2009 the commission circulated a draft regulation stating that banks would no longer be able to count subordinated debt and hybrid capital as part of their tier-two capital</w:t>
      </w:r>
      <w:r w:rsidRPr="00E57993">
        <w:rPr>
          <w:rFonts w:ascii="Times New Roman" w:eastAsia="Times New Roman" w:hAnsi="Times New Roman" w:cs="Times New Roman"/>
        </w:rPr>
        <w:t xml:space="preserve">. </w:t>
      </w:r>
      <w:r w:rsidRPr="00D47037">
        <w:rPr>
          <w:rFonts w:ascii="Times New Roman" w:eastAsia="Times New Roman" w:hAnsi="Times New Roman" w:cs="Times New Roman"/>
          <w:position w:val="8"/>
        </w:rPr>
        <w:t xml:space="preserve"> </w:t>
      </w:r>
      <w:r w:rsidRPr="00D47037">
        <w:rPr>
          <w:rFonts w:ascii="Times New Roman" w:eastAsia="Times New Roman" w:hAnsi="Times New Roman" w:cs="Times New Roman"/>
        </w:rPr>
        <w:lastRenderedPageBreak/>
        <w:t>During the lending boom of 2009 banks had kept their capital adequacy ratios from falling sharply by selling large amounts of subordinated debt</w:t>
      </w:r>
      <w:r w:rsidRPr="00E57993">
        <w:rPr>
          <w:rFonts w:ascii="Times New Roman" w:eastAsia="Times New Roman" w:hAnsi="Times New Roman" w:cs="Times New Roman"/>
        </w:rPr>
        <w:t xml:space="preserve">. </w:t>
      </w:r>
      <w:r w:rsidRPr="00D47037">
        <w:rPr>
          <w:rFonts w:ascii="Times New Roman" w:eastAsia="Times New Roman" w:hAnsi="Times New Roman" w:cs="Times New Roman"/>
        </w:rPr>
        <w:t>But over half of the subordinated bonds sold by banks were purchased by other banks. The CBRC recognized that these large cross-holdings of subordinated bank debt did not add any capital to the banking system as a whole, revealing that high capital adequacy ratios reported by individual banks overstated the soundness of the banking system</w:t>
      </w:r>
      <w:r w:rsidRPr="00E57993">
        <w:rPr>
          <w:rFonts w:ascii="Times New Roman" w:eastAsia="Times New Roman" w:hAnsi="Times New Roman" w:cs="Times New Roman"/>
        </w:rPr>
        <w:t>. Thus,</w:t>
      </w:r>
      <w:r w:rsidRPr="00D47037">
        <w:rPr>
          <w:rFonts w:ascii="Times New Roman" w:eastAsia="Times New Roman" w:hAnsi="Times New Roman" w:cs="Times New Roman"/>
        </w:rPr>
        <w:t xml:space="preserve"> the draft regulation restricting the use of subordinated debt was adopted in what the CBRC chairman described as a “historic decision” (Liu </w:t>
      </w:r>
      <w:proofErr w:type="spellStart"/>
      <w:r w:rsidRPr="00D47037">
        <w:rPr>
          <w:rFonts w:ascii="Times New Roman" w:eastAsia="Times New Roman" w:hAnsi="Times New Roman" w:cs="Times New Roman"/>
        </w:rPr>
        <w:t>Mingkang</w:t>
      </w:r>
      <w:proofErr w:type="spellEnd"/>
      <w:r w:rsidRPr="00D47037">
        <w:rPr>
          <w:rFonts w:ascii="Times New Roman" w:eastAsia="Times New Roman" w:hAnsi="Times New Roman" w:cs="Times New Roman"/>
        </w:rPr>
        <w:t xml:space="preserve"> 2010). </w:t>
      </w:r>
    </w:p>
    <w:p w14:paraId="748F019F" w14:textId="77777777" w:rsidR="002102AC" w:rsidRPr="00E57993" w:rsidRDefault="002102AC" w:rsidP="002102AC">
      <w:pPr>
        <w:spacing w:line="276" w:lineRule="auto"/>
        <w:rPr>
          <w:rFonts w:ascii="Times New Roman" w:hAnsi="Times New Roman" w:cs="Times New Roman"/>
          <w:color w:val="000000" w:themeColor="text1"/>
        </w:rPr>
      </w:pPr>
      <w:r w:rsidRPr="00D47037">
        <w:rPr>
          <w:rFonts w:ascii="Times New Roman" w:eastAsia="Times New Roman" w:hAnsi="Times New Roman" w:cs="Times New Roman"/>
        </w:rPr>
        <w:t>Raising the capital adequacy ratio and disallowing subordinated debt as a source of capital meant that banks had to either raise more equity capital or slow down their lending and other activities that require capital backing.</w:t>
      </w:r>
    </w:p>
    <w:p w14:paraId="56EBF81B" w14:textId="77777777" w:rsidR="002102AC" w:rsidRDefault="002102AC" w:rsidP="002102AC">
      <w:pPr>
        <w:spacing w:line="276" w:lineRule="auto"/>
      </w:pPr>
    </w:p>
    <w:sectPr w:rsidR="002102AC" w:rsidSect="007D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4C8F"/>
    <w:multiLevelType w:val="hybridMultilevel"/>
    <w:tmpl w:val="42BA25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1E1438"/>
    <w:multiLevelType w:val="hybridMultilevel"/>
    <w:tmpl w:val="E6E0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A3270"/>
    <w:multiLevelType w:val="hybridMultilevel"/>
    <w:tmpl w:val="E470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3E"/>
    <w:rsid w:val="000138C1"/>
    <w:rsid w:val="00055A7D"/>
    <w:rsid w:val="001169A7"/>
    <w:rsid w:val="001539E4"/>
    <w:rsid w:val="001759C0"/>
    <w:rsid w:val="002102AC"/>
    <w:rsid w:val="002A6DBC"/>
    <w:rsid w:val="002B134A"/>
    <w:rsid w:val="002F5C54"/>
    <w:rsid w:val="00342F6A"/>
    <w:rsid w:val="00374A17"/>
    <w:rsid w:val="003C4253"/>
    <w:rsid w:val="004750EE"/>
    <w:rsid w:val="004C0025"/>
    <w:rsid w:val="005209F4"/>
    <w:rsid w:val="00543413"/>
    <w:rsid w:val="005B447B"/>
    <w:rsid w:val="005D2607"/>
    <w:rsid w:val="005D27FF"/>
    <w:rsid w:val="00632B75"/>
    <w:rsid w:val="0063593E"/>
    <w:rsid w:val="00673BB9"/>
    <w:rsid w:val="006C0F89"/>
    <w:rsid w:val="00711AE9"/>
    <w:rsid w:val="0079104F"/>
    <w:rsid w:val="007B1A8D"/>
    <w:rsid w:val="007D0F75"/>
    <w:rsid w:val="00873DF7"/>
    <w:rsid w:val="008F139D"/>
    <w:rsid w:val="00903D18"/>
    <w:rsid w:val="009B1B04"/>
    <w:rsid w:val="009B62AA"/>
    <w:rsid w:val="00A06FBA"/>
    <w:rsid w:val="00AB2938"/>
    <w:rsid w:val="00AE3DB0"/>
    <w:rsid w:val="00B024F2"/>
    <w:rsid w:val="00B87814"/>
    <w:rsid w:val="00BB5298"/>
    <w:rsid w:val="00C120D2"/>
    <w:rsid w:val="00C64D6D"/>
    <w:rsid w:val="00C80F71"/>
    <w:rsid w:val="00C81026"/>
    <w:rsid w:val="00CA4F05"/>
    <w:rsid w:val="00D8463E"/>
    <w:rsid w:val="00DE114E"/>
    <w:rsid w:val="00E314C3"/>
    <w:rsid w:val="00EE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BCC4"/>
  <w14:defaultImageDpi w14:val="32767"/>
  <w15:chartTrackingRefBased/>
  <w15:docId w15:val="{959F7E1F-2129-D943-89A5-43F33BD3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89"/>
    <w:pPr>
      <w:ind w:left="720"/>
      <w:contextualSpacing/>
    </w:pPr>
  </w:style>
  <w:style w:type="paragraph" w:styleId="BalloonText">
    <w:name w:val="Balloon Text"/>
    <w:basedOn w:val="Normal"/>
    <w:link w:val="BalloonTextChar"/>
    <w:uiPriority w:val="99"/>
    <w:semiHidden/>
    <w:unhideWhenUsed/>
    <w:rsid w:val="008F13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3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40177">
      <w:bodyDiv w:val="1"/>
      <w:marLeft w:val="0"/>
      <w:marRight w:val="0"/>
      <w:marTop w:val="0"/>
      <w:marBottom w:val="0"/>
      <w:divBdr>
        <w:top w:val="none" w:sz="0" w:space="0" w:color="auto"/>
        <w:left w:val="none" w:sz="0" w:space="0" w:color="auto"/>
        <w:bottom w:val="none" w:sz="0" w:space="0" w:color="auto"/>
        <w:right w:val="none" w:sz="0" w:space="0" w:color="auto"/>
      </w:divBdr>
    </w:div>
    <w:div w:id="18673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rc.gov.cn/EngdocView.do?docID=F495CC398DAD4FA4B10B0B25A8BDC9E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investopedia.com/terms/f/foreign-exchange.asp" TargetMode="External"/><Relationship Id="rId4" Type="http://schemas.openxmlformats.org/officeDocument/2006/relationships/webSettings" Target="webSettings.xml"/><Relationship Id="rId9" Type="http://schemas.openxmlformats.org/officeDocument/2006/relationships/hyperlink" Target="https://www.investopedia.com/terms/m/monetarypoli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 Jia Y.</dc:creator>
  <cp:keywords/>
  <dc:description/>
  <cp:lastModifiedBy>Liu, Huanyu H.</cp:lastModifiedBy>
  <cp:revision>3</cp:revision>
  <dcterms:created xsi:type="dcterms:W3CDTF">2019-05-21T05:21:00Z</dcterms:created>
  <dcterms:modified xsi:type="dcterms:W3CDTF">2019-05-21T05:58:00Z</dcterms:modified>
</cp:coreProperties>
</file>