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41A81">
      <w:pPr>
        <w:jc w:val="center"/>
        <w:rPr>
          <w:sz w:val="44"/>
        </w:rPr>
      </w:pPr>
      <w:r>
        <w:rPr>
          <w:rFonts w:ascii="华文中宋" w:hAnsi="华文中宋" w:eastAsia="华文中宋" w:cs="华文中宋"/>
          <w:b/>
          <w:bCs/>
          <w:sz w:val="32"/>
          <w:szCs w:val="32"/>
        </w:rPr>
        <w:t>复旦大学研究生学位论文开题报告记录表</w:t>
      </w:r>
      <w:r>
        <w:rPr>
          <w:rStyle w:val="18"/>
          <w:rFonts w:eastAsia="楷体_GB2312"/>
          <w:sz w:val="28"/>
          <w:szCs w:val="32"/>
        </w:rPr>
        <w:footnoteReference w:id="0"/>
      </w:r>
    </w:p>
    <w:p w14:paraId="08199E62">
      <w:pPr>
        <w:rPr>
          <w:rFonts w:ascii="黑体;SimHei" w:hAnsi="黑体;SimHei" w:eastAsia="黑体;SimHei" w:cs="黑体;SimHei"/>
          <w:b/>
          <w:sz w:val="24"/>
        </w:rPr>
      </w:pPr>
      <w:r>
        <w:rPr>
          <w:rFonts w:ascii="黑体;SimHei" w:hAnsi="黑体;SimHei" w:eastAsia="黑体;SimHei" w:cs="黑体;SimHei"/>
          <w:b/>
          <w:sz w:val="24"/>
        </w:rPr>
        <w:t>一、基本信息</w:t>
      </w:r>
    </w:p>
    <w:tbl>
      <w:tblPr>
        <w:tblStyle w:val="13"/>
        <w:tblW w:w="525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280"/>
        <w:gridCol w:w="988"/>
        <w:gridCol w:w="1314"/>
        <w:gridCol w:w="493"/>
        <w:gridCol w:w="962"/>
        <w:gridCol w:w="905"/>
        <w:gridCol w:w="351"/>
        <w:gridCol w:w="22"/>
        <w:gridCol w:w="3570"/>
      </w:tblGrid>
      <w:tr w14:paraId="2D5DC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347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</w:tcPr>
          <w:p w14:paraId="59DDCF12">
            <w:pPr>
              <w:pStyle w:val="33"/>
              <w:spacing w:line="300" w:lineRule="auto"/>
              <w:ind w:firstLine="0"/>
              <w:jc w:val="left"/>
              <w:rPr>
                <w:rFonts w:ascii="黑体;SimHei" w:hAnsi="黑体;SimHei" w:eastAsia="黑体;SimHei" w:cs="黑体;SimHei"/>
              </w:rPr>
            </w:pPr>
            <w:r>
              <w:rPr>
                <w:rFonts w:ascii="黑体;SimHei" w:hAnsi="黑体;SimHei" w:eastAsia="黑体;SimHei" w:cs="黑体;SimHei"/>
              </w:rPr>
              <w:t>（一）学生基本信息</w:t>
            </w:r>
          </w:p>
        </w:tc>
      </w:tr>
      <w:tr w14:paraId="072E6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46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848D6">
            <w:pPr>
              <w:pStyle w:val="33"/>
              <w:spacing w:line="300" w:lineRule="auto"/>
              <w:ind w:firstLine="0"/>
              <w:jc w:val="center"/>
              <w:rPr>
                <w:rFonts w:ascii="楷体" w:hAnsi="楷体" w:eastAsia="楷体" w:cs="楷体"/>
              </w:rPr>
            </w:pPr>
            <w:r>
              <w:rPr>
                <w:rFonts w:ascii="楷体" w:hAnsi="楷体" w:eastAsia="楷体" w:cs="楷体"/>
                <w:sz w:val="24"/>
                <w:szCs w:val="32"/>
              </w:rPr>
              <w:t>姓    名</w:t>
            </w:r>
          </w:p>
        </w:tc>
        <w:tc>
          <w:tcPr>
            <w:tcW w:w="30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ED937">
            <w:pPr>
              <w:pStyle w:val="33"/>
              <w:snapToGrid w:val="0"/>
              <w:spacing w:line="300" w:lineRule="auto"/>
              <w:ind w:firstLine="0"/>
              <w:jc w:val="center"/>
              <w:rPr>
                <w:rFonts w:ascii="楷体" w:hAnsi="楷体" w:eastAsia="楷体_GB2312" w:cs="楷体"/>
              </w:rPr>
            </w:pPr>
            <w:r>
              <w:rPr>
                <w:rFonts w:hint="eastAsia" w:ascii="楷体" w:hAnsi="楷体" w:eastAsia="楷体_GB2312" w:cs="楷体"/>
              </w:rPr>
              <w:t>曹华琦</w:t>
            </w:r>
          </w:p>
        </w:tc>
        <w:tc>
          <w:tcPr>
            <w:tcW w:w="22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0FD18C">
            <w:pPr>
              <w:pStyle w:val="33"/>
              <w:spacing w:line="300" w:lineRule="auto"/>
              <w:ind w:firstLine="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学    号</w:t>
            </w:r>
          </w:p>
        </w:tc>
        <w:tc>
          <w:tcPr>
            <w:tcW w:w="3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4EE6CC0A">
            <w:pPr>
              <w:pStyle w:val="33"/>
              <w:snapToGrid w:val="0"/>
              <w:spacing w:line="300" w:lineRule="auto"/>
              <w:ind w:firstLine="0"/>
              <w:jc w:val="center"/>
              <w:rPr>
                <w:rFonts w:ascii="楷体" w:hAnsi="楷体" w:eastAsia="楷体_GB2312" w:cs="楷体"/>
                <w:sz w:val="24"/>
              </w:rPr>
            </w:pPr>
            <w:r>
              <w:rPr>
                <w:rFonts w:eastAsia="楷体_GB2312"/>
                <w:sz w:val="24"/>
              </w:rPr>
              <w:t>24210200001</w:t>
            </w:r>
          </w:p>
        </w:tc>
      </w:tr>
      <w:tr w14:paraId="7CEED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46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5DE55">
            <w:pPr>
              <w:pStyle w:val="33"/>
              <w:spacing w:line="300" w:lineRule="auto"/>
              <w:ind w:firstLine="0"/>
              <w:jc w:val="center"/>
              <w:rPr>
                <w:rFonts w:ascii="楷体" w:hAnsi="楷体" w:eastAsia="楷体" w:cs="楷体"/>
              </w:rPr>
            </w:pPr>
            <w:r>
              <w:rPr>
                <w:rFonts w:ascii="楷体" w:hAnsi="楷体" w:eastAsia="楷体" w:cs="楷体"/>
                <w:sz w:val="24"/>
                <w:szCs w:val="32"/>
              </w:rPr>
              <w:t>院    系</w:t>
            </w:r>
          </w:p>
        </w:tc>
        <w:tc>
          <w:tcPr>
            <w:tcW w:w="30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F1813">
            <w:pPr>
              <w:pStyle w:val="33"/>
              <w:snapToGrid w:val="0"/>
              <w:spacing w:line="300" w:lineRule="auto"/>
              <w:ind w:firstLine="0"/>
              <w:jc w:val="center"/>
              <w:rPr>
                <w:rFonts w:ascii="楷体" w:hAnsi="楷体" w:eastAsia="楷体_GB2312" w:cs="楷体"/>
              </w:rPr>
            </w:pPr>
            <w:r>
              <w:rPr>
                <w:rFonts w:hint="eastAsia" w:ascii="楷体" w:hAnsi="楷体" w:eastAsia="楷体_GB2312" w:cs="楷体"/>
              </w:rPr>
              <w:t>现代物理研究所</w:t>
            </w:r>
          </w:p>
        </w:tc>
        <w:tc>
          <w:tcPr>
            <w:tcW w:w="22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3B8FC1">
            <w:pPr>
              <w:pStyle w:val="33"/>
              <w:spacing w:line="300" w:lineRule="auto"/>
              <w:ind w:firstLine="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培养层次</w:t>
            </w:r>
          </w:p>
        </w:tc>
        <w:tc>
          <w:tcPr>
            <w:tcW w:w="3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0106CCE3">
            <w:pPr>
              <w:pStyle w:val="33"/>
              <w:snapToGrid w:val="0"/>
              <w:spacing w:line="300" w:lineRule="auto"/>
              <w:ind w:firstLine="0"/>
              <w:jc w:val="center"/>
              <w:rPr>
                <w:rFonts w:ascii="楷体" w:hAnsi="楷体" w:eastAsia="楷体_GB2312" w:cs="楷体"/>
                <w:sz w:val="24"/>
              </w:rPr>
            </w:pPr>
            <w:r>
              <w:rPr>
                <w:rFonts w:hint="eastAsia" w:ascii="楷体" w:hAnsi="楷体" w:eastAsia="楷体_GB2312" w:cs="楷体"/>
                <w:sz w:val="24"/>
              </w:rPr>
              <w:t>普通硕士</w:t>
            </w:r>
          </w:p>
        </w:tc>
      </w:tr>
      <w:tr w14:paraId="0CF75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46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DDEF5E">
            <w:pPr>
              <w:pStyle w:val="33"/>
              <w:spacing w:line="300" w:lineRule="auto"/>
              <w:ind w:firstLine="0"/>
              <w:jc w:val="center"/>
              <w:rPr>
                <w:rFonts w:ascii="楷体" w:hAnsi="楷体" w:eastAsia="楷体" w:cs="楷体"/>
                <w:sz w:val="24"/>
                <w:szCs w:val="32"/>
              </w:rPr>
            </w:pPr>
            <w:r>
              <w:rPr>
                <w:rFonts w:ascii="楷体" w:hAnsi="楷体" w:eastAsia="楷体" w:cs="楷体"/>
                <w:sz w:val="24"/>
                <w:szCs w:val="32"/>
              </w:rPr>
              <w:t>学位类型</w:t>
            </w:r>
          </w:p>
        </w:tc>
        <w:tc>
          <w:tcPr>
            <w:tcW w:w="30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4D9C3">
            <w:pPr>
              <w:pStyle w:val="33"/>
              <w:snapToGrid w:val="0"/>
              <w:spacing w:line="300" w:lineRule="auto"/>
              <w:ind w:firstLine="0"/>
              <w:jc w:val="center"/>
              <w:rPr>
                <w:rFonts w:ascii="楷体" w:hAnsi="楷体" w:eastAsia="楷体_GB2312" w:cs="楷体"/>
                <w:sz w:val="24"/>
                <w:szCs w:val="32"/>
              </w:rPr>
            </w:pPr>
            <w:r>
              <w:rPr>
                <w:rFonts w:hint="eastAsia" w:ascii="楷体" w:hAnsi="楷体" w:eastAsia="楷体_GB2312" w:cs="楷体"/>
                <w:sz w:val="24"/>
                <w:szCs w:val="32"/>
              </w:rPr>
              <w:t>硕士</w:t>
            </w:r>
          </w:p>
        </w:tc>
        <w:tc>
          <w:tcPr>
            <w:tcW w:w="22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930E58">
            <w:pPr>
              <w:pStyle w:val="33"/>
              <w:spacing w:line="300" w:lineRule="auto"/>
              <w:ind w:firstLine="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入学方式</w:t>
            </w:r>
          </w:p>
        </w:tc>
        <w:tc>
          <w:tcPr>
            <w:tcW w:w="3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0C9A0D27">
            <w:pPr>
              <w:pStyle w:val="33"/>
              <w:snapToGrid w:val="0"/>
              <w:spacing w:line="300" w:lineRule="auto"/>
              <w:ind w:firstLine="0"/>
              <w:jc w:val="center"/>
              <w:rPr>
                <w:rFonts w:ascii="楷体" w:hAnsi="楷体" w:eastAsia="楷体_GB2312" w:cs="楷体"/>
                <w:sz w:val="24"/>
              </w:rPr>
            </w:pPr>
            <w:r>
              <w:rPr>
                <w:rFonts w:hint="eastAsia" w:ascii="楷体" w:hAnsi="楷体" w:eastAsia="楷体_GB2312" w:cs="楷体"/>
                <w:sz w:val="24"/>
              </w:rPr>
              <w:t>推免</w:t>
            </w:r>
          </w:p>
        </w:tc>
      </w:tr>
      <w:tr w14:paraId="64146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46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75AA1">
            <w:pPr>
              <w:pStyle w:val="33"/>
              <w:spacing w:line="300" w:lineRule="auto"/>
              <w:ind w:firstLine="0"/>
              <w:jc w:val="center"/>
              <w:rPr>
                <w:rFonts w:ascii="楷体" w:hAnsi="楷体" w:eastAsia="楷体" w:cs="楷体"/>
              </w:rPr>
            </w:pPr>
            <w:r>
              <w:rPr>
                <w:rFonts w:ascii="楷体" w:hAnsi="楷体" w:eastAsia="楷体" w:cs="楷体"/>
                <w:sz w:val="24"/>
                <w:szCs w:val="32"/>
              </w:rPr>
              <w:t>专    业</w:t>
            </w:r>
          </w:p>
        </w:tc>
        <w:tc>
          <w:tcPr>
            <w:tcW w:w="30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C9028">
            <w:pPr>
              <w:pStyle w:val="33"/>
              <w:snapToGrid w:val="0"/>
              <w:spacing w:line="300" w:lineRule="auto"/>
              <w:ind w:firstLine="0"/>
              <w:jc w:val="center"/>
              <w:rPr>
                <w:rFonts w:ascii="楷体" w:hAnsi="楷体" w:eastAsia="楷体_GB2312" w:cs="楷体"/>
              </w:rPr>
            </w:pPr>
            <w:r>
              <w:rPr>
                <w:rFonts w:hint="eastAsia" w:ascii="楷体" w:hAnsi="楷体" w:eastAsia="楷体_GB2312" w:cs="楷体"/>
              </w:rPr>
              <w:t>粒子物理与原子核物理</w:t>
            </w:r>
          </w:p>
        </w:tc>
        <w:tc>
          <w:tcPr>
            <w:tcW w:w="22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E314D0">
            <w:pPr>
              <w:pStyle w:val="33"/>
              <w:spacing w:line="300" w:lineRule="auto"/>
              <w:ind w:firstLine="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研究方向</w:t>
            </w:r>
          </w:p>
        </w:tc>
        <w:tc>
          <w:tcPr>
            <w:tcW w:w="3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79A257EF">
            <w:pPr>
              <w:pStyle w:val="33"/>
              <w:snapToGrid w:val="0"/>
              <w:spacing w:line="300" w:lineRule="auto"/>
              <w:ind w:firstLine="0"/>
              <w:jc w:val="center"/>
              <w:rPr>
                <w:rFonts w:hint="eastAsia" w:ascii="楷体" w:hAnsi="楷体" w:eastAsia="楷体_GB2312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_GB2312" w:cs="楷体"/>
                <w:sz w:val="24"/>
              </w:rPr>
              <w:t>无中微子双贝塔衰变</w:t>
            </w:r>
            <w:r>
              <w:rPr>
                <w:rFonts w:hint="eastAsia" w:ascii="楷体" w:hAnsi="楷体" w:eastAsia="楷体_GB2312" w:cs="楷体"/>
                <w:sz w:val="24"/>
                <w:lang w:val="en-US" w:eastAsia="zh-CN"/>
              </w:rPr>
              <w:t>实验</w:t>
            </w:r>
          </w:p>
        </w:tc>
      </w:tr>
      <w:tr w14:paraId="648C8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46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A67888">
            <w:pPr>
              <w:pStyle w:val="33"/>
              <w:spacing w:line="300" w:lineRule="auto"/>
              <w:ind w:firstLine="0"/>
              <w:jc w:val="center"/>
              <w:rPr>
                <w:rFonts w:ascii="楷体" w:hAnsi="楷体" w:eastAsia="楷体" w:cs="楷体"/>
                <w:sz w:val="24"/>
                <w:szCs w:val="32"/>
              </w:rPr>
            </w:pPr>
            <w:r>
              <w:rPr>
                <w:rFonts w:ascii="楷体" w:hAnsi="楷体" w:eastAsia="楷体" w:cs="楷体"/>
                <w:sz w:val="24"/>
                <w:szCs w:val="32"/>
              </w:rPr>
              <w:t>导    师</w:t>
            </w:r>
          </w:p>
        </w:tc>
        <w:tc>
          <w:tcPr>
            <w:tcW w:w="30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AE9F3">
            <w:pPr>
              <w:pStyle w:val="33"/>
              <w:snapToGrid w:val="0"/>
              <w:spacing w:line="300" w:lineRule="auto"/>
              <w:ind w:firstLine="0"/>
              <w:jc w:val="center"/>
              <w:rPr>
                <w:rFonts w:ascii="楷体" w:hAnsi="楷体" w:eastAsia="楷体_GB2312" w:cs="楷体"/>
                <w:sz w:val="24"/>
                <w:szCs w:val="32"/>
              </w:rPr>
            </w:pPr>
            <w:r>
              <w:rPr>
                <w:rFonts w:hint="eastAsia" w:ascii="楷体" w:hAnsi="楷体" w:eastAsia="楷体_GB2312" w:cs="楷体"/>
                <w:sz w:val="24"/>
                <w:szCs w:val="32"/>
              </w:rPr>
              <w:t>马龙</w:t>
            </w:r>
          </w:p>
        </w:tc>
        <w:tc>
          <w:tcPr>
            <w:tcW w:w="22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9DE25F">
            <w:pPr>
              <w:pStyle w:val="33"/>
              <w:spacing w:line="300" w:lineRule="auto"/>
              <w:ind w:firstLine="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资格考试通过日期</w:t>
            </w:r>
          </w:p>
        </w:tc>
        <w:tc>
          <w:tcPr>
            <w:tcW w:w="3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0F024137">
            <w:pPr>
              <w:pStyle w:val="33"/>
              <w:spacing w:line="300" w:lineRule="auto"/>
              <w:ind w:firstLine="0"/>
              <w:rPr>
                <w:rFonts w:eastAsia="楷体_GB2312"/>
                <w:color w:val="AEAAAA"/>
              </w:rPr>
            </w:pPr>
            <w:r>
              <w:rPr>
                <w:rFonts w:eastAsia="楷体_GB2312"/>
                <w:color w:val="AEAAAA"/>
              </w:rPr>
              <w:t>硕士生不必填写</w:t>
            </w:r>
          </w:p>
        </w:tc>
      </w:tr>
      <w:tr w14:paraId="5C982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46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7D4806EF">
            <w:pPr>
              <w:pStyle w:val="33"/>
              <w:spacing w:line="300" w:lineRule="auto"/>
              <w:ind w:firstLine="0"/>
              <w:jc w:val="center"/>
              <w:rPr>
                <w:rFonts w:ascii="楷体" w:hAnsi="楷体" w:eastAsia="楷体" w:cs="楷体"/>
                <w:sz w:val="24"/>
                <w:szCs w:val="32"/>
              </w:rPr>
            </w:pPr>
            <w:r>
              <w:rPr>
                <w:rFonts w:ascii="楷体" w:hAnsi="楷体" w:eastAsia="楷体" w:cs="楷体"/>
                <w:sz w:val="24"/>
              </w:rPr>
              <w:t>联系电话</w:t>
            </w:r>
          </w:p>
        </w:tc>
        <w:tc>
          <w:tcPr>
            <w:tcW w:w="30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</w:tcPr>
          <w:p w14:paraId="4F3EFAFB">
            <w:pPr>
              <w:pStyle w:val="33"/>
              <w:snapToGrid w:val="0"/>
              <w:spacing w:line="300" w:lineRule="auto"/>
              <w:ind w:firstLine="0"/>
              <w:jc w:val="center"/>
              <w:rPr>
                <w:rFonts w:ascii="楷体" w:hAnsi="楷体" w:eastAsia="楷体_GB2312" w:cs="楷体"/>
                <w:sz w:val="24"/>
                <w:szCs w:val="32"/>
              </w:rPr>
            </w:pPr>
            <w:r>
              <w:rPr>
                <w:rFonts w:eastAsia="楷体_GB2312"/>
                <w:sz w:val="24"/>
                <w:szCs w:val="32"/>
              </w:rPr>
              <w:t>18636348272</w:t>
            </w:r>
          </w:p>
        </w:tc>
        <w:tc>
          <w:tcPr>
            <w:tcW w:w="22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3E2F4846">
            <w:pPr>
              <w:pStyle w:val="33"/>
              <w:spacing w:line="300" w:lineRule="auto"/>
              <w:ind w:firstLine="0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电子邮箱</w:t>
            </w:r>
          </w:p>
        </w:tc>
        <w:tc>
          <w:tcPr>
            <w:tcW w:w="357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</w:tcPr>
          <w:p w14:paraId="36F47E25">
            <w:pPr>
              <w:pStyle w:val="33"/>
              <w:snapToGrid w:val="0"/>
              <w:spacing w:line="300" w:lineRule="auto"/>
              <w:ind w:firstLine="0"/>
              <w:jc w:val="center"/>
              <w:rPr>
                <w:rFonts w:ascii="楷体" w:hAnsi="楷体" w:eastAsia="楷体_GB2312" w:cs="楷体"/>
                <w:color w:val="5B9BD5"/>
                <w:sz w:val="13"/>
              </w:rPr>
            </w:pPr>
            <w:r>
              <w:rPr>
                <w:rFonts w:eastAsia="楷体_GB2312"/>
                <w:color w:val="5B9BD5"/>
                <w:sz w:val="20"/>
                <w:szCs w:val="40"/>
              </w:rPr>
              <w:t>24210200001@m.fudan.edu.cn</w:t>
            </w:r>
          </w:p>
        </w:tc>
      </w:tr>
      <w:tr w14:paraId="5CC7E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0347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</w:tcPr>
          <w:p w14:paraId="551D36B0">
            <w:pPr>
              <w:pStyle w:val="33"/>
              <w:spacing w:line="300" w:lineRule="auto"/>
              <w:ind w:firstLine="0"/>
              <w:jc w:val="left"/>
              <w:rPr>
                <w:rFonts w:ascii="黑体;SimHei" w:hAnsi="黑体;SimHei" w:eastAsia="黑体;SimHei" w:cs="黑体;SimHei"/>
              </w:rPr>
            </w:pPr>
            <w:r>
              <w:rPr>
                <w:rFonts w:ascii="黑体;SimHei" w:hAnsi="黑体;SimHei" w:eastAsia="黑体;SimHei" w:cs="黑体;SimHei"/>
              </w:rPr>
              <w:t>（二）开题报告基本信息</w:t>
            </w:r>
          </w:p>
        </w:tc>
      </w:tr>
      <w:tr w14:paraId="1A509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786" w:type="dxa"/>
            <w:gridSpan w:val="2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7CD85A7E">
            <w:pPr>
              <w:pStyle w:val="33"/>
              <w:spacing w:line="300" w:lineRule="auto"/>
              <w:ind w:firstLine="0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开题报告次数</w:t>
            </w:r>
          </w:p>
        </w:tc>
        <w:tc>
          <w:tcPr>
            <w:tcW w:w="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14884A">
            <w:pPr>
              <w:pStyle w:val="33"/>
              <w:spacing w:line="300" w:lineRule="auto"/>
              <w:ind w:firstLine="0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2"/>
              </w:rPr>
              <w:t>第</w:t>
            </w:r>
            <w:r>
              <w:rPr>
                <w:rFonts w:hint="eastAsia" w:ascii="楷体" w:hAnsi="楷体" w:eastAsia="楷体" w:cs="楷体"/>
                <w:sz w:val="22"/>
                <w:u w:val="single"/>
              </w:rPr>
              <w:t xml:space="preserve"> 1</w:t>
            </w:r>
            <w:r>
              <w:rPr>
                <w:rFonts w:ascii="楷体" w:hAnsi="楷体" w:eastAsia="楷体" w:cs="楷体"/>
                <w:sz w:val="22"/>
              </w:rPr>
              <w:t>次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D43BF">
            <w:pPr>
              <w:pStyle w:val="33"/>
              <w:spacing w:line="300" w:lineRule="auto"/>
              <w:ind w:firstLine="0"/>
              <w:jc w:val="left"/>
              <w:rPr>
                <w:rFonts w:ascii="楷体" w:hAnsi="楷体" w:eastAsia="楷体" w:cs="楷体"/>
              </w:rPr>
            </w:pPr>
            <w:r>
              <w:rPr>
                <w:rFonts w:ascii="楷体" w:hAnsi="楷体" w:eastAsia="楷体" w:cs="楷体"/>
                <w:sz w:val="24"/>
              </w:rPr>
              <w:t>开题时间</w:t>
            </w:r>
          </w:p>
        </w:tc>
        <w:tc>
          <w:tcPr>
            <w:tcW w:w="15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DCA718">
            <w:pPr>
              <w:pStyle w:val="33"/>
              <w:snapToGrid w:val="0"/>
              <w:spacing w:line="300" w:lineRule="auto"/>
              <w:ind w:firstLine="0"/>
              <w:jc w:val="left"/>
              <w:rPr>
                <w:rFonts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2025.12.02</w:t>
            </w:r>
          </w:p>
        </w:tc>
        <w:tc>
          <w:tcPr>
            <w:tcW w:w="12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2F9BD">
            <w:pPr>
              <w:pStyle w:val="33"/>
              <w:spacing w:line="300" w:lineRule="auto"/>
              <w:ind w:firstLine="0"/>
              <w:rPr>
                <w:rFonts w:ascii="楷体" w:hAnsi="楷体" w:eastAsia="楷体" w:cs="楷体"/>
              </w:rPr>
            </w:pPr>
            <w:r>
              <w:rPr>
                <w:rFonts w:ascii="楷体" w:hAnsi="楷体" w:eastAsia="楷体" w:cs="楷体"/>
                <w:sz w:val="24"/>
              </w:rPr>
              <w:t>开题地点</w:t>
            </w:r>
          </w:p>
        </w:tc>
        <w:tc>
          <w:tcPr>
            <w:tcW w:w="34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6133C670">
            <w:pPr>
              <w:pStyle w:val="33"/>
              <w:snapToGrid w:val="0"/>
              <w:spacing w:line="300" w:lineRule="auto"/>
              <w:ind w:firstLine="0"/>
              <w:jc w:val="center"/>
              <w:rPr>
                <w:rFonts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现物所西北小楼203会议室</w:t>
            </w:r>
          </w:p>
        </w:tc>
      </w:tr>
      <w:tr w14:paraId="75346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B3C679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论文题目</w:t>
            </w:r>
          </w:p>
        </w:tc>
        <w:tc>
          <w:tcPr>
            <w:tcW w:w="762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08D1D711">
            <w:pPr>
              <w:snapToGrid w:val="0"/>
              <w:spacing w:line="300" w:lineRule="auto"/>
              <w:rPr>
                <w:rFonts w:ascii="楷体" w:hAnsi="楷体" w:eastAsia="楷体_GB2312" w:cs="楷体"/>
                <w:sz w:val="24"/>
              </w:rPr>
            </w:pPr>
            <w:r>
              <w:rPr>
                <w:rFonts w:hint="eastAsia" w:ascii="楷体" w:hAnsi="楷体" w:eastAsia="楷体_GB2312" w:cs="楷体"/>
                <w:sz w:val="24"/>
              </w:rPr>
              <w:t>低温晶体量热器系统减振研究</w:t>
            </w:r>
          </w:p>
        </w:tc>
      </w:tr>
      <w:tr w14:paraId="0F35C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76B15160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所属学科、专业</w:t>
            </w:r>
          </w:p>
        </w:tc>
        <w:tc>
          <w:tcPr>
            <w:tcW w:w="762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0B8BD9F9">
            <w:pPr>
              <w:snapToGrid w:val="0"/>
              <w:spacing w:line="300" w:lineRule="auto"/>
              <w:rPr>
                <w:rFonts w:ascii="楷体" w:hAnsi="楷体" w:eastAsia="楷体_GB2312" w:cs="楷体"/>
                <w:sz w:val="24"/>
              </w:rPr>
            </w:pPr>
            <w:r>
              <w:rPr>
                <w:rFonts w:hint="eastAsia" w:ascii="楷体" w:hAnsi="楷体" w:eastAsia="楷体_GB2312" w:cs="楷体"/>
              </w:rPr>
              <w:t>粒子物理与原子核物理</w:t>
            </w:r>
          </w:p>
        </w:tc>
      </w:tr>
      <w:tr w14:paraId="28EC9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72A04">
            <w:pPr>
              <w:spacing w:line="300" w:lineRule="auto"/>
            </w:pPr>
            <w:r>
              <w:rPr>
                <w:rFonts w:ascii="楷体" w:hAnsi="楷体" w:eastAsia="楷体" w:cs="楷体"/>
                <w:sz w:val="24"/>
              </w:rPr>
              <w:t>选题来源</w:t>
            </w:r>
          </w:p>
        </w:tc>
        <w:tc>
          <w:tcPr>
            <w:tcW w:w="762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5C93B0A5">
            <w:pPr>
              <w:snapToGrid w:val="0"/>
              <w:spacing w:line="300" w:lineRule="auto"/>
              <w:rPr>
                <w:rFonts w:ascii="楷体" w:hAnsi="楷体" w:eastAsia="楷体_GB2312" w:cs="楷体"/>
                <w:sz w:val="24"/>
              </w:rPr>
            </w:pPr>
            <w:r>
              <w:rPr>
                <w:rFonts w:hint="eastAsia" w:ascii="楷体" w:hAnsi="楷体" w:eastAsia="楷体_GB2312" w:cs="楷体"/>
                <w:sz w:val="24"/>
              </w:rPr>
              <w:t>导师</w:t>
            </w:r>
          </w:p>
        </w:tc>
      </w:tr>
      <w:tr w14:paraId="2F07F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0347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</w:tcPr>
          <w:p w14:paraId="178D9E8B">
            <w:pPr>
              <w:spacing w:line="300" w:lineRule="auto"/>
              <w:jc w:val="left"/>
              <w:rPr>
                <w:rFonts w:ascii="黑体;SimHei" w:hAnsi="黑体;SimHei" w:eastAsia="黑体;SimHei" w:cs="黑体;SimHei"/>
              </w:rPr>
            </w:pPr>
            <w:r>
              <w:rPr>
                <w:rFonts w:ascii="黑体;SimHei" w:hAnsi="黑体;SimHei" w:eastAsia="黑体;SimHei" w:cs="黑体;SimHei"/>
              </w:rPr>
              <w:t>（三）参加学位论文开题报告的专家信息</w:t>
            </w:r>
          </w:p>
        </w:tc>
      </w:tr>
      <w:tr w14:paraId="7D7A6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5EC8550D">
            <w:pPr>
              <w:spacing w:line="300" w:lineRule="auto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姓名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3AB3D">
            <w:pPr>
              <w:spacing w:line="300" w:lineRule="auto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职称</w:t>
            </w:r>
          </w:p>
        </w:tc>
        <w:tc>
          <w:tcPr>
            <w:tcW w:w="235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D22FE">
            <w:pPr>
              <w:spacing w:line="300" w:lineRule="auto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学科、专业</w:t>
            </w:r>
          </w:p>
        </w:tc>
        <w:tc>
          <w:tcPr>
            <w:tcW w:w="39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01B45054">
            <w:pPr>
              <w:spacing w:line="300" w:lineRule="auto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工作单位</w:t>
            </w:r>
          </w:p>
        </w:tc>
      </w:tr>
      <w:tr w14:paraId="1C447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5C1FDCD3">
            <w:pPr>
              <w:spacing w:line="300" w:lineRule="auto"/>
              <w:jc w:val="center"/>
              <w:rPr>
                <w:rFonts w:ascii="楷体" w:hAnsi="楷体" w:eastAsia="楷体_GB2312" w:cs="楷体"/>
                <w:sz w:val="24"/>
              </w:rPr>
            </w:pPr>
            <w:r>
              <w:rPr>
                <w:rFonts w:hint="eastAsia" w:eastAsia="楷体_GB2312"/>
              </w:rPr>
              <w:t>严力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76025">
            <w:pPr>
              <w:spacing w:line="300" w:lineRule="auto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青年研究员</w:t>
            </w:r>
          </w:p>
        </w:tc>
        <w:tc>
          <w:tcPr>
            <w:tcW w:w="235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04EF3">
            <w:pPr>
              <w:spacing w:line="300" w:lineRule="auto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粒子物理与原子核物理</w:t>
            </w:r>
          </w:p>
        </w:tc>
        <w:tc>
          <w:tcPr>
            <w:tcW w:w="39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65417C25">
            <w:pPr>
              <w:spacing w:line="300" w:lineRule="auto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复旦大学现代物理研究所</w:t>
            </w:r>
          </w:p>
        </w:tc>
      </w:tr>
      <w:tr w14:paraId="059D3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097B402B">
            <w:pPr>
              <w:spacing w:line="300" w:lineRule="auto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严亮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95D14">
            <w:pPr>
              <w:spacing w:line="300" w:lineRule="auto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青年研究员</w:t>
            </w:r>
          </w:p>
        </w:tc>
        <w:tc>
          <w:tcPr>
            <w:tcW w:w="235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4AF97">
            <w:pPr>
              <w:spacing w:line="300" w:lineRule="auto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粒子物理与原子核物理</w:t>
            </w:r>
          </w:p>
        </w:tc>
        <w:tc>
          <w:tcPr>
            <w:tcW w:w="39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06E12035">
            <w:pPr>
              <w:spacing w:line="300" w:lineRule="auto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复旦大学现代物理研究所</w:t>
            </w:r>
          </w:p>
        </w:tc>
      </w:tr>
      <w:tr w14:paraId="57B3C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7B62E29F">
            <w:pPr>
              <w:spacing w:line="300" w:lineRule="auto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马龙</w:t>
            </w: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CF22A">
            <w:pPr>
              <w:spacing w:line="300" w:lineRule="auto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青年研究员</w:t>
            </w:r>
          </w:p>
        </w:tc>
        <w:tc>
          <w:tcPr>
            <w:tcW w:w="235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02E73C">
            <w:pPr>
              <w:spacing w:line="300" w:lineRule="auto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粒子物理与原子核物理</w:t>
            </w:r>
          </w:p>
        </w:tc>
        <w:tc>
          <w:tcPr>
            <w:tcW w:w="39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5D6DC88E">
            <w:pPr>
              <w:spacing w:line="300" w:lineRule="auto"/>
              <w:jc w:val="center"/>
              <w:rPr>
                <w:rFonts w:eastAsia="楷体_GB2312"/>
              </w:rPr>
            </w:pPr>
            <w:r>
              <w:rPr>
                <w:rFonts w:hint="eastAsia" w:eastAsia="楷体_GB2312"/>
              </w:rPr>
              <w:t>复旦大学现代物理研究所</w:t>
            </w:r>
          </w:p>
        </w:tc>
      </w:tr>
      <w:tr w14:paraId="77C5C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280C6338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720CC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235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240ED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39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7C417F83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</w:tr>
      <w:tr w14:paraId="2AE87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7957CEB3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19F0A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235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F1FC5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39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7B5299EF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</w:tr>
      <w:tr w14:paraId="4D596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32201AF6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72098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235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A16CC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39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10F97710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</w:tr>
      <w:tr w14:paraId="3AFB7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7A508688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5F8D4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235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7CCBB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39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72261B8A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</w:tr>
      <w:tr w14:paraId="1E55C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5BE1CAF9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4AC72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235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C839CC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39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3F5E43A4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</w:tr>
      <w:tr w14:paraId="00426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5CDE3D36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F313C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235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0A4DD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39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29717280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</w:tr>
      <w:tr w14:paraId="71E98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0E3DBB65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AD2E1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235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8EAFE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  <w:tc>
          <w:tcPr>
            <w:tcW w:w="39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45ABFBD9">
            <w:pPr>
              <w:snapToGrid w:val="0"/>
              <w:spacing w:line="300" w:lineRule="auto"/>
              <w:rPr>
                <w:rFonts w:eastAsia="楷体_GB2312"/>
              </w:rPr>
            </w:pPr>
          </w:p>
        </w:tc>
      </w:tr>
      <w:tr w14:paraId="2F804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10347" w:type="dxa"/>
            <w:gridSpan w:val="10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</w:tcPr>
          <w:p w14:paraId="278835AF">
            <w:pPr>
              <w:spacing w:line="300" w:lineRule="auto"/>
              <w:jc w:val="left"/>
              <w:rPr>
                <w:rFonts w:eastAsia="楷体_GB2312"/>
                <w:b/>
              </w:rPr>
            </w:pPr>
            <w:r>
              <w:rPr>
                <w:rFonts w:ascii="黑体;SimHei" w:hAnsi="黑体;SimHei" w:eastAsia="黑体;SimHei" w:cs="黑体;SimHei"/>
                <w:b/>
              </w:rPr>
              <w:t>（四）院系意见</w:t>
            </w:r>
          </w:p>
        </w:tc>
      </w:tr>
      <w:tr w14:paraId="6AD79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67C348BB">
            <w:pPr>
              <w:spacing w:line="300" w:lineRule="auto"/>
              <w:jc w:val="left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开题结果评定等级</w:t>
            </w:r>
          </w:p>
        </w:tc>
        <w:tc>
          <w:tcPr>
            <w:tcW w:w="762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</w:tcPr>
          <w:p w14:paraId="49CA2418">
            <w:pPr>
              <w:spacing w:line="300" w:lineRule="auto"/>
              <w:jc w:val="left"/>
            </w:pPr>
            <w:r>
              <w:rPr>
                <w:rFonts w:eastAsia="楷体_GB2312"/>
              </w:rPr>
              <w:t>通过/不通过</w:t>
            </w:r>
          </w:p>
        </w:tc>
      </w:tr>
      <w:tr w14:paraId="5CA63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  <w:jc w:val="center"/>
        </w:trPr>
        <w:tc>
          <w:tcPr>
            <w:tcW w:w="2725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</w:tcPr>
          <w:p w14:paraId="6BE43001">
            <w:pPr>
              <w:spacing w:line="300" w:lineRule="auto"/>
              <w:jc w:val="left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不通过的处理意见</w:t>
            </w:r>
          </w:p>
        </w:tc>
        <w:tc>
          <w:tcPr>
            <w:tcW w:w="7622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2C127F31">
            <w:pPr>
              <w:spacing w:line="300" w:lineRule="auto"/>
              <w:jc w:val="left"/>
              <w:rPr>
                <w:rFonts w:eastAsia="楷体_GB2312"/>
                <w:color w:val="000000"/>
              </w:rPr>
            </w:pPr>
            <w:r>
              <w:rPr>
                <w:rFonts w:ascii="楷体" w:hAnsi="楷体" w:eastAsia="楷体" w:cs="楷体"/>
                <w:sz w:val="24"/>
              </w:rPr>
              <w:t>□</w:t>
            </w:r>
            <w:r>
              <w:rPr>
                <w:rFonts w:eastAsia="楷体_GB2312"/>
                <w:color w:val="000000"/>
              </w:rPr>
              <w:t>重新开题</w:t>
            </w:r>
            <w:r>
              <w:rPr>
                <w:rFonts w:ascii="楷体" w:hAnsi="楷体" w:eastAsia="楷体" w:cs="楷体"/>
                <w:sz w:val="24"/>
              </w:rPr>
              <w:t>□</w:t>
            </w:r>
            <w:r>
              <w:rPr>
                <w:rFonts w:eastAsia="楷体_GB2312"/>
              </w:rPr>
              <w:t>转为硕士生培养（仅限本科直接攻博生或硕博连读生）</w:t>
            </w:r>
            <w:r>
              <w:rPr>
                <w:rFonts w:ascii="楷体" w:hAnsi="楷体" w:eastAsia="楷体" w:cs="楷体"/>
                <w:sz w:val="24"/>
              </w:rPr>
              <w:t>□</w:t>
            </w:r>
            <w:r>
              <w:rPr>
                <w:rFonts w:eastAsia="楷体_GB2312"/>
              </w:rPr>
              <w:t>建议退学</w:t>
            </w:r>
          </w:p>
        </w:tc>
      </w:tr>
      <w:tr w14:paraId="42B40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10347" w:type="dxa"/>
            <w:gridSpan w:val="10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EF6A3B4">
            <w:pPr>
              <w:snapToGrid w:val="0"/>
              <w:spacing w:line="300" w:lineRule="auto"/>
              <w:jc w:val="left"/>
              <w:rPr>
                <w:rFonts w:eastAsia="楷体_GB2312"/>
                <w:color w:val="000000"/>
                <w:sz w:val="24"/>
              </w:rPr>
            </w:pPr>
          </w:p>
          <w:p w14:paraId="06F31F10">
            <w:pPr>
              <w:spacing w:line="300" w:lineRule="auto"/>
              <w:jc w:val="left"/>
              <w:rPr>
                <w:rFonts w:eastAsia="楷体_GB2312"/>
                <w:sz w:val="24"/>
              </w:rPr>
            </w:pPr>
          </w:p>
          <w:p w14:paraId="37FB673B">
            <w:pPr>
              <w:spacing w:line="300" w:lineRule="auto"/>
              <w:jc w:val="left"/>
              <w:rPr>
                <w:rFonts w:ascii="楷体" w:hAnsi="楷体" w:eastAsia="楷体" w:cs="楷体"/>
                <w:sz w:val="24"/>
              </w:rPr>
            </w:pPr>
            <w:r>
              <w:rPr>
                <w:rFonts w:eastAsia="楷体_GB2312"/>
                <w:sz w:val="24"/>
              </w:rPr>
              <w:t>负责人签名：</w:t>
            </w:r>
            <w:r>
              <w:rPr>
                <w:rFonts w:eastAsia="Times New Roman"/>
                <w:sz w:val="24"/>
              </w:rPr>
              <w:t xml:space="preserve">                                       </w:t>
            </w:r>
            <w:r>
              <w:rPr>
                <w:rFonts w:eastAsia="楷体_GB2312"/>
                <w:sz w:val="24"/>
              </w:rPr>
              <w:t>日期：</w:t>
            </w:r>
          </w:p>
        </w:tc>
      </w:tr>
    </w:tbl>
    <w:p w14:paraId="0EB10904">
      <w:pPr>
        <w:spacing w:line="300" w:lineRule="auto"/>
        <w:jc w:val="left"/>
        <w:rPr>
          <w:rFonts w:ascii="黑体;SimHei" w:hAnsi="黑体;SimHei" w:eastAsia="黑体;SimHei" w:cs="黑体;SimHei"/>
          <w:b/>
          <w:sz w:val="24"/>
        </w:rPr>
      </w:pPr>
    </w:p>
    <w:p w14:paraId="38B396A6">
      <w:pPr>
        <w:spacing w:line="300" w:lineRule="auto"/>
        <w:jc w:val="left"/>
      </w:pPr>
      <w:r>
        <w:rPr>
          <w:rFonts w:ascii="黑体;SimHei" w:hAnsi="黑体;SimHei" w:eastAsia="黑体;SimHei" w:cs="黑体;SimHei"/>
          <w:b/>
          <w:sz w:val="24"/>
        </w:rPr>
        <w:t>二、</w:t>
      </w:r>
      <w:r>
        <w:rPr>
          <w:rFonts w:ascii="黑体;SimHei" w:hAnsi="黑体;SimHei" w:eastAsia="黑体;SimHei" w:cs="黑体;SimHei"/>
          <w:b/>
          <w:bCs/>
          <w:sz w:val="24"/>
        </w:rPr>
        <w:t>导师意见</w:t>
      </w:r>
      <w:r>
        <w:rPr>
          <w:rStyle w:val="18"/>
          <w:rFonts w:ascii="黑体;SimHei" w:hAnsi="黑体;SimHei" w:eastAsia="黑体;SimHei" w:cs="黑体;SimHei"/>
          <w:sz w:val="24"/>
        </w:rPr>
        <w:footnoteReference w:id="1"/>
      </w:r>
    </w:p>
    <w:tbl>
      <w:tblPr>
        <w:tblStyle w:val="13"/>
        <w:tblW w:w="9909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9"/>
      </w:tblGrid>
      <w:tr w14:paraId="43C51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86" w:hRule="atLeast"/>
        </w:trPr>
        <w:tc>
          <w:tcPr>
            <w:tcW w:w="990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CA740FC">
            <w:pPr>
              <w:snapToGrid w:val="0"/>
              <w:spacing w:line="300" w:lineRule="auto"/>
              <w:rPr>
                <w:rFonts w:eastAsia="楷体_GB2312"/>
              </w:rPr>
            </w:pPr>
          </w:p>
          <w:p w14:paraId="1774E5DB">
            <w:pPr>
              <w:spacing w:line="300" w:lineRule="auto"/>
              <w:rPr>
                <w:rFonts w:eastAsia="楷体_GB2312"/>
              </w:rPr>
            </w:pPr>
          </w:p>
          <w:p w14:paraId="7AA2C205">
            <w:pPr>
              <w:spacing w:line="300" w:lineRule="auto"/>
              <w:rPr>
                <w:rFonts w:eastAsia="楷体_GB2312"/>
              </w:rPr>
            </w:pPr>
          </w:p>
          <w:p w14:paraId="50FA3440">
            <w:pPr>
              <w:spacing w:line="300" w:lineRule="auto"/>
              <w:rPr>
                <w:rFonts w:eastAsia="楷体_GB2312"/>
              </w:rPr>
            </w:pPr>
          </w:p>
          <w:p w14:paraId="29B34D73">
            <w:pPr>
              <w:spacing w:line="300" w:lineRule="auto"/>
              <w:rPr>
                <w:rFonts w:eastAsia="楷体_GB2312"/>
              </w:rPr>
            </w:pPr>
          </w:p>
          <w:p w14:paraId="5EAEF238">
            <w:pPr>
              <w:spacing w:line="300" w:lineRule="auto"/>
              <w:rPr>
                <w:rFonts w:eastAsia="楷体_GB2312"/>
              </w:rPr>
            </w:pPr>
          </w:p>
          <w:p w14:paraId="788F2615">
            <w:pPr>
              <w:spacing w:line="300" w:lineRule="auto"/>
              <w:rPr>
                <w:rFonts w:eastAsia="楷体_GB2312"/>
              </w:rPr>
            </w:pPr>
          </w:p>
          <w:p w14:paraId="26B4E85E">
            <w:pPr>
              <w:spacing w:line="300" w:lineRule="auto"/>
              <w:rPr>
                <w:rFonts w:eastAsia="楷体_GB2312"/>
              </w:rPr>
            </w:pPr>
          </w:p>
          <w:p w14:paraId="054337D7">
            <w:pPr>
              <w:spacing w:line="300" w:lineRule="auto"/>
              <w:rPr>
                <w:rFonts w:eastAsia="楷体_GB2312"/>
              </w:rPr>
            </w:pPr>
          </w:p>
          <w:p w14:paraId="7EC1F6D6">
            <w:pPr>
              <w:spacing w:line="300" w:lineRule="auto"/>
              <w:rPr>
                <w:rFonts w:eastAsia="楷体_GB2312"/>
              </w:rPr>
            </w:pPr>
          </w:p>
          <w:p w14:paraId="722777BC">
            <w:pPr>
              <w:spacing w:line="300" w:lineRule="auto"/>
              <w:rPr>
                <w:rFonts w:eastAsia="楷体_GB2312"/>
              </w:rPr>
            </w:pPr>
          </w:p>
          <w:p w14:paraId="6F295B35">
            <w:pPr>
              <w:spacing w:line="300" w:lineRule="auto"/>
              <w:rPr>
                <w:rFonts w:eastAsia="楷体_GB2312"/>
              </w:rPr>
            </w:pPr>
          </w:p>
          <w:p w14:paraId="209D0075">
            <w:pPr>
              <w:spacing w:line="300" w:lineRule="auto"/>
              <w:rPr>
                <w:rFonts w:eastAsia="楷体_GB2312"/>
              </w:rPr>
            </w:pPr>
          </w:p>
          <w:p w14:paraId="42275A40">
            <w:pPr>
              <w:spacing w:line="300" w:lineRule="auto"/>
              <w:rPr>
                <w:rFonts w:eastAsia="楷体_GB2312"/>
              </w:rPr>
            </w:pPr>
          </w:p>
          <w:p w14:paraId="7ABE299B">
            <w:pPr>
              <w:spacing w:line="300" w:lineRule="auto"/>
              <w:rPr>
                <w:rFonts w:eastAsia="楷体_GB2312"/>
              </w:rPr>
            </w:pPr>
          </w:p>
          <w:p w14:paraId="6C4F0FC6">
            <w:pPr>
              <w:spacing w:line="300" w:lineRule="auto"/>
              <w:rPr>
                <w:rFonts w:eastAsia="楷体_GB2312"/>
              </w:rPr>
            </w:pPr>
          </w:p>
          <w:p w14:paraId="301D117F">
            <w:pPr>
              <w:spacing w:line="300" w:lineRule="auto"/>
              <w:rPr>
                <w:rFonts w:eastAsia="楷体_GB2312"/>
              </w:rPr>
            </w:pPr>
          </w:p>
          <w:p w14:paraId="663504A2">
            <w:pPr>
              <w:spacing w:line="300" w:lineRule="auto"/>
              <w:rPr>
                <w:rFonts w:eastAsia="楷体_GB2312"/>
              </w:rPr>
            </w:pPr>
          </w:p>
          <w:p w14:paraId="1AFFB057">
            <w:pPr>
              <w:spacing w:line="300" w:lineRule="auto"/>
              <w:rPr>
                <w:rFonts w:eastAsia="楷体_GB2312"/>
              </w:rPr>
            </w:pPr>
          </w:p>
          <w:p w14:paraId="5E1CCC40">
            <w:pPr>
              <w:spacing w:line="300" w:lineRule="auto"/>
              <w:rPr>
                <w:rFonts w:eastAsia="楷体_GB2312"/>
              </w:rPr>
            </w:pPr>
          </w:p>
          <w:p w14:paraId="11D49A81">
            <w:pPr>
              <w:spacing w:line="300" w:lineRule="auto"/>
              <w:rPr>
                <w:rFonts w:eastAsia="楷体_GB2312"/>
              </w:rPr>
            </w:pPr>
          </w:p>
          <w:p w14:paraId="243805E1">
            <w:pPr>
              <w:spacing w:line="300" w:lineRule="auto"/>
              <w:rPr>
                <w:rFonts w:eastAsia="楷体_GB2312"/>
              </w:rPr>
            </w:pPr>
          </w:p>
          <w:p w14:paraId="1446595D">
            <w:pPr>
              <w:spacing w:line="300" w:lineRule="auto"/>
              <w:rPr>
                <w:rFonts w:eastAsia="楷体_GB2312"/>
              </w:rPr>
            </w:pPr>
          </w:p>
          <w:p w14:paraId="69DF0958">
            <w:pPr>
              <w:spacing w:line="300" w:lineRule="auto"/>
              <w:rPr>
                <w:rFonts w:eastAsia="楷体_GB2312"/>
              </w:rPr>
            </w:pPr>
          </w:p>
          <w:p w14:paraId="2C765687">
            <w:pPr>
              <w:spacing w:line="300" w:lineRule="auto"/>
              <w:rPr>
                <w:rFonts w:eastAsia="楷体_GB2312"/>
              </w:rPr>
            </w:pPr>
          </w:p>
          <w:p w14:paraId="52E23F8D">
            <w:pPr>
              <w:spacing w:line="300" w:lineRule="auto"/>
              <w:rPr>
                <w:rFonts w:eastAsia="楷体_GB2312"/>
              </w:rPr>
            </w:pPr>
          </w:p>
          <w:p w14:paraId="4CACDB24">
            <w:pPr>
              <w:spacing w:line="300" w:lineRule="auto"/>
              <w:rPr>
                <w:rFonts w:eastAsia="楷体_GB2312"/>
              </w:rPr>
            </w:pPr>
          </w:p>
          <w:p w14:paraId="1E5FC288">
            <w:pPr>
              <w:spacing w:line="300" w:lineRule="auto"/>
              <w:rPr>
                <w:rFonts w:eastAsia="楷体_GB2312"/>
              </w:rPr>
            </w:pPr>
          </w:p>
          <w:p w14:paraId="5AB695B3">
            <w:pPr>
              <w:spacing w:line="300" w:lineRule="auto"/>
              <w:rPr>
                <w:rFonts w:eastAsia="楷体_GB2312"/>
              </w:rPr>
            </w:pPr>
          </w:p>
          <w:p w14:paraId="2999DA02">
            <w:pPr>
              <w:spacing w:line="300" w:lineRule="auto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导师签名:                                               日期:</w:t>
            </w:r>
          </w:p>
          <w:p w14:paraId="0E4D3A5F">
            <w:pPr>
              <w:spacing w:line="300" w:lineRule="auto"/>
              <w:rPr>
                <w:rFonts w:eastAsia="楷体_GB2312"/>
              </w:rPr>
            </w:pPr>
            <w:r>
              <w:rPr>
                <w:rFonts w:eastAsia="Times New Roman"/>
              </w:rPr>
              <w:t xml:space="preserve">                                                          </w:t>
            </w:r>
          </w:p>
        </w:tc>
      </w:tr>
    </w:tbl>
    <w:p w14:paraId="7B4871C8">
      <w:pPr>
        <w:rPr>
          <w:vanish/>
        </w:rPr>
        <w:sectPr>
          <w:headerReference r:id="rId4" w:type="default"/>
          <w:footerReference r:id="rId5" w:type="default"/>
          <w:pgSz w:w="11906" w:h="16838"/>
          <w:pgMar w:top="1701" w:right="1134" w:bottom="1134" w:left="1134" w:header="1134" w:footer="851" w:gutter="0"/>
          <w:cols w:space="720" w:num="1"/>
          <w:formProt w:val="0"/>
          <w:docGrid w:type="lines" w:linePitch="312" w:charSpace="0"/>
        </w:sectPr>
      </w:pPr>
    </w:p>
    <w:tbl>
      <w:tblPr>
        <w:tblStyle w:val="13"/>
        <w:tblW w:w="99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4785"/>
        <w:gridCol w:w="3537"/>
      </w:tblGrid>
      <w:tr w14:paraId="6F88E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9940" w:type="dxa"/>
            <w:gridSpan w:val="3"/>
            <w:tcBorders>
              <w:bottom w:val="single" w:color="000000" w:sz="12" w:space="0"/>
            </w:tcBorders>
          </w:tcPr>
          <w:p w14:paraId="2541FCB8">
            <w:pPr>
              <w:spacing w:line="300" w:lineRule="auto"/>
              <w:rPr>
                <w:rFonts w:ascii="黑体;SimHei" w:hAnsi="黑体;SimHei" w:eastAsia="黑体;SimHei" w:cs="黑体;SimHei"/>
                <w:b/>
              </w:rPr>
            </w:pPr>
            <w:r>
              <w:rPr>
                <w:rFonts w:ascii="黑体;SimHei" w:hAnsi="黑体;SimHei" w:eastAsia="黑体;SimHei" w:cs="黑体;SimHei"/>
                <w:b/>
                <w:sz w:val="24"/>
              </w:rPr>
              <w:t>三、开题报告详情表（可续页）</w:t>
            </w:r>
          </w:p>
        </w:tc>
      </w:tr>
      <w:tr w14:paraId="5B141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0" w:hRule="atLeast"/>
          <w:jc w:val="center"/>
        </w:trPr>
        <w:tc>
          <w:tcPr>
            <w:tcW w:w="9940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</w:tcPr>
          <w:p w14:paraId="7296FBD1">
            <w:pPr>
              <w:spacing w:line="300" w:lineRule="auto"/>
            </w:pPr>
            <w:r>
              <w:rPr>
                <w:rFonts w:ascii="楷体" w:hAnsi="楷体" w:eastAsia="楷体" w:cs="楷体"/>
                <w:sz w:val="24"/>
              </w:rPr>
              <w:t>1.选题有关的国内外研究综述（附主要参考文献）</w:t>
            </w:r>
          </w:p>
          <w:p w14:paraId="72234FC0">
            <w:pPr>
              <w:spacing w:line="300" w:lineRule="auto"/>
              <w:ind w:firstLine="480" w:firstLineChars="200"/>
              <w:rPr>
                <w:rFonts w:hint="eastAsia"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无中微子双贝塔衰变</w:t>
            </w:r>
            <w:r>
              <w:rPr>
                <w:rFonts w:eastAsia="楷体"/>
                <w:sz w:val="24"/>
              </w:rPr>
              <w:t>（0ν2β）</w:t>
            </w:r>
            <w:r>
              <w:rPr>
                <w:rFonts w:hint="eastAsia" w:ascii="楷体" w:hAnsi="楷体" w:eastAsia="楷体" w:cs="楷体"/>
                <w:sz w:val="24"/>
              </w:rPr>
              <w:t>是当前核与粒子物理的重要前沿研究方向。一旦该过程被实验证实，将表明中微子是马约拉纳粒子，轻子数守恒被破坏，并能够为中微子绝对质量标度提供独立且重要的限制。该过程被标准模型禁戒，即使发生事件也极为稀有。实验上观测的信号是末态两电子能量和达到衰变的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Q</w:t>
            </w:r>
            <w:r>
              <w:rPr>
                <w:rFonts w:hint="default" w:ascii="Times New Roman" w:hAnsi="Times New Roman" w:eastAsia="楷体" w:cs="Times New Roman"/>
                <w:sz w:val="24"/>
                <w:vertAlign w:val="subscript"/>
              </w:rPr>
              <w:t>ββ</w:t>
            </w:r>
            <w:r>
              <w:rPr>
                <w:rFonts w:hint="eastAsia" w:eastAsia="楷体" w:cs="Times New Roman"/>
                <w:sz w:val="24"/>
                <w:vertAlign w:val="subscript"/>
                <w:lang w:val="en-US" w:eastAsia="zh-CN"/>
              </w:rPr>
              <w:t xml:space="preserve"> </w:t>
            </w:r>
            <w:r>
              <w:rPr>
                <w:rFonts w:hint="eastAsia" w:ascii="楷体" w:hAnsi="楷体" w:eastAsia="楷体" w:cs="楷体"/>
                <w:sz w:val="24"/>
              </w:rPr>
              <w:t>值，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0ν2β</w:t>
            </w:r>
            <w:r>
              <w:rPr>
                <w:rFonts w:hint="eastAsia" w:ascii="楷体" w:hAnsi="楷体" w:eastAsia="楷体" w:cs="楷体"/>
                <w:sz w:val="24"/>
              </w:rPr>
              <w:t>实验必须达到优异的能量分辨率和极低本底水平，这对探测器性能、系统噪声控制和长期运行稳定性提出了极高要求。</w:t>
            </w:r>
          </w:p>
          <w:p w14:paraId="3FBC4891">
            <w:pPr>
              <w:spacing w:line="300" w:lineRule="auto"/>
              <w:ind w:firstLine="480" w:firstLineChars="200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低温晶体量热器</w:t>
            </w:r>
            <w:r>
              <w:rPr>
                <w:rFonts w:eastAsia="楷体"/>
                <w:sz w:val="24"/>
              </w:rPr>
              <w:t>（</w:t>
            </w:r>
            <w:r>
              <w:rPr>
                <w:rFonts w:hint="eastAsia" w:eastAsia="楷体"/>
                <w:sz w:val="24"/>
                <w:lang w:val="en-US" w:eastAsia="zh-CN"/>
              </w:rPr>
              <w:t>B</w:t>
            </w:r>
            <w:r>
              <w:rPr>
                <w:rFonts w:eastAsia="楷体"/>
                <w:sz w:val="24"/>
              </w:rPr>
              <w:t>olometer）</w:t>
            </w:r>
            <w:r>
              <w:rPr>
                <w:rFonts w:hint="eastAsia" w:ascii="楷体" w:hAnsi="楷体" w:eastAsia="楷体" w:cs="楷体"/>
                <w:sz w:val="24"/>
              </w:rPr>
              <w:t>凭借在毫开尔文温区表现出的极高热敏感度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和</w:t>
            </w:r>
            <w:r>
              <w:rPr>
                <w:rFonts w:hint="eastAsia" w:ascii="楷体" w:hAnsi="楷体" w:eastAsia="楷体" w:cs="楷体"/>
                <w:sz w:val="24"/>
              </w:rPr>
              <w:t>优良的能量分辨能力，以及可与光读出或多参数辨识技术结合实现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粒子鉴别</w:t>
            </w:r>
            <w:r>
              <w:rPr>
                <w:rFonts w:hint="eastAsia" w:ascii="楷体" w:hAnsi="楷体" w:eastAsia="楷体" w:cs="楷体"/>
                <w:sz w:val="24"/>
              </w:rPr>
              <w:t>，已在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CUORE</w:t>
            </w:r>
            <w:r>
              <w:rPr>
                <w:rFonts w:hint="eastAsia" w:ascii="楷体" w:hAnsi="楷体" w:eastAsia="楷体" w:cs="楷体"/>
                <w:sz w:val="24"/>
              </w:rPr>
              <w:t>、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CUPID</w:t>
            </w:r>
            <w:r>
              <w:rPr>
                <w:rFonts w:hint="eastAsia" w:ascii="楷体" w:hAnsi="楷体" w:eastAsia="楷体" w:cs="楷体"/>
                <w:sz w:val="24"/>
              </w:rPr>
              <w:t>和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AMoRE</w:t>
            </w:r>
            <w:r>
              <w:rPr>
                <w:rFonts w:hint="eastAsia" w:ascii="楷体" w:hAnsi="楷体" w:eastAsia="楷体" w:cs="楷体"/>
                <w:sz w:val="24"/>
              </w:rPr>
              <w:t>等国际领先实验中得到成功应用。要实现高精度的能量分辨，需要维持测量基线的稳定，这意味着需要将探测器稳定维持在几十至数百毫开尔文的温度，并尽可能抑制外界热扰动与机械振动。</w:t>
            </w:r>
          </w:p>
          <w:p w14:paraId="3538C655">
            <w:pPr>
              <w:spacing w:line="300" w:lineRule="auto"/>
              <w:ind w:firstLine="480" w:firstLineChars="200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提供极低温环境的核心设备是稀释制冷机</w:t>
            </w:r>
            <w:r>
              <w:rPr>
                <w:rFonts w:eastAsia="楷体"/>
                <w:sz w:val="24"/>
              </w:rPr>
              <w:t>（Dilution Refrigerator）</w:t>
            </w:r>
            <w:r>
              <w:rPr>
                <w:rFonts w:hint="eastAsia" w:ascii="楷体" w:hAnsi="楷体" w:eastAsia="楷体" w:cs="楷体"/>
                <w:sz w:val="24"/>
              </w:rPr>
              <w:t xml:space="preserve">，其利用 </w:t>
            </w:r>
            <w:r>
              <w:rPr>
                <w:rFonts w:eastAsia="楷体"/>
                <w:sz w:val="24"/>
              </w:rPr>
              <w:t>³He</w:t>
            </w:r>
            <w:r>
              <w:rPr>
                <w:rFonts w:hint="eastAsia" w:eastAsia="楷体"/>
                <w:sz w:val="24"/>
                <w:lang w:val="en-US" w:eastAsia="zh-CN"/>
              </w:rPr>
              <w:t>与</w:t>
            </w:r>
            <w:r>
              <w:rPr>
                <w:rFonts w:eastAsia="楷体"/>
                <w:sz w:val="24"/>
              </w:rPr>
              <w:t>⁴He</w:t>
            </w:r>
            <w:r>
              <w:rPr>
                <w:rFonts w:hint="eastAsia" w:ascii="楷体" w:hAnsi="楷体" w:eastAsia="楷体" w:cs="楷体"/>
                <w:sz w:val="24"/>
              </w:rPr>
              <w:t xml:space="preserve"> 混合物的稀释制冷效应，在混合室持续提供毫开尔文级冷量。在实际运行中，稀释制冷机通常由脉冲管制冷机</w:t>
            </w:r>
            <w:r>
              <w:rPr>
                <w:rFonts w:eastAsia="楷体"/>
                <w:sz w:val="24"/>
              </w:rPr>
              <w:t>（</w:t>
            </w:r>
            <w:r>
              <w:rPr>
                <w:rFonts w:hint="eastAsia" w:eastAsia="楷体"/>
                <w:sz w:val="24"/>
                <w:lang w:val="en-US" w:eastAsia="zh-CN"/>
              </w:rPr>
              <w:t>P</w:t>
            </w:r>
            <w:r>
              <w:rPr>
                <w:rFonts w:eastAsia="楷体"/>
                <w:sz w:val="24"/>
              </w:rPr>
              <w:t xml:space="preserve">ulse tube cryocooler, </w:t>
            </w:r>
            <w:r>
              <w:rPr>
                <w:rFonts w:hint="eastAsia" w:eastAsia="楷体"/>
                <w:sz w:val="24"/>
              </w:rPr>
              <w:t>简称</w:t>
            </w:r>
            <w:r>
              <w:rPr>
                <w:rFonts w:eastAsia="楷体"/>
                <w:sz w:val="24"/>
              </w:rPr>
              <w:t>PT）</w:t>
            </w:r>
            <w:r>
              <w:rPr>
                <w:rFonts w:hint="eastAsia" w:ascii="楷体" w:hAnsi="楷体" w:eastAsia="楷体" w:cs="楷体"/>
                <w:sz w:val="24"/>
              </w:rPr>
              <w:t>承担预冷任务。</w:t>
            </w:r>
            <w:r>
              <w:rPr>
                <w:rFonts w:eastAsia="楷体"/>
                <w:sz w:val="24"/>
              </w:rPr>
              <w:t xml:space="preserve">PT </w:t>
            </w:r>
            <w:r>
              <w:rPr>
                <w:rFonts w:hint="eastAsia" w:ascii="楷体" w:hAnsi="楷体" w:eastAsia="楷体" w:cs="楷体"/>
                <w:sz w:val="24"/>
              </w:rPr>
              <w:t>具有无需液氦、维护成本低、可长期稳定运行等优势，已成为现代稀释制冷系统的标准预冷方案。</w:t>
            </w:r>
          </w:p>
          <w:p w14:paraId="5E1D74AF">
            <w:pPr>
              <w:spacing w:line="300" w:lineRule="auto"/>
              <w:ind w:firstLine="480" w:firstLineChars="200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然而，</w:t>
            </w:r>
            <w:r>
              <w:rPr>
                <w:rFonts w:eastAsia="楷体"/>
                <w:sz w:val="24"/>
              </w:rPr>
              <w:t xml:space="preserve">PT </w:t>
            </w:r>
            <w:r>
              <w:rPr>
                <w:rFonts w:hint="eastAsia" w:ascii="楷体" w:hAnsi="楷体" w:eastAsia="楷体" w:cs="楷体"/>
                <w:sz w:val="24"/>
              </w:rPr>
              <w:t>在周期性压缩—膨胀高压气体的过程中不可避免地产生机械振动，这些振动可沿机械支撑结构、柔性管</w:t>
            </w:r>
            <w:r>
              <w:rPr>
                <w:rFonts w:hint="default" w:ascii="楷体" w:hAnsi="楷体" w:eastAsia="楷体" w:cs="楷体"/>
                <w:sz w:val="24"/>
                <w:lang w:val="en-US"/>
              </w:rPr>
              <w:t>及</w:t>
            </w:r>
            <w:r>
              <w:rPr>
                <w:rFonts w:hint="eastAsia" w:ascii="楷体" w:hAnsi="楷体" w:eastAsia="楷体" w:cs="楷体"/>
                <w:sz w:val="24"/>
              </w:rPr>
              <w:t>真空腔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等</w:t>
            </w:r>
            <w:r>
              <w:rPr>
                <w:rFonts w:hint="eastAsia" w:ascii="楷体" w:hAnsi="楷体" w:eastAsia="楷体" w:cs="楷体"/>
                <w:sz w:val="24"/>
              </w:rPr>
              <w:t>路径传递至稀释制冷机的各级温板，并最终影响混合室及探测器阵列。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CUORE</w:t>
            </w:r>
            <w:r>
              <w:rPr>
                <w:rFonts w:hint="default" w:ascii="楷体" w:hAnsi="楷体" w:eastAsia="楷体" w:cs="楷体"/>
                <w:sz w:val="24"/>
                <w:lang w:val="en-US"/>
              </w:rPr>
              <w:t>研究表明</w:t>
            </w:r>
            <w:r>
              <w:rPr>
                <w:rFonts w:hint="eastAsia" w:ascii="楷体" w:hAnsi="楷体" w:eastAsia="楷体" w:cs="楷体"/>
                <w:sz w:val="24"/>
              </w:rPr>
              <w:t>，</w:t>
            </w:r>
            <w:r>
              <w:rPr>
                <w:rFonts w:eastAsia="楷体"/>
                <w:sz w:val="24"/>
              </w:rPr>
              <w:t xml:space="preserve">PT </w:t>
            </w:r>
            <w:r>
              <w:rPr>
                <w:rFonts w:hint="eastAsia" w:ascii="楷体" w:hAnsi="楷体" w:eastAsia="楷体" w:cs="楷体"/>
                <w:sz w:val="24"/>
              </w:rPr>
              <w:t>振动可以引入</w:t>
            </w:r>
            <w:r>
              <w:rPr>
                <w:rFonts w:eastAsia="楷体"/>
                <w:sz w:val="24"/>
              </w:rPr>
              <w:t xml:space="preserve"> bolometer</w:t>
            </w:r>
            <w:r>
              <w:rPr>
                <w:rFonts w:hint="eastAsia" w:ascii="楷体" w:hAnsi="楷体" w:eastAsia="楷体" w:cs="楷体"/>
                <w:sz w:val="24"/>
              </w:rPr>
              <w:t xml:space="preserve"> 的低频噪声，从而导致探测器能量分辨率下降，对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0ν2β</w:t>
            </w:r>
            <w:r>
              <w:rPr>
                <w:rFonts w:hint="eastAsia" w:ascii="楷体" w:hAnsi="楷体" w:eastAsia="楷体" w:cs="楷体"/>
                <w:sz w:val="24"/>
              </w:rPr>
              <w:t>探测的灵敏度造成直接影响。因此，在构建高性能</w:t>
            </w:r>
            <w:r>
              <w:rPr>
                <w:rFonts w:eastAsia="楷体"/>
                <w:sz w:val="24"/>
              </w:rPr>
              <w:t xml:space="preserve"> bolometer </w:t>
            </w:r>
            <w:r>
              <w:rPr>
                <w:rFonts w:hint="eastAsia" w:ascii="楷体" w:hAnsi="楷体" w:eastAsia="楷体" w:cs="楷体"/>
                <w:sz w:val="24"/>
              </w:rPr>
              <w:t>平台时，系统性的振动抑制</w:t>
            </w:r>
            <w:bookmarkStart w:id="0" w:name="_GoBack"/>
            <w:bookmarkEnd w:id="0"/>
            <w:r>
              <w:rPr>
                <w:rFonts w:hint="eastAsia" w:ascii="楷体" w:hAnsi="楷体" w:eastAsia="楷体" w:cs="楷体"/>
                <w:sz w:val="24"/>
              </w:rPr>
              <w:t>与耦合路径优化是不可或缺的关键环节。</w:t>
            </w:r>
          </w:p>
          <w:p w14:paraId="746914BD">
            <w:pPr>
              <w:spacing w:line="300" w:lineRule="auto"/>
              <w:ind w:firstLine="480" w:firstLineChars="200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目前常见的减振与隔振策略包括弹性悬挂系统、柔性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或</w:t>
            </w:r>
            <w:r>
              <w:rPr>
                <w:rFonts w:hint="eastAsia" w:ascii="楷体" w:hAnsi="楷体" w:eastAsia="楷体" w:cs="楷体"/>
                <w:sz w:val="24"/>
              </w:rPr>
              <w:t xml:space="preserve">软连接、波纹管力学隔离、多级被动隔振，以及基于加速度反馈的主动振动控制等。国外实验如 </w:t>
            </w:r>
            <w:r>
              <w:rPr>
                <w:rFonts w:eastAsia="楷体"/>
                <w:sz w:val="24"/>
              </w:rPr>
              <w:t>CUORE</w:t>
            </w:r>
            <w:r>
              <w:rPr>
                <w:rFonts w:hint="eastAsia" w:ascii="楷体" w:hAnsi="楷体" w:eastAsia="楷体" w:cs="楷体"/>
                <w:sz w:val="24"/>
              </w:rPr>
              <w:t xml:space="preserve"> 已在稀释制冷机整体设计中形成成熟的隔振体系，通过优化力学耦合路径和大质量悬挂结构显著降低了 </w:t>
            </w:r>
            <w:r>
              <w:rPr>
                <w:rFonts w:eastAsia="楷体"/>
                <w:sz w:val="24"/>
              </w:rPr>
              <w:t xml:space="preserve">PT </w:t>
            </w:r>
            <w:r>
              <w:rPr>
                <w:rFonts w:hint="eastAsia" w:ascii="楷体" w:hAnsi="楷体" w:eastAsia="楷体" w:cs="楷体"/>
                <w:sz w:val="24"/>
              </w:rPr>
              <w:t>振动向混合室</w:t>
            </w:r>
            <w:r>
              <w:rPr>
                <w:rFonts w:eastAsia="楷体"/>
                <w:sz w:val="24"/>
              </w:rPr>
              <w:t>（</w:t>
            </w:r>
            <w:r>
              <w:rPr>
                <w:rFonts w:hint="eastAsia" w:eastAsia="楷体"/>
                <w:sz w:val="24"/>
                <w:lang w:val="en-US" w:eastAsia="zh-CN"/>
              </w:rPr>
              <w:t>M</w:t>
            </w:r>
            <w:r>
              <w:rPr>
                <w:rFonts w:hint="eastAsia" w:eastAsia="楷体"/>
                <w:sz w:val="24"/>
              </w:rPr>
              <w:t>ixing chamber</w:t>
            </w:r>
            <w:r>
              <w:rPr>
                <w:rFonts w:eastAsia="楷体"/>
                <w:sz w:val="24"/>
              </w:rPr>
              <w:t xml:space="preserve"> plate）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的传递</w:t>
            </w:r>
            <w:r>
              <w:rPr>
                <w:rFonts w:hint="eastAsia" w:ascii="楷体" w:hAnsi="楷体" w:eastAsia="楷体" w:cs="楷体"/>
                <w:sz w:val="24"/>
              </w:rPr>
              <w:t>。相比之下，国内针对干式稀释制冷机系统的振动谱测量、振动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传递</w:t>
            </w:r>
            <w:r>
              <w:rPr>
                <w:rFonts w:hint="eastAsia" w:ascii="楷体" w:hAnsi="楷体" w:eastAsia="楷体" w:cs="楷体"/>
                <w:sz w:val="24"/>
              </w:rPr>
              <w:t>机制建模以及</w:t>
            </w: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PT</w:t>
            </w:r>
            <w:r>
              <w:rPr>
                <w:rFonts w:hint="eastAsia" w:ascii="楷体" w:hAnsi="楷体" w:eastAsia="楷体" w:cs="楷体"/>
                <w:sz w:val="24"/>
              </w:rPr>
              <w:t>振动与</w:t>
            </w:r>
            <w:r>
              <w:rPr>
                <w:rFonts w:eastAsia="楷体"/>
                <w:sz w:val="24"/>
              </w:rPr>
              <w:t xml:space="preserve"> bolometer</w:t>
            </w:r>
            <w:r>
              <w:rPr>
                <w:rFonts w:hint="eastAsia" w:ascii="楷体" w:hAnsi="楷体" w:eastAsia="楷体" w:cs="楷体"/>
                <w:sz w:val="24"/>
              </w:rPr>
              <w:t xml:space="preserve"> 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噪声</w:t>
            </w:r>
            <w:r>
              <w:rPr>
                <w:rFonts w:hint="eastAsia" w:ascii="楷体" w:hAnsi="楷体" w:eastAsia="楷体" w:cs="楷体"/>
                <w:sz w:val="24"/>
              </w:rPr>
              <w:t>的关联分析等方面的系统研究仍较为有限，因此该方向具有显著的研究需求与发展空间。</w:t>
            </w:r>
          </w:p>
          <w:p w14:paraId="7E4D87CC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t>主要参考文献</w:t>
            </w:r>
            <w:r>
              <w:rPr>
                <w:rFonts w:hint="eastAsia" w:ascii="楷体" w:hAnsi="楷体" w:eastAsia="楷体" w:cs="楷体"/>
                <w:sz w:val="24"/>
              </w:rPr>
              <w:t>：</w:t>
            </w:r>
          </w:p>
          <w:p w14:paraId="7F5FA7F3">
            <w:pPr>
              <w:spacing w:line="300" w:lineRule="auto"/>
              <w:jc w:val="left"/>
              <w:rPr>
                <w:rFonts w:eastAsia="楷体"/>
                <w:sz w:val="22"/>
                <w:szCs w:val="22"/>
              </w:rPr>
            </w:pPr>
            <w:r>
              <w:rPr>
                <w:rFonts w:eastAsia="楷体"/>
                <w:sz w:val="22"/>
                <w:szCs w:val="22"/>
              </w:rPr>
              <w:t>[1]</w:t>
            </w:r>
            <w:r>
              <w:rPr>
                <w:rFonts w:hint="eastAsia" w:eastAsia="楷体"/>
                <w:sz w:val="22"/>
                <w:szCs w:val="22"/>
              </w:rPr>
              <w:t xml:space="preserve"> </w:t>
            </w:r>
            <w:r>
              <w:rPr>
                <w:rFonts w:eastAsia="楷体"/>
                <w:sz w:val="22"/>
                <w:szCs w:val="22"/>
              </w:rPr>
              <w:t>Maisonobe R,Billard J,Jesus D M, et al. Vibration decoupling system for massive bolometers in dry cryostats[J]. Journal of Instrumentation,2018,13(8).</w:t>
            </w:r>
          </w:p>
          <w:p w14:paraId="13BB0573">
            <w:pPr>
              <w:spacing w:line="300" w:lineRule="auto"/>
              <w:jc w:val="left"/>
              <w:rPr>
                <w:rFonts w:eastAsia="楷体"/>
                <w:sz w:val="22"/>
                <w:szCs w:val="22"/>
              </w:rPr>
            </w:pPr>
            <w:r>
              <w:rPr>
                <w:rFonts w:hint="eastAsia" w:eastAsia="楷体"/>
                <w:sz w:val="22"/>
                <w:szCs w:val="22"/>
              </w:rPr>
              <w:t>[2] D</w:t>
            </w:r>
            <w:r>
              <w:rPr>
                <w:rFonts w:eastAsia="楷体"/>
                <w:sz w:val="22"/>
                <w:szCs w:val="22"/>
              </w:rPr>
              <w:t>’</w:t>
            </w:r>
            <w:r>
              <w:rPr>
                <w:rFonts w:hint="eastAsia" w:eastAsia="楷体"/>
                <w:sz w:val="22"/>
                <w:szCs w:val="22"/>
              </w:rPr>
              <w:t xml:space="preserve"> Addabbo A,Bucci C,Canonica L, et al. An active noise cancellation technique for the CUORE Pulse Tube cryocoolers[J]. Cryogenics,2018,93.</w:t>
            </w:r>
          </w:p>
          <w:p w14:paraId="08CCBD1C">
            <w:pPr>
              <w:spacing w:line="300" w:lineRule="auto"/>
              <w:jc w:val="left"/>
              <w:rPr>
                <w:rFonts w:eastAsia="楷体"/>
                <w:sz w:val="22"/>
                <w:szCs w:val="22"/>
              </w:rPr>
            </w:pPr>
            <w:r>
              <w:rPr>
                <w:rFonts w:hint="eastAsia" w:eastAsia="楷体"/>
                <w:sz w:val="22"/>
                <w:szCs w:val="22"/>
              </w:rPr>
              <w:t>[3]Olivieri E,Billard J,Jesus D M, et al. Vibrations on pulse tube based Dry Dilution Refrigerators for low noise measurements[J]. Nuclear Inst. and Methods in Physics Research, A,2017,858.</w:t>
            </w:r>
          </w:p>
          <w:p w14:paraId="317F94B8">
            <w:pPr>
              <w:spacing w:line="300" w:lineRule="auto"/>
              <w:jc w:val="left"/>
              <w:rPr>
                <w:rFonts w:eastAsia="楷体"/>
                <w:sz w:val="22"/>
                <w:szCs w:val="22"/>
              </w:rPr>
            </w:pPr>
            <w:r>
              <w:rPr>
                <w:rFonts w:hint="eastAsia" w:eastAsia="楷体"/>
                <w:sz w:val="22"/>
                <w:szCs w:val="22"/>
              </w:rPr>
              <w:t>[4]C. L,S. H J,S. C K, et al. Vibration Mitigation for a Cryogen-Free Dilution Refrigerator for the AMoRE-Pilot Experiment[J]. Journal of Low Temperature Physics,2018,193(5-6).</w:t>
            </w:r>
          </w:p>
          <w:p w14:paraId="6F6D9C5A">
            <w:pPr>
              <w:spacing w:line="300" w:lineRule="auto"/>
              <w:jc w:val="left"/>
              <w:rPr>
                <w:rFonts w:eastAsia="楷体"/>
                <w:sz w:val="22"/>
                <w:szCs w:val="22"/>
              </w:rPr>
            </w:pPr>
            <w:r>
              <w:rPr>
                <w:rFonts w:hint="eastAsia" w:eastAsia="楷体"/>
                <w:sz w:val="22"/>
                <w:szCs w:val="22"/>
              </w:rPr>
              <w:t>[5]Wex A,Rothe J,Peters L, et al. Decoupling pulse tube vibrations from a dry dilution refrigerator at milli-Kelvin temperatures[J]. Journal of Instrumentation,2025,20(05).</w:t>
            </w:r>
          </w:p>
        </w:tc>
      </w:tr>
      <w:tr w14:paraId="14737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2" w:hRule="atLeast"/>
          <w:jc w:val="center"/>
        </w:trPr>
        <w:tc>
          <w:tcPr>
            <w:tcW w:w="9940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</w:tcPr>
          <w:p w14:paraId="2C80B330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2.选题的理论意义、实际意义、创新点</w:t>
            </w:r>
          </w:p>
          <w:p w14:paraId="6066F7FA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t>理论意义</w:t>
            </w:r>
            <w:r>
              <w:rPr>
                <w:rFonts w:hint="eastAsia" w:ascii="楷体" w:hAnsi="楷体" w:eastAsia="楷体" w:cs="楷体"/>
                <w:sz w:val="24"/>
              </w:rPr>
              <w:t>：</w:t>
            </w:r>
          </w:p>
          <w:p w14:paraId="69440CDB">
            <w:pPr>
              <w:spacing w:line="300" w:lineRule="auto"/>
              <w:ind w:firstLine="240" w:firstLineChars="100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明晰</w:t>
            </w:r>
            <w:r>
              <w:rPr>
                <w:rFonts w:eastAsia="楷体"/>
                <w:sz w:val="24"/>
              </w:rPr>
              <w:t>PT</w:t>
            </w:r>
            <w:r>
              <w:rPr>
                <w:rFonts w:hint="eastAsia" w:ascii="楷体" w:hAnsi="楷体" w:eastAsia="楷体" w:cs="楷体"/>
                <w:sz w:val="24"/>
              </w:rPr>
              <w:t xml:space="preserve">与 </w:t>
            </w:r>
            <w:r>
              <w:rPr>
                <w:rFonts w:eastAsia="楷体"/>
                <w:sz w:val="24"/>
              </w:rPr>
              <w:t xml:space="preserve">bolometer </w:t>
            </w:r>
            <w:r>
              <w:rPr>
                <w:rFonts w:hint="eastAsia" w:ascii="楷体" w:hAnsi="楷体" w:eastAsia="楷体" w:cs="楷体"/>
                <w:sz w:val="24"/>
              </w:rPr>
              <w:t>噪声的耦合机制，为低温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晶体量热器</w:t>
            </w:r>
            <w:r>
              <w:rPr>
                <w:rFonts w:hint="eastAsia" w:ascii="楷体" w:hAnsi="楷体" w:eastAsia="楷体" w:cs="楷体"/>
                <w:sz w:val="24"/>
              </w:rPr>
              <w:t>噪声分析提供理论依据。</w:t>
            </w:r>
          </w:p>
          <w:p w14:paraId="72AE21FF">
            <w:pPr>
              <w:spacing w:line="300" w:lineRule="auto"/>
              <w:rPr>
                <w:rFonts w:ascii="楷体" w:hAnsi="楷体" w:eastAsia="楷体" w:cs="楷体"/>
                <w:b/>
                <w:sz w:val="24"/>
              </w:rPr>
            </w:pPr>
            <w:r>
              <w:rPr>
                <w:rFonts w:hint="eastAsia" w:ascii="楷体" w:hAnsi="楷体" w:eastAsia="楷体" w:cs="楷体"/>
                <w:b/>
                <w:sz w:val="24"/>
              </w:rPr>
              <w:t>实际意义：</w:t>
            </w:r>
          </w:p>
          <w:p w14:paraId="1D5B17D1">
            <w:pPr>
              <w:spacing w:line="300" w:lineRule="auto"/>
              <w:ind w:firstLine="240" w:firstLineChars="100"/>
              <w:rPr>
                <w:rFonts w:ascii="楷体" w:hAnsi="楷体" w:eastAsia="楷体" w:cs="楷体"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sz w:val="24"/>
              </w:rPr>
              <w:t>通过设计隔振系统，可有效提升基于低温晶体量热器实验测量</w:t>
            </w:r>
            <w:r>
              <w:rPr>
                <w:rFonts w:hint="default" w:ascii="Times New Roman" w:hAnsi="Times New Roman" w:eastAsia="楷体" w:cs="Times New Roman"/>
                <w:bCs/>
                <w:sz w:val="24"/>
              </w:rPr>
              <w:t xml:space="preserve">0ν2β </w:t>
            </w:r>
            <w:r>
              <w:rPr>
                <w:rFonts w:hint="eastAsia" w:ascii="楷体" w:hAnsi="楷体" w:eastAsia="楷体" w:cs="楷体"/>
                <w:bCs/>
                <w:sz w:val="24"/>
              </w:rPr>
              <w:t>的能量分辨率，增强灵敏度，为下一代低温探测器技术提供理论与实践指导。</w:t>
            </w:r>
          </w:p>
          <w:p w14:paraId="4AAD8138">
            <w:pPr>
              <w:spacing w:line="300" w:lineRule="auto"/>
              <w:rPr>
                <w:rFonts w:ascii="楷体" w:hAnsi="楷体" w:eastAsia="楷体" w:cs="楷体"/>
                <w:b/>
                <w:sz w:val="24"/>
              </w:rPr>
            </w:pPr>
            <w:r>
              <w:rPr>
                <w:rFonts w:hint="eastAsia" w:ascii="楷体" w:hAnsi="楷体" w:eastAsia="楷体" w:cs="楷体"/>
                <w:b/>
                <w:sz w:val="24"/>
              </w:rPr>
              <w:t>创新点：</w:t>
            </w:r>
          </w:p>
          <w:p w14:paraId="7D432871">
            <w:pPr>
              <w:spacing w:line="300" w:lineRule="auto"/>
              <w:ind w:firstLine="240" w:firstLineChars="100"/>
              <w:rPr>
                <w:rFonts w:ascii="楷体" w:hAnsi="楷体" w:eastAsia="楷体" w:cs="楷体"/>
                <w:bCs/>
                <w:sz w:val="24"/>
              </w:rPr>
            </w:pPr>
            <w:r>
              <w:rPr>
                <w:rFonts w:hint="eastAsia" w:ascii="楷体" w:hAnsi="楷体" w:eastAsia="楷体" w:cs="楷体"/>
                <w:bCs/>
                <w:sz w:val="24"/>
              </w:rPr>
              <w:t>本课题将在低温条件下测试制冷机各级振动，系统地研究</w:t>
            </w:r>
            <w:r>
              <w:rPr>
                <w:rFonts w:eastAsia="楷体"/>
                <w:bCs/>
                <w:sz w:val="24"/>
              </w:rPr>
              <w:t>PT</w:t>
            </w:r>
            <w:r>
              <w:rPr>
                <w:rFonts w:hint="eastAsia" w:eastAsia="楷体"/>
                <w:bCs/>
                <w:sz w:val="24"/>
                <w:lang w:val="en-US" w:eastAsia="zh-CN"/>
              </w:rPr>
              <w:t>引入的</w:t>
            </w:r>
            <w:r>
              <w:rPr>
                <w:rFonts w:hint="eastAsia" w:ascii="楷体" w:hAnsi="楷体" w:eastAsia="楷体" w:cs="楷体"/>
                <w:bCs/>
                <w:sz w:val="24"/>
              </w:rPr>
              <w:t>振动对</w:t>
            </w:r>
            <w:r>
              <w:rPr>
                <w:rFonts w:eastAsia="楷体"/>
                <w:bCs/>
                <w:sz w:val="24"/>
              </w:rPr>
              <w:t>bolometer</w:t>
            </w:r>
            <w:r>
              <w:rPr>
                <w:rFonts w:hint="eastAsia" w:ascii="楷体" w:hAnsi="楷体" w:eastAsia="楷体" w:cs="楷体"/>
                <w:bCs/>
                <w:sz w:val="24"/>
              </w:rPr>
              <w:t>噪声的影响，设计匹配我国首个基于低温量热器的</w:t>
            </w:r>
            <w:r>
              <w:rPr>
                <w:rFonts w:hint="default" w:ascii="Times New Roman" w:hAnsi="Times New Roman" w:eastAsia="楷体" w:cs="Times New Roman"/>
                <w:bCs/>
                <w:sz w:val="24"/>
              </w:rPr>
              <w:t>0ν2β</w:t>
            </w:r>
            <w:r>
              <w:rPr>
                <w:rFonts w:hint="eastAsia" w:ascii="楷体" w:hAnsi="楷体" w:eastAsia="楷体" w:cs="楷体"/>
                <w:bCs/>
                <w:sz w:val="24"/>
              </w:rPr>
              <w:t>实验的减</w:t>
            </w:r>
            <w:r>
              <w:rPr>
                <w:rFonts w:hint="eastAsia" w:ascii="楷体" w:hAnsi="楷体" w:eastAsia="楷体" w:cs="楷体"/>
                <w:bCs/>
                <w:sz w:val="24"/>
                <w:lang w:val="en-US" w:eastAsia="zh-CN"/>
              </w:rPr>
              <w:t>振</w:t>
            </w:r>
            <w:r>
              <w:rPr>
                <w:rFonts w:hint="eastAsia" w:ascii="楷体" w:hAnsi="楷体" w:eastAsia="楷体" w:cs="楷体"/>
                <w:bCs/>
                <w:sz w:val="24"/>
              </w:rPr>
              <w:t>方法，综合多种减振技术，旨在提升低温探测器</w:t>
            </w:r>
            <w:r>
              <w:rPr>
                <w:rFonts w:hint="eastAsia" w:ascii="楷体" w:hAnsi="楷体" w:eastAsia="楷体" w:cs="楷体"/>
                <w:bCs/>
                <w:sz w:val="24"/>
                <w:lang w:val="en-US" w:eastAsia="zh-CN"/>
              </w:rPr>
              <w:t>的</w:t>
            </w:r>
            <w:r>
              <w:rPr>
                <w:rFonts w:hint="eastAsia" w:ascii="楷体" w:hAnsi="楷体" w:eastAsia="楷体" w:cs="楷体"/>
                <w:bCs/>
                <w:sz w:val="24"/>
              </w:rPr>
              <w:t>性能。</w:t>
            </w:r>
          </w:p>
        </w:tc>
      </w:tr>
      <w:tr w14:paraId="5D3A9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2" w:hRule="atLeast"/>
          <w:jc w:val="center"/>
        </w:trPr>
        <w:tc>
          <w:tcPr>
            <w:tcW w:w="9940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</w:tcPr>
          <w:p w14:paraId="2C56CE80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3.所要解决的主要问题及研究途径与方法（预期思路或技术路线）</w:t>
            </w:r>
          </w:p>
          <w:p w14:paraId="193CCF48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t>主要问题</w:t>
            </w:r>
            <w:r>
              <w:rPr>
                <w:rFonts w:hint="eastAsia" w:ascii="楷体" w:hAnsi="楷体" w:eastAsia="楷体" w:cs="楷体"/>
                <w:sz w:val="24"/>
              </w:rPr>
              <w:t>：</w:t>
            </w:r>
          </w:p>
          <w:p w14:paraId="4CE8BB45">
            <w:pPr>
              <w:numPr>
                <w:ilvl w:val="0"/>
                <w:numId w:val="2"/>
              </w:num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确定脉冲管制冷机对</w:t>
            </w:r>
            <w:r>
              <w:rPr>
                <w:rFonts w:eastAsia="楷体"/>
                <w:sz w:val="24"/>
              </w:rPr>
              <w:t>bolometer</w:t>
            </w:r>
            <w:r>
              <w:rPr>
                <w:rFonts w:hint="eastAsia" w:ascii="楷体" w:hAnsi="楷体" w:eastAsia="楷体" w:cs="楷体"/>
                <w:sz w:val="24"/>
              </w:rPr>
              <w:t>噪声的影响；</w:t>
            </w:r>
          </w:p>
          <w:p w14:paraId="17653629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2）设计并实现有效的振动隔离方案。</w:t>
            </w:r>
          </w:p>
          <w:p w14:paraId="20DB928C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t>研究途径与方法</w:t>
            </w:r>
            <w:r>
              <w:rPr>
                <w:rFonts w:hint="eastAsia" w:ascii="楷体" w:hAnsi="楷体" w:eastAsia="楷体" w:cs="楷体"/>
                <w:sz w:val="24"/>
              </w:rPr>
              <w:t>：</w:t>
            </w:r>
          </w:p>
          <w:p w14:paraId="2291BB8F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1</w:t>
            </w:r>
            <w:r>
              <w:rPr>
                <w:rFonts w:hint="eastAsia" w:ascii="楷体" w:hAnsi="楷体" w:eastAsia="楷体" w:cs="楷体"/>
                <w:sz w:val="24"/>
                <w:lang w:eastAsia="zh-CN"/>
              </w:rPr>
              <w:t>）</w:t>
            </w:r>
            <w:r>
              <w:rPr>
                <w:rFonts w:hint="eastAsia" w:ascii="楷体" w:hAnsi="楷体" w:eastAsia="楷体" w:cs="楷体"/>
                <w:sz w:val="24"/>
              </w:rPr>
              <w:t>通过振动测量系统（加速度传感器</w:t>
            </w:r>
            <w:r>
              <w:rPr>
                <w:rFonts w:eastAsia="楷体"/>
                <w:sz w:val="24"/>
              </w:rPr>
              <w:t>PCB</w:t>
            </w:r>
            <w:r>
              <w:rPr>
                <w:rFonts w:hint="eastAsia" w:ascii="楷体" w:hAnsi="楷体" w:eastAsia="楷体" w:cs="楷体"/>
                <w:sz w:val="24"/>
              </w:rPr>
              <w:t>），分析振动频谱</w:t>
            </w:r>
            <w:r>
              <w:rPr>
                <w:rFonts w:eastAsia="楷体"/>
                <w:sz w:val="24"/>
              </w:rPr>
              <w:t>PSD</w:t>
            </w:r>
            <w:r>
              <w:rPr>
                <w:rFonts w:hint="eastAsia" w:eastAsia="楷体"/>
                <w:sz w:val="24"/>
              </w:rPr>
              <w:t>以及频段有效位移RMS</w:t>
            </w:r>
            <w:r>
              <w:rPr>
                <w:rFonts w:hint="eastAsia" w:ascii="楷体" w:hAnsi="楷体" w:eastAsia="楷体" w:cs="楷体"/>
                <w:sz w:val="24"/>
              </w:rPr>
              <w:t>；</w:t>
            </w:r>
          </w:p>
          <w:p w14:paraId="4BD5275A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2</w:t>
            </w:r>
            <w:r>
              <w:rPr>
                <w:rFonts w:hint="eastAsia" w:ascii="楷体" w:hAnsi="楷体" w:eastAsia="楷体" w:cs="楷体"/>
                <w:sz w:val="24"/>
                <w:lang w:eastAsia="zh-CN"/>
              </w:rPr>
              <w:t>）</w:t>
            </w:r>
            <w:r>
              <w:rPr>
                <w:rFonts w:hint="eastAsia" w:ascii="楷体" w:hAnsi="楷体" w:eastAsia="楷体" w:cs="楷体"/>
                <w:sz w:val="24"/>
              </w:rPr>
              <w:t xml:space="preserve">采用弹簧悬挂与柔性连接等隔振结构优化系统，并验证其对 </w:t>
            </w:r>
            <w:r>
              <w:rPr>
                <w:rFonts w:eastAsia="楷体"/>
                <w:sz w:val="24"/>
              </w:rPr>
              <w:t>bolometer</w:t>
            </w:r>
            <w:r>
              <w:rPr>
                <w:rFonts w:hint="eastAsia" w:ascii="楷体" w:hAnsi="楷体" w:eastAsia="楷体" w:cs="楷体"/>
                <w:sz w:val="24"/>
              </w:rPr>
              <w:t>噪声的抑制效果；</w:t>
            </w:r>
          </w:p>
          <w:p w14:paraId="5FBC7DFF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3</w:t>
            </w:r>
            <w:r>
              <w:rPr>
                <w:rFonts w:hint="eastAsia" w:ascii="楷体" w:hAnsi="楷体" w:eastAsia="楷体" w:cs="楷体"/>
                <w:sz w:val="24"/>
                <w:lang w:eastAsia="zh-CN"/>
              </w:rPr>
              <w:t>）</w:t>
            </w:r>
            <w:r>
              <w:rPr>
                <w:rFonts w:hint="eastAsia" w:ascii="楷体" w:hAnsi="楷体" w:eastAsia="楷体" w:cs="楷体"/>
                <w:sz w:val="24"/>
              </w:rPr>
              <w:t>评估改进后的系统对</w:t>
            </w:r>
            <w:r>
              <w:rPr>
                <w:rFonts w:eastAsia="楷体"/>
                <w:sz w:val="24"/>
              </w:rPr>
              <w:t>0ν2β</w:t>
            </w:r>
            <w:r>
              <w:rPr>
                <w:rFonts w:hint="eastAsia" w:eastAsia="楷体"/>
                <w:sz w:val="24"/>
              </w:rPr>
              <w:t xml:space="preserve"> </w:t>
            </w:r>
            <w:r>
              <w:rPr>
                <w:rFonts w:hint="eastAsia" w:ascii="楷体" w:hAnsi="楷体" w:eastAsia="楷体" w:cs="楷体"/>
                <w:sz w:val="24"/>
              </w:rPr>
              <w:t>探测器灵敏度的提升。</w:t>
            </w:r>
          </w:p>
        </w:tc>
      </w:tr>
      <w:tr w14:paraId="6AFE2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9940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</w:tcPr>
          <w:p w14:paraId="2B44019A">
            <w:pPr>
              <w:spacing w:line="300" w:lineRule="auto"/>
              <w:jc w:val="left"/>
            </w:pPr>
            <w:r>
              <w:rPr>
                <w:rFonts w:ascii="楷体" w:hAnsi="楷体" w:eastAsia="楷体" w:cs="楷体"/>
                <w:sz w:val="24"/>
              </w:rPr>
              <w:t>4.研究进度及具体时间安排</w:t>
            </w:r>
          </w:p>
        </w:tc>
      </w:tr>
      <w:tr w14:paraId="4D57E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  <w:jc w:val="center"/>
        </w:trPr>
        <w:tc>
          <w:tcPr>
            <w:tcW w:w="16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68E228">
            <w:pPr>
              <w:spacing w:line="300" w:lineRule="auto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起讫日期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B8DBE5">
            <w:pPr>
              <w:spacing w:line="300" w:lineRule="auto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主要研究内容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6CD89EFB">
            <w:pPr>
              <w:spacing w:line="300" w:lineRule="auto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预期结果</w:t>
            </w:r>
          </w:p>
        </w:tc>
      </w:tr>
      <w:tr w14:paraId="2F260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6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0332B3">
            <w:pPr>
              <w:snapToGrid w:val="0"/>
              <w:spacing w:line="300" w:lineRule="auto"/>
              <w:rPr>
                <w:rFonts w:eastAsia="楷体"/>
                <w:sz w:val="24"/>
              </w:rPr>
            </w:pPr>
            <w:r>
              <w:rPr>
                <w:rFonts w:eastAsia="楷体"/>
                <w:sz w:val="20"/>
                <w:szCs w:val="20"/>
              </w:rPr>
              <w:t>2024.12-2025.0</w:t>
            </w:r>
            <w:r>
              <w:rPr>
                <w:rFonts w:hint="eastAsia" w:eastAsia="楷体"/>
                <w:sz w:val="20"/>
                <w:szCs w:val="20"/>
              </w:rPr>
              <w:t>4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CE46D">
            <w:pPr>
              <w:snapToGrid w:val="0"/>
              <w:spacing w:line="300" w:lineRule="auto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单级减振调研与模拟，实验室振动测量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4A941CE9">
            <w:pPr>
              <w:snapToGrid w:val="0"/>
              <w:spacing w:line="300" w:lineRule="auto"/>
              <w:jc w:val="center"/>
              <w:rPr>
                <w:rFonts w:hint="eastAsia" w:ascii="楷体" w:hAnsi="楷体" w:eastAsia="楷体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</w:rPr>
              <w:t>设计最优单级减振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系统</w:t>
            </w:r>
          </w:p>
        </w:tc>
      </w:tr>
      <w:tr w14:paraId="08DA3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6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A992A3">
            <w:pPr>
              <w:snapToGrid w:val="0"/>
              <w:spacing w:line="300" w:lineRule="auto"/>
              <w:rPr>
                <w:rFonts w:eastAsia="楷体"/>
                <w:sz w:val="24"/>
              </w:rPr>
            </w:pPr>
            <w:r>
              <w:rPr>
                <w:rFonts w:hint="eastAsia" w:eastAsia="楷体"/>
                <w:sz w:val="20"/>
                <w:szCs w:val="20"/>
              </w:rPr>
              <w:t>2025.05-2025.10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6B51BA">
            <w:pPr>
              <w:snapToGrid w:val="0"/>
              <w:spacing w:line="300" w:lineRule="auto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二级减振调研与模拟，实验室振动测量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042B3699">
            <w:pPr>
              <w:snapToGrid w:val="0"/>
              <w:spacing w:line="300" w:lineRule="auto"/>
              <w:jc w:val="center"/>
              <w:rPr>
                <w:rFonts w:hint="eastAsia" w:ascii="楷体" w:hAnsi="楷体" w:eastAsia="楷体" w:cs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</w:rPr>
              <w:t>设计最优二级减振</w:t>
            </w:r>
            <w:r>
              <w:rPr>
                <w:rFonts w:hint="eastAsia" w:ascii="楷体" w:hAnsi="楷体" w:eastAsia="楷体" w:cs="楷体"/>
                <w:sz w:val="24"/>
                <w:lang w:val="en-US" w:eastAsia="zh-CN"/>
              </w:rPr>
              <w:t>系统</w:t>
            </w:r>
          </w:p>
        </w:tc>
      </w:tr>
      <w:tr w14:paraId="442A1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" w:hRule="atLeast"/>
          <w:jc w:val="center"/>
        </w:trPr>
        <w:tc>
          <w:tcPr>
            <w:tcW w:w="161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192B3">
            <w:pPr>
              <w:snapToGrid w:val="0"/>
              <w:spacing w:line="300" w:lineRule="auto"/>
              <w:rPr>
                <w:rFonts w:hint="eastAsia" w:eastAsia="楷体"/>
                <w:sz w:val="24"/>
                <w:lang w:eastAsia="zh-CN"/>
              </w:rPr>
            </w:pPr>
            <w:r>
              <w:rPr>
                <w:rFonts w:hint="eastAsia" w:eastAsia="楷体"/>
                <w:sz w:val="20"/>
                <w:szCs w:val="20"/>
              </w:rPr>
              <w:t>2025.11-2026.0</w:t>
            </w:r>
            <w:r>
              <w:rPr>
                <w:rFonts w:hint="eastAsia" w:eastAsia="楷体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F5AF72">
            <w:pPr>
              <w:snapToGrid w:val="0"/>
              <w:spacing w:line="300" w:lineRule="auto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低温振动测试，评估振动对量热器的影响</w:t>
            </w:r>
          </w:p>
        </w:tc>
        <w:tc>
          <w:tcPr>
            <w:tcW w:w="3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558A11F">
            <w:pPr>
              <w:snapToGrid w:val="0"/>
              <w:spacing w:line="300" w:lineRule="auto"/>
              <w:jc w:val="center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理解振动传递机制，撰写文章</w:t>
            </w:r>
          </w:p>
        </w:tc>
      </w:tr>
      <w:tr w14:paraId="4CF18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  <w:jc w:val="center"/>
        </w:trPr>
        <w:tc>
          <w:tcPr>
            <w:tcW w:w="9940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</w:tcPr>
          <w:p w14:paraId="40DD1323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5.协助导师具体指导的人员配备情况及现有条件</w:t>
            </w:r>
          </w:p>
          <w:p w14:paraId="7C33F835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t>指导人员</w:t>
            </w:r>
            <w:r>
              <w:rPr>
                <w:rFonts w:hint="eastAsia" w:ascii="楷体" w:hAnsi="楷体" w:eastAsia="楷体" w:cs="楷体"/>
                <w:sz w:val="24"/>
              </w:rPr>
              <w:t>：</w:t>
            </w:r>
          </w:p>
          <w:p w14:paraId="70C608EE">
            <w:pPr>
              <w:spacing w:line="300" w:lineRule="auto"/>
              <w:rPr>
                <w:rFonts w:hint="eastAsia" w:ascii="楷体" w:hAnsi="楷体" w:eastAsia="楷体" w:cs="楷体"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sz w:val="24"/>
              </w:rPr>
              <w:t>马龙老师、陈昊老师、黄焕中教授</w:t>
            </w:r>
            <w:r>
              <w:rPr>
                <w:rFonts w:hint="eastAsia" w:ascii="楷体" w:hAnsi="楷体" w:eastAsia="楷体" w:cs="楷体"/>
                <w:sz w:val="24"/>
                <w:lang w:eastAsia="zh-CN"/>
              </w:rPr>
              <w:t>。</w:t>
            </w:r>
          </w:p>
          <w:p w14:paraId="78518014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</w:rPr>
              <w:t>现有条件</w:t>
            </w:r>
            <w:r>
              <w:rPr>
                <w:rFonts w:hint="eastAsia" w:ascii="楷体" w:hAnsi="楷体" w:eastAsia="楷体" w:cs="楷体"/>
                <w:sz w:val="24"/>
              </w:rPr>
              <w:t>：</w:t>
            </w:r>
          </w:p>
          <w:p w14:paraId="69AB7593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无中微子双贝塔衰变实验室（稀释制冷机，系所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3</w:t>
            </w:r>
            <w:r>
              <w:rPr>
                <w:rFonts w:hint="eastAsia" w:ascii="楷体" w:hAnsi="楷体" w:eastAsia="楷体" w:cs="楷体"/>
                <w:sz w:val="24"/>
              </w:rPr>
              <w:t>号楼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101</w:t>
            </w:r>
            <w:r>
              <w:rPr>
                <w:rFonts w:hint="eastAsia" w:ascii="楷体" w:hAnsi="楷体" w:eastAsia="楷体" w:cs="楷体"/>
                <w:sz w:val="24"/>
              </w:rPr>
              <w:t>实验室）；</w:t>
            </w:r>
          </w:p>
          <w:p w14:paraId="71CA8169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加速度传感器</w:t>
            </w:r>
            <w:r>
              <w:rPr>
                <w:rFonts w:eastAsia="楷体"/>
                <w:sz w:val="24"/>
              </w:rPr>
              <w:t>PCB-333B05、PCB-2271AM20</w:t>
            </w:r>
            <w:r>
              <w:rPr>
                <w:rFonts w:hint="eastAsia" w:ascii="楷体" w:hAnsi="楷体" w:eastAsia="楷体" w:cs="楷体"/>
                <w:sz w:val="24"/>
              </w:rPr>
              <w:t>（低温）；</w:t>
            </w:r>
          </w:p>
          <w:p w14:paraId="00D38066">
            <w:pPr>
              <w:spacing w:line="300" w:lineRule="auto"/>
              <w:rPr>
                <w:rFonts w:hint="eastAsia" w:ascii="楷体" w:hAnsi="楷体" w:eastAsia="楷体" w:cs="楷体"/>
                <w:sz w:val="24"/>
                <w:lang w:eastAsia="zh-CN"/>
              </w:rPr>
            </w:pPr>
            <w:r>
              <w:rPr>
                <w:rFonts w:hint="eastAsia" w:ascii="楷体" w:hAnsi="楷体" w:eastAsia="楷体" w:cs="楷体"/>
                <w:sz w:val="24"/>
              </w:rPr>
              <w:t>传感器信号调理器</w:t>
            </w:r>
            <w:r>
              <w:rPr>
                <w:rFonts w:eastAsia="楷体"/>
                <w:sz w:val="24"/>
              </w:rPr>
              <w:t>PCB-480E09</w:t>
            </w:r>
            <w:r>
              <w:rPr>
                <w:rFonts w:hint="eastAsia" w:ascii="楷体" w:hAnsi="楷体" w:eastAsia="楷体" w:cs="楷体"/>
                <w:sz w:val="24"/>
                <w:lang w:eastAsia="zh-CN"/>
              </w:rPr>
              <w:t>。</w:t>
            </w:r>
          </w:p>
        </w:tc>
      </w:tr>
      <w:tr w14:paraId="146C8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  <w:jc w:val="center"/>
        </w:trPr>
        <w:tc>
          <w:tcPr>
            <w:tcW w:w="9940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</w:tcPr>
          <w:p w14:paraId="68FDEB29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6.与选题有关的研究工作积累、已有的研究工作成绩</w:t>
            </w:r>
          </w:p>
          <w:p w14:paraId="70337A47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（1）单级与二级减振的调研与模拟；</w:t>
            </w:r>
          </w:p>
          <w:p w14:paraId="01E6F5B3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hint="eastAsia" w:ascii="楷体" w:hAnsi="楷体" w:eastAsia="楷体" w:cs="楷体"/>
                <w:sz w:val="24"/>
              </w:rPr>
              <w:t>（2）实验室部分位置振动测试。</w:t>
            </w:r>
          </w:p>
        </w:tc>
      </w:tr>
      <w:tr w14:paraId="2E782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9940" w:type="dxa"/>
            <w:gridSpan w:val="3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2F32D67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7.课题经费预算</w:t>
            </w:r>
          </w:p>
          <w:p w14:paraId="662181A9">
            <w:pPr>
              <w:spacing w:line="300" w:lineRule="auto"/>
              <w:rPr>
                <w:rFonts w:hint="eastAsia" w:eastAsia="楷体"/>
                <w:sz w:val="24"/>
                <w:lang w:eastAsia="zh-CN"/>
              </w:rPr>
            </w:pPr>
            <w:r>
              <w:rPr>
                <w:rFonts w:hint="eastAsia" w:eastAsia="楷体"/>
                <w:sz w:val="24"/>
              </w:rPr>
              <w:t>测</w:t>
            </w:r>
            <w:r>
              <w:rPr>
                <w:rFonts w:hint="eastAsia" w:eastAsia="楷体"/>
                <w:sz w:val="24"/>
                <w:lang w:val="en-US" w:eastAsia="zh-CN"/>
              </w:rPr>
              <w:t>量振动</w:t>
            </w:r>
            <w:r>
              <w:rPr>
                <w:rFonts w:hint="eastAsia" w:eastAsia="楷体"/>
                <w:sz w:val="24"/>
              </w:rPr>
              <w:t>设备2</w:t>
            </w:r>
            <w:r>
              <w:rPr>
                <w:rFonts w:eastAsia="楷体"/>
                <w:sz w:val="24"/>
              </w:rPr>
              <w:t>w+</w:t>
            </w:r>
            <w:r>
              <w:rPr>
                <w:rFonts w:hint="eastAsia" w:eastAsia="楷体"/>
                <w:sz w:val="24"/>
                <w:lang w:eastAsia="zh-CN"/>
              </w:rPr>
              <w:t>。</w:t>
            </w:r>
          </w:p>
        </w:tc>
      </w:tr>
    </w:tbl>
    <w:p w14:paraId="529FBE41">
      <w:pPr>
        <w:rPr>
          <w:rFonts w:eastAsia="楷体_GB2312"/>
          <w:sz w:val="2"/>
        </w:rPr>
      </w:pPr>
    </w:p>
    <w:tbl>
      <w:tblPr>
        <w:tblStyle w:val="1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60045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9638" w:type="dxa"/>
            <w:tcBorders>
              <w:bottom w:val="single" w:color="000000" w:sz="12" w:space="0"/>
            </w:tcBorders>
          </w:tcPr>
          <w:p w14:paraId="5552AEAF">
            <w:pPr>
              <w:spacing w:line="300" w:lineRule="auto"/>
              <w:rPr>
                <w:rFonts w:ascii="黑体;SimHei" w:hAnsi="黑体;SimHei" w:eastAsia="黑体;SimHei" w:cs="黑体;SimHei"/>
                <w:b/>
              </w:rPr>
            </w:pPr>
            <w:r>
              <w:rPr>
                <w:rFonts w:ascii="黑体;SimHei" w:hAnsi="黑体;SimHei" w:eastAsia="黑体;SimHei" w:cs="黑体;SimHei"/>
                <w:b/>
                <w:sz w:val="24"/>
              </w:rPr>
              <w:t>四、开题报告专家评议表（可续页）</w:t>
            </w:r>
          </w:p>
        </w:tc>
      </w:tr>
      <w:tr w14:paraId="45426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5" w:hRule="atLeast"/>
        </w:trPr>
        <w:tc>
          <w:tcPr>
            <w:tcW w:w="963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2BFF3CE">
            <w:pPr>
              <w:spacing w:line="300" w:lineRule="auto"/>
            </w:pPr>
            <w:r>
              <w:rPr>
                <w:rFonts w:ascii="楷体" w:hAnsi="楷体" w:eastAsia="楷体" w:cs="楷体"/>
                <w:sz w:val="24"/>
              </w:rPr>
              <w:t>1．对选题依据、预期思路或技术路线的科学性、可行性及创新性的评价</w:t>
            </w:r>
          </w:p>
          <w:p w14:paraId="38F8FD81">
            <w:pPr>
              <w:spacing w:line="300" w:lineRule="auto"/>
              <w:rPr>
                <w:rFonts w:ascii="楷体" w:hAnsi="楷体" w:eastAsia="楷体_GB2312" w:cs="楷体"/>
                <w:sz w:val="24"/>
              </w:rPr>
            </w:pPr>
          </w:p>
          <w:p w14:paraId="43220545">
            <w:pPr>
              <w:spacing w:line="300" w:lineRule="auto"/>
              <w:rPr>
                <w:rFonts w:eastAsia="楷体_GB2312"/>
              </w:rPr>
            </w:pPr>
          </w:p>
          <w:p w14:paraId="0B3105E1">
            <w:pPr>
              <w:spacing w:line="300" w:lineRule="auto"/>
              <w:rPr>
                <w:rFonts w:eastAsia="楷体_GB2312"/>
              </w:rPr>
            </w:pPr>
          </w:p>
          <w:p w14:paraId="72BB4C19">
            <w:pPr>
              <w:spacing w:line="300" w:lineRule="auto"/>
              <w:rPr>
                <w:rFonts w:eastAsia="楷体_GB2312"/>
              </w:rPr>
            </w:pPr>
          </w:p>
          <w:p w14:paraId="1663403D">
            <w:pPr>
              <w:spacing w:line="300" w:lineRule="auto"/>
              <w:rPr>
                <w:rFonts w:eastAsia="楷体_GB2312"/>
              </w:rPr>
            </w:pPr>
          </w:p>
          <w:p w14:paraId="78A41FE0">
            <w:pPr>
              <w:spacing w:line="300" w:lineRule="auto"/>
              <w:rPr>
                <w:rFonts w:eastAsia="楷体_GB2312"/>
              </w:rPr>
            </w:pPr>
          </w:p>
          <w:p w14:paraId="4B67CBA9">
            <w:pPr>
              <w:spacing w:line="300" w:lineRule="auto"/>
              <w:rPr>
                <w:rFonts w:eastAsia="楷体_GB2312"/>
              </w:rPr>
            </w:pPr>
          </w:p>
          <w:p w14:paraId="67FCF2D3">
            <w:pPr>
              <w:spacing w:line="300" w:lineRule="auto"/>
              <w:rPr>
                <w:rFonts w:eastAsia="楷体_GB2312"/>
              </w:rPr>
            </w:pPr>
          </w:p>
          <w:p w14:paraId="6DFC8016">
            <w:pPr>
              <w:spacing w:line="300" w:lineRule="auto"/>
              <w:rPr>
                <w:rFonts w:eastAsia="楷体_GB2312"/>
              </w:rPr>
            </w:pPr>
          </w:p>
          <w:p w14:paraId="0ACABA5D">
            <w:pPr>
              <w:spacing w:line="300" w:lineRule="auto"/>
              <w:rPr>
                <w:rFonts w:eastAsia="楷体_GB2312"/>
              </w:rPr>
            </w:pPr>
          </w:p>
          <w:p w14:paraId="1E5C4AB1">
            <w:pPr>
              <w:spacing w:line="300" w:lineRule="auto"/>
              <w:rPr>
                <w:rFonts w:eastAsia="楷体_GB2312"/>
              </w:rPr>
            </w:pPr>
          </w:p>
          <w:p w14:paraId="55AA3806">
            <w:pPr>
              <w:spacing w:line="300" w:lineRule="auto"/>
              <w:rPr>
                <w:rFonts w:eastAsia="楷体_GB2312"/>
              </w:rPr>
            </w:pPr>
          </w:p>
          <w:p w14:paraId="7E342235">
            <w:pPr>
              <w:spacing w:line="300" w:lineRule="auto"/>
              <w:rPr>
                <w:rFonts w:eastAsia="楷体_GB2312"/>
              </w:rPr>
            </w:pPr>
          </w:p>
          <w:p w14:paraId="311137E7">
            <w:pPr>
              <w:spacing w:line="300" w:lineRule="auto"/>
              <w:rPr>
                <w:rFonts w:eastAsia="楷体_GB2312"/>
              </w:rPr>
            </w:pPr>
          </w:p>
          <w:p w14:paraId="7C9A5AED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>2．存在的主要问题和改进措施</w:t>
            </w:r>
          </w:p>
          <w:p w14:paraId="489F3746">
            <w:pPr>
              <w:spacing w:line="300" w:lineRule="auto"/>
              <w:rPr>
                <w:rFonts w:ascii="楷体" w:hAnsi="楷体" w:eastAsia="楷体_GB2312" w:cs="楷体"/>
                <w:sz w:val="24"/>
              </w:rPr>
            </w:pPr>
          </w:p>
          <w:p w14:paraId="1F1857F7">
            <w:pPr>
              <w:spacing w:line="300" w:lineRule="auto"/>
              <w:rPr>
                <w:rFonts w:eastAsia="楷体_GB2312"/>
              </w:rPr>
            </w:pPr>
          </w:p>
          <w:p w14:paraId="03F368EA">
            <w:pPr>
              <w:spacing w:line="300" w:lineRule="auto"/>
              <w:rPr>
                <w:rFonts w:eastAsia="楷体_GB2312"/>
              </w:rPr>
            </w:pPr>
          </w:p>
          <w:p w14:paraId="2C0C85BE">
            <w:pPr>
              <w:spacing w:line="300" w:lineRule="auto"/>
              <w:rPr>
                <w:rFonts w:eastAsia="楷体_GB2312"/>
              </w:rPr>
            </w:pPr>
          </w:p>
          <w:p w14:paraId="77738E5B">
            <w:pPr>
              <w:spacing w:line="300" w:lineRule="auto"/>
              <w:rPr>
                <w:rFonts w:eastAsia="楷体_GB2312"/>
              </w:rPr>
            </w:pPr>
          </w:p>
          <w:p w14:paraId="27292C13">
            <w:pPr>
              <w:spacing w:line="300" w:lineRule="auto"/>
              <w:rPr>
                <w:rFonts w:eastAsia="楷体_GB2312"/>
              </w:rPr>
            </w:pPr>
          </w:p>
          <w:p w14:paraId="718CA7D8">
            <w:pPr>
              <w:spacing w:line="300" w:lineRule="auto"/>
              <w:rPr>
                <w:rFonts w:eastAsia="楷体_GB2312"/>
              </w:rPr>
            </w:pPr>
          </w:p>
          <w:p w14:paraId="3C100C98">
            <w:pPr>
              <w:spacing w:line="300" w:lineRule="auto"/>
              <w:rPr>
                <w:rFonts w:eastAsia="楷体_GB2312"/>
              </w:rPr>
            </w:pPr>
          </w:p>
          <w:p w14:paraId="4EBFF81D">
            <w:pPr>
              <w:spacing w:line="300" w:lineRule="auto"/>
              <w:rPr>
                <w:rFonts w:eastAsia="楷体_GB2312"/>
              </w:rPr>
            </w:pPr>
          </w:p>
          <w:p w14:paraId="359E42A8">
            <w:pPr>
              <w:spacing w:line="300" w:lineRule="auto"/>
              <w:rPr>
                <w:rFonts w:eastAsia="楷体_GB2312"/>
              </w:rPr>
            </w:pPr>
          </w:p>
          <w:p w14:paraId="137003DF">
            <w:pPr>
              <w:spacing w:line="300" w:lineRule="auto"/>
              <w:rPr>
                <w:rFonts w:eastAsia="楷体_GB2312"/>
              </w:rPr>
            </w:pPr>
          </w:p>
          <w:p w14:paraId="4B513783">
            <w:pPr>
              <w:spacing w:line="300" w:lineRule="auto"/>
              <w:rPr>
                <w:rFonts w:eastAsia="楷体_GB2312"/>
              </w:rPr>
            </w:pPr>
          </w:p>
          <w:p w14:paraId="05CB6A98">
            <w:pPr>
              <w:spacing w:line="300" w:lineRule="auto"/>
            </w:pPr>
            <w:r>
              <w:rPr>
                <w:rFonts w:ascii="楷体" w:hAnsi="楷体" w:eastAsia="楷体" w:cs="楷体"/>
                <w:sz w:val="24"/>
              </w:rPr>
              <w:t>3．专家意见：</w:t>
            </w:r>
            <w:r>
              <w:rPr>
                <w:rFonts w:ascii="楷体" w:hAnsi="楷体" w:eastAsia="楷体" w:cs="楷体"/>
                <w:b/>
                <w:sz w:val="24"/>
              </w:rPr>
              <w:t xml:space="preserve"> □通过    □不通过</w:t>
            </w:r>
          </w:p>
          <w:p w14:paraId="67C50010">
            <w:pPr>
              <w:spacing w:line="300" w:lineRule="auto"/>
              <w:rPr>
                <w:rFonts w:ascii="楷体" w:hAnsi="楷体" w:eastAsia="楷体_GB2312" w:cs="楷体"/>
                <w:b/>
                <w:sz w:val="24"/>
              </w:rPr>
            </w:pPr>
          </w:p>
          <w:p w14:paraId="0BA06485">
            <w:pPr>
              <w:spacing w:line="300" w:lineRule="auto"/>
              <w:rPr>
                <w:rFonts w:eastAsia="楷体_GB2312"/>
              </w:rPr>
            </w:pPr>
          </w:p>
          <w:p w14:paraId="233CFBB7">
            <w:pPr>
              <w:spacing w:line="300" w:lineRule="auto"/>
              <w:rPr>
                <w:rFonts w:ascii="楷体" w:hAnsi="楷体" w:eastAsia="楷体" w:cs="楷体"/>
                <w:sz w:val="24"/>
              </w:rPr>
            </w:pPr>
            <w:r>
              <w:rPr>
                <w:rFonts w:ascii="楷体" w:hAnsi="楷体" w:eastAsia="楷体" w:cs="楷体"/>
                <w:sz w:val="24"/>
              </w:rPr>
              <w:t xml:space="preserve">   记录员签名：                                专家组长签名：</w:t>
            </w:r>
          </w:p>
          <w:p w14:paraId="75915433">
            <w:pPr>
              <w:spacing w:line="300" w:lineRule="auto"/>
              <w:rPr>
                <w:rFonts w:ascii="楷体" w:hAnsi="楷体" w:eastAsia="楷体_GB2312" w:cs="楷体"/>
                <w:sz w:val="24"/>
              </w:rPr>
            </w:pPr>
          </w:p>
          <w:p w14:paraId="6358159F">
            <w:pPr>
              <w:spacing w:line="300" w:lineRule="auto"/>
              <w:rPr>
                <w:rFonts w:eastAsia="楷体_GB2312"/>
              </w:rPr>
            </w:pPr>
            <w:r>
              <w:rPr>
                <w:rFonts w:eastAsia="Times New Roman"/>
              </w:rPr>
              <w:t xml:space="preserve">                                                               </w:t>
            </w:r>
            <w:r>
              <w:rPr>
                <w:rFonts w:eastAsia="楷体_GB2312"/>
                <w:sz w:val="24"/>
              </w:rPr>
              <w:t>日期：</w:t>
            </w:r>
          </w:p>
        </w:tc>
      </w:tr>
    </w:tbl>
    <w:p w14:paraId="1E801C95"/>
    <w:sectPr>
      <w:headerReference r:id="rId7" w:type="first"/>
      <w:footerReference r:id="rId9" w:type="first"/>
      <w:headerReference r:id="rId6" w:type="default"/>
      <w:footerReference r:id="rId8" w:type="default"/>
      <w:pgSz w:w="11906" w:h="16838"/>
      <w:pgMar w:top="1418" w:right="1134" w:bottom="1134" w:left="1134" w:header="1134" w:footer="851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;SimSun">
    <w:altName w:val="宋体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Noto Sans">
    <w:altName w:val="Noto Sans SC"/>
    <w:panose1 w:val="020B0502040504020204"/>
    <w:charset w:val="00"/>
    <w:family w:val="swiss"/>
    <w:pitch w:val="default"/>
    <w:sig w:usb0="00000000" w:usb1="00000000" w:usb2="00000021" w:usb3="00000000" w:csb0="0000019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黑体;SimHei">
    <w:altName w:val="黑体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A4563">
    <w:pPr>
      <w:pStyle w:val="7"/>
      <w:wordWrap w:val="0"/>
      <w:jc w:val="right"/>
    </w:pPr>
    <w:r>
      <w:t>{姓名}：</w:t>
    </w:r>
    <w:r>
      <w:rPr>
        <w:rFonts w:eastAsia="Times New Roman"/>
      </w:rPr>
      <w:t xml:space="preserve"> </w:t>
    </w:r>
    <w:r>
      <w:rPr>
        <w:rFonts w:hint="eastAsia" w:eastAsia="宋体"/>
      </w:rPr>
      <w:t>曹华琦</w:t>
    </w:r>
    <w:r>
      <w:rPr>
        <w:rFonts w:eastAsia="Times New Roman"/>
      </w:rPr>
      <w:t xml:space="preserve">   </w:t>
    </w:r>
    <w:r>
      <w:t>{学号}：</w:t>
    </w:r>
    <w:r>
      <w:rPr>
        <w:rFonts w:hint="eastAsia"/>
      </w:rPr>
      <w:t xml:space="preserve">24210200001   </w:t>
    </w:r>
  </w:p>
  <w:p w14:paraId="4BF4A0E2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24CAD">
    <w:pPr>
      <w:pStyle w:val="7"/>
      <w:wordWrap w:val="0"/>
      <w:jc w:val="right"/>
    </w:pPr>
    <w:r>
      <w:rPr>
        <w:rFonts w:eastAsia="Times New Roman"/>
      </w:rPr>
      <w:t xml:space="preserve">                                  </w:t>
    </w:r>
    <w:r>
      <w:t>{姓名}：</w:t>
    </w:r>
    <w:r>
      <w:rPr>
        <w:rFonts w:eastAsia="Times New Roman"/>
      </w:rPr>
      <w:t xml:space="preserve"> </w:t>
    </w:r>
    <w:r>
      <w:rPr>
        <w:rFonts w:hint="eastAsia" w:eastAsia="宋体"/>
      </w:rPr>
      <w:t>曹华琦</w:t>
    </w:r>
    <w:r>
      <w:rPr>
        <w:rFonts w:eastAsia="Times New Roman"/>
      </w:rPr>
      <w:t xml:space="preserve">   </w:t>
    </w:r>
    <w:r>
      <w:t>{学号}：</w:t>
    </w:r>
    <w:r>
      <w:rPr>
        <w:rFonts w:hint="eastAsia"/>
      </w:rPr>
      <w:t xml:space="preserve">24210200001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85A7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 w14:paraId="70A56D4A">
      <w:pPr>
        <w:pStyle w:val="10"/>
      </w:pPr>
      <w:r>
        <w:rPr>
          <w:rStyle w:val="29"/>
        </w:rPr>
        <w:footnoteRef/>
      </w:r>
      <w:r>
        <w:t>重新开题者需重新填写本表，连同此前的开题报告一并归入本人学业档案。</w:t>
      </w:r>
    </w:p>
  </w:footnote>
  <w:footnote w:id="1">
    <w:p w14:paraId="155EAC44">
      <w:pPr>
        <w:pStyle w:val="10"/>
      </w:pPr>
      <w:r>
        <w:rPr>
          <w:rStyle w:val="29"/>
        </w:rPr>
        <w:footnoteRef/>
      </w:r>
      <w:r>
        <w:t>简要评述该学位论文开题报告的规范性、选题的创新性、研究方案的可行性。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839C0">
    <w:pPr>
      <w:pStyle w:val="8"/>
      <w:jc w:val="right"/>
    </w:pPr>
    <w:r>
      <w:t>复旦大学研究生培养手册</w:t>
    </w:r>
    <w:r>
      <w:rPr>
        <w:rFonts w:ascii="宋体;SimSun" w:hAnsi="宋体;SimSun" w:cs="宋体;SimSun"/>
      </w:rPr>
      <w:t>·</w:t>
    </w:r>
    <w:r>
      <w:t>开题报告记录表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DCF32">
    <w:pPr>
      <w:pStyle w:val="8"/>
      <w:jc w:val="right"/>
    </w:pPr>
    <w:r>
      <w:t>复旦大学研究生培养手册</w:t>
    </w:r>
    <w:r>
      <w:rPr>
        <w:rFonts w:ascii="宋体;SimSun" w:hAnsi="宋体;SimSun" w:cs="宋体;SimSun"/>
      </w:rPr>
      <w:t>·</w:t>
    </w:r>
    <w:r>
      <w:t>开题报告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805C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15B5C728"/>
    <w:multiLevelType w:val="singleLevel"/>
    <w:tmpl w:val="15B5C72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trackRevisions w:val="1"/>
  <w:documentProtection w:enforcement="0"/>
  <w:defaultTabStop w:val="420"/>
  <w:autoHyphenation/>
  <w:hyphenationZone w:val="0"/>
  <w:noPunctuationKerning w:val="1"/>
  <w:characterSpacingControl w:val="doNotCompress"/>
  <w:footnotePr>
    <w:footnote w:id="4"/>
    <w:footnote w:id="5"/>
  </w:foot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dkNDIxYzgwZGZiZWI0ZWNmN2RjNzAzYjQ4ZjNlZTAifQ=="/>
  </w:docVars>
  <w:rsids>
    <w:rsidRoot w:val="00772D1E"/>
    <w:rsid w:val="00023F95"/>
    <w:rsid w:val="0004685A"/>
    <w:rsid w:val="001E0F1D"/>
    <w:rsid w:val="002C49DB"/>
    <w:rsid w:val="003D554B"/>
    <w:rsid w:val="00664899"/>
    <w:rsid w:val="006E30C9"/>
    <w:rsid w:val="00772D1E"/>
    <w:rsid w:val="008B3E15"/>
    <w:rsid w:val="00AA33E8"/>
    <w:rsid w:val="00AB4117"/>
    <w:rsid w:val="00CB4ADA"/>
    <w:rsid w:val="00CD46BF"/>
    <w:rsid w:val="00E33FF9"/>
    <w:rsid w:val="00E65E8D"/>
    <w:rsid w:val="00FA2E8F"/>
    <w:rsid w:val="00FE1CB0"/>
    <w:rsid w:val="055F398C"/>
    <w:rsid w:val="116869A9"/>
    <w:rsid w:val="12596E43"/>
    <w:rsid w:val="13556FE5"/>
    <w:rsid w:val="1EC57AEB"/>
    <w:rsid w:val="2A6731F2"/>
    <w:rsid w:val="2C3E19BC"/>
    <w:rsid w:val="3ACC7FEE"/>
    <w:rsid w:val="41883E16"/>
    <w:rsid w:val="51DC6152"/>
    <w:rsid w:val="63584057"/>
    <w:rsid w:val="67CF0274"/>
    <w:rsid w:val="745F2DF8"/>
    <w:rsid w:val="75C42648"/>
    <w:rsid w:val="786A41B8"/>
    <w:rsid w:val="7C8A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;SimSun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bCs/>
      <w:sz w:val="44"/>
      <w:szCs w:val="4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Noto Sans"/>
      <w:i/>
      <w:iCs/>
      <w:sz w:val="24"/>
    </w:rPr>
  </w:style>
  <w:style w:type="paragraph" w:styleId="4">
    <w:name w:val="annotation text"/>
    <w:basedOn w:val="1"/>
    <w:link w:val="40"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after="140" w:line="276" w:lineRule="auto"/>
    </w:pPr>
  </w:style>
  <w:style w:type="paragraph" w:styleId="6">
    <w:name w:val="endnote text"/>
    <w:basedOn w:val="1"/>
    <w:qFormat/>
    <w:uiPriority w:val="0"/>
    <w:pPr>
      <w:snapToGrid w:val="0"/>
      <w:jc w:val="left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List"/>
    <w:basedOn w:val="5"/>
    <w:qFormat/>
    <w:uiPriority w:val="0"/>
    <w:rPr>
      <w:rFonts w:cs="Noto Sans"/>
    </w:rPr>
  </w:style>
  <w:style w:type="paragraph" w:styleId="10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12">
    <w:name w:val="annotation subject"/>
    <w:basedOn w:val="4"/>
    <w:next w:val="4"/>
    <w:link w:val="41"/>
    <w:qFormat/>
    <w:uiPriority w:val="0"/>
    <w:rPr>
      <w:b/>
      <w:bCs/>
    </w:rPr>
  </w:style>
  <w:style w:type="character" w:styleId="15">
    <w:name w:val="endnote reference"/>
    <w:qFormat/>
    <w:uiPriority w:val="0"/>
    <w:rPr>
      <w:vertAlign w:val="superscript"/>
    </w:rPr>
  </w:style>
  <w:style w:type="character" w:styleId="16">
    <w:name w:val="page number"/>
    <w:qFormat/>
    <w:uiPriority w:val="0"/>
  </w:style>
  <w:style w:type="character" w:styleId="17">
    <w:name w:val="annotation reference"/>
    <w:basedOn w:val="14"/>
    <w:qFormat/>
    <w:uiPriority w:val="0"/>
    <w:rPr>
      <w:sz w:val="21"/>
      <w:szCs w:val="21"/>
    </w:rPr>
  </w:style>
  <w:style w:type="character" w:styleId="18">
    <w:name w:val="footnote reference"/>
    <w:qFormat/>
    <w:uiPriority w:val="0"/>
    <w:rPr>
      <w:vertAlign w:val="superscript"/>
    </w:rPr>
  </w:style>
  <w:style w:type="character" w:customStyle="1" w:styleId="19">
    <w:name w:val="默认段落字体1"/>
    <w:qFormat/>
    <w:uiPriority w:val="0"/>
  </w:style>
  <w:style w:type="character" w:customStyle="1" w:styleId="20">
    <w:name w:val="批注文字 Char"/>
    <w:qFormat/>
    <w:uiPriority w:val="0"/>
    <w:rPr>
      <w:kern w:val="2"/>
      <w:sz w:val="21"/>
      <w:szCs w:val="24"/>
    </w:rPr>
  </w:style>
  <w:style w:type="character" w:customStyle="1" w:styleId="21">
    <w:name w:val="尾注文本 Char"/>
    <w:qFormat/>
    <w:uiPriority w:val="0"/>
    <w:rPr>
      <w:kern w:val="2"/>
      <w:sz w:val="21"/>
      <w:szCs w:val="24"/>
    </w:rPr>
  </w:style>
  <w:style w:type="character" w:customStyle="1" w:styleId="22">
    <w:name w:val="批注框文本 Char"/>
    <w:qFormat/>
    <w:uiPriority w:val="0"/>
    <w:rPr>
      <w:kern w:val="2"/>
      <w:sz w:val="18"/>
      <w:szCs w:val="18"/>
    </w:rPr>
  </w:style>
  <w:style w:type="character" w:customStyle="1" w:styleId="23">
    <w:name w:val="页脚 Char"/>
    <w:qFormat/>
    <w:uiPriority w:val="0"/>
    <w:rPr>
      <w:kern w:val="2"/>
      <w:sz w:val="18"/>
      <w:szCs w:val="18"/>
    </w:rPr>
  </w:style>
  <w:style w:type="character" w:customStyle="1" w:styleId="24">
    <w:name w:val="脚注文本 Char"/>
    <w:qFormat/>
    <w:uiPriority w:val="0"/>
    <w:rPr>
      <w:kern w:val="2"/>
      <w:sz w:val="18"/>
      <w:szCs w:val="18"/>
    </w:rPr>
  </w:style>
  <w:style w:type="character" w:customStyle="1" w:styleId="25">
    <w:name w:val="标题 Char"/>
    <w:qFormat/>
    <w:uiPriority w:val="0"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26">
    <w:name w:val="批注主题 Char"/>
    <w:qFormat/>
    <w:uiPriority w:val="0"/>
    <w:rPr>
      <w:b/>
      <w:bCs/>
      <w:kern w:val="2"/>
      <w:sz w:val="21"/>
      <w:szCs w:val="24"/>
    </w:rPr>
  </w:style>
  <w:style w:type="character" w:customStyle="1" w:styleId="27">
    <w:name w:val="Endnote Characters"/>
    <w:qFormat/>
    <w:uiPriority w:val="0"/>
    <w:rPr>
      <w:vertAlign w:val="superscript"/>
    </w:rPr>
  </w:style>
  <w:style w:type="character" w:customStyle="1" w:styleId="28">
    <w:name w:val="批注引用1"/>
    <w:qFormat/>
    <w:uiPriority w:val="0"/>
    <w:rPr>
      <w:sz w:val="21"/>
      <w:szCs w:val="21"/>
    </w:rPr>
  </w:style>
  <w:style w:type="character" w:customStyle="1" w:styleId="29">
    <w:name w:val="Footnote Characters"/>
    <w:qFormat/>
    <w:uiPriority w:val="0"/>
    <w:rPr>
      <w:vertAlign w:val="superscript"/>
    </w:rPr>
  </w:style>
  <w:style w:type="paragraph" w:customStyle="1" w:styleId="30">
    <w:name w:val="Heading"/>
    <w:basedOn w:val="1"/>
    <w:next w:val="1"/>
    <w:qFormat/>
    <w:uiPriority w:val="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paragraph" w:customStyle="1" w:styleId="31">
    <w:name w:val="Index"/>
    <w:basedOn w:val="1"/>
    <w:qFormat/>
    <w:uiPriority w:val="0"/>
    <w:pPr>
      <w:suppressLineNumbers/>
    </w:pPr>
    <w:rPr>
      <w:rFonts w:cs="Noto Sans"/>
    </w:rPr>
  </w:style>
  <w:style w:type="paragraph" w:customStyle="1" w:styleId="32">
    <w:name w:val="批注文字1"/>
    <w:basedOn w:val="1"/>
    <w:qFormat/>
    <w:uiPriority w:val="0"/>
    <w:pPr>
      <w:jc w:val="left"/>
    </w:pPr>
  </w:style>
  <w:style w:type="paragraph" w:customStyle="1" w:styleId="33">
    <w:name w:val="正文文本缩进 21"/>
    <w:basedOn w:val="1"/>
    <w:qFormat/>
    <w:uiPriority w:val="0"/>
    <w:pPr>
      <w:ind w:firstLine="420"/>
    </w:pPr>
  </w:style>
  <w:style w:type="paragraph" w:customStyle="1" w:styleId="34">
    <w:name w:val="批注框文本1"/>
    <w:basedOn w:val="1"/>
    <w:qFormat/>
    <w:uiPriority w:val="0"/>
    <w:rPr>
      <w:sz w:val="18"/>
      <w:szCs w:val="18"/>
    </w:rPr>
  </w:style>
  <w:style w:type="paragraph" w:customStyle="1" w:styleId="35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36">
    <w:name w:val="批注主题1"/>
    <w:basedOn w:val="32"/>
    <w:next w:val="32"/>
    <w:qFormat/>
    <w:uiPriority w:val="0"/>
    <w:rPr>
      <w:b/>
      <w:bCs/>
    </w:rPr>
  </w:style>
  <w:style w:type="paragraph" w:customStyle="1" w:styleId="37">
    <w:name w:val="Table Contents"/>
    <w:basedOn w:val="1"/>
    <w:qFormat/>
    <w:uiPriority w:val="0"/>
    <w:pPr>
      <w:suppressLineNumbers/>
    </w:pPr>
  </w:style>
  <w:style w:type="paragraph" w:customStyle="1" w:styleId="38">
    <w:name w:val="Table Heading"/>
    <w:basedOn w:val="37"/>
    <w:qFormat/>
    <w:uiPriority w:val="0"/>
    <w:pPr>
      <w:jc w:val="center"/>
    </w:pPr>
    <w:rPr>
      <w:b/>
      <w:bCs/>
    </w:rPr>
  </w:style>
  <w:style w:type="paragraph" w:customStyle="1" w:styleId="39">
    <w:name w:val="Frame Contents"/>
    <w:basedOn w:val="1"/>
    <w:qFormat/>
    <w:uiPriority w:val="0"/>
  </w:style>
  <w:style w:type="character" w:customStyle="1" w:styleId="40">
    <w:name w:val="批注文字 字符"/>
    <w:basedOn w:val="14"/>
    <w:link w:val="4"/>
    <w:qFormat/>
    <w:uiPriority w:val="0"/>
    <w:rPr>
      <w:rFonts w:eastAsia="宋体;SimSun"/>
      <w:kern w:val="2"/>
      <w:sz w:val="21"/>
      <w:szCs w:val="24"/>
    </w:rPr>
  </w:style>
  <w:style w:type="character" w:customStyle="1" w:styleId="41">
    <w:name w:val="批注主题 字符"/>
    <w:basedOn w:val="40"/>
    <w:link w:val="12"/>
    <w:qFormat/>
    <w:uiPriority w:val="0"/>
    <w:rPr>
      <w:rFonts w:eastAsia="宋体;SimSun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2192</Words>
  <Characters>3117</Characters>
  <Lines>26</Lines>
  <Paragraphs>7</Paragraphs>
  <TotalTime>54</TotalTime>
  <ScaleCrop>false</ScaleCrop>
  <LinksUpToDate>false</LinksUpToDate>
  <CharactersWithSpaces>3519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2025-11-14T14:13:00Z</dcterms:created>
  <dc:creator>Administrator</dc:creator>
  <cp:lastModifiedBy>曹华琦</cp:lastModifiedBy>
  <dcterms:modified xsi:type="dcterms:W3CDTF">2025-11-14T15:59:32Z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DB500163AAD54251BBE76D77806C4239_12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eyJoZGlkIjoiYzMwODU0Y2Q4ZTQ5NDMzODgyOWJlZTM2ZTdmYTRjODkiLCJ1c2VySWQiOiIxNjgyMzE2NDk3In0=</vt:lpwstr>
  </property>
</Properties>
</file>