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image1"/>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br/>
      <w:r>
        <w:rPr>
          <w:rStyle w:val="VerbatimChar"/>
        </w:rPr>
        <w:t xml:space="preserve"/>
      </w:r>
      <w:br/>
      <w:r>
        <w:rPr>
          <w:rStyle w:val="VerbatimChar"/>
        </w:rPr>
        <w:t xml:space="preserve">\begin{document}</w:t>
      </w:r>
      <w:br/>
      <w:r>
        <w:rPr>
          <w:rStyle w:val="VerbatimChar"/>
        </w:rPr>
        <w:t xml:space="preserve">Hello, world!</w:t>
      </w:r>
      <w:b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image2"/>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link0">
        <w:r>
          <w:rPr>
            <w:rStyle w:val="Hyperlink"/>
          </w:rPr>
          <w:t xml:space="preserve">www.writelatex.org</w:t>
        </w:r>
      </w:hyperlink>
      <w:r>
        <w:t xml:space="preserve">. The following link will create a new copy online of the above document:</w:t>
      </w:r>
      <w:r>
        <w:t xml:space="preserve"> </w:t>
      </w:r>
      <w:hyperlink r:id="link1"/>
      <w:r>
        <w:t xml:space="preserve">. Feel free to either use TeXworks or writelatex throughout your learning of LaTeX.</w:t>
      </w:r>
    </w:p>
    <w:p>
      <w:pPr>
        <w:numPr>
          <w:numId w:val="4"/>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b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br/>
      <w:r>
        <w:rPr>
          <w:rStyle w:val="VerbatimChar"/>
        </w:rPr>
        <w:t xml:space="preserve"/>
      </w:r>
      <w:br/>
      <w:r>
        <w:rPr>
          <w:rStyle w:val="VerbatimChar"/>
        </w:rPr>
        <w:t xml:space="preserve">\begin{document} % This line start the document</w:t>
      </w:r>
      <w:br/>
      <w:r>
        <w:rPr>
          <w:rStyle w:val="VerbatimChar"/>
        </w:rPr>
        <w:t xml:space="preserve">Hello, world!</w:t>
      </w:r>
      <w:br/>
      <w:r>
        <w:rPr>
          <w:rStyle w:val="VerbatimChar"/>
        </w:rPr>
        <w:t xml:space="preserve">\end{document}</w:t>
      </w:r>
    </w:p>
    <w:p>
      <w:pPr>
        <w:numPr>
          <w:numId w:val="4"/>
          <w:ilvl w:val="0"/>
        </w:numPr>
      </w:pPr>
      <w:r>
        <w:t xml:space="preserve">Title</w:t>
      </w:r>
    </w:p>
    <w:p>
      <w:pPr>
        <w:numPr>
          <w:numId w:val="4"/>
          <w:ilvl w:val="0"/>
        </w:numPr>
      </w:pPr>
      <w:r>
        <w:t xml:space="preserve">Abstract</w:t>
      </w:r>
    </w:p>
    <w:p>
      <w:pPr>
        <w:numPr>
          <w:numId w:val="4"/>
          <w:ilvl w:val="0"/>
        </w:numPr>
      </w:pPr>
      <w:r>
        <w:t xml:space="preserve">Lists</w:t>
      </w:r>
    </w:p>
    <w:p>
      <w:pPr>
        <w:numPr>
          <w:numId w:val="4"/>
          <w:ilvl w:val="0"/>
        </w:numPr>
      </w:pPr>
      <w:r>
        <w:t xml:space="preserve">Tables</w:t>
      </w:r>
    </w:p>
    <w:p>
      <w:pPr>
        <w:numPr>
          <w:numId w:val="4"/>
          <w:ilvl w:val="0"/>
        </w:numPr>
      </w:pPr>
      <w:r>
        <w:t xml:space="preserve">Sections</w:t>
      </w:r>
    </w:p>
    <w:p>
      <w:pPr>
        <w:numPr>
          <w:numId w:val="4"/>
          <w:ilvl w:val="0"/>
        </w:numPr>
      </w:pPr>
      <w:r>
        <w:t xml:space="preserve">Pictures</w:t>
      </w:r>
    </w:p>
    <w:p>
      <w:pPr>
        <w:numPr>
          <w:numId w:val="4"/>
          <w:ilvl w:val="0"/>
        </w:numPr>
      </w:pPr>
      <w:r>
        <w:t xml:space="preserve">Drawings</w:t>
      </w:r>
    </w:p>
    <w:p>
      <w:pPr>
        <w:numPr>
          <w:numId w:val="4"/>
          <w:ilvl w:val="0"/>
        </w:numPr>
      </w:pPr>
      <w:r>
        <w:t xml:space="preserve">Bibliography</w:t>
      </w:r>
    </w:p>
    <w:p>
      <w:pPr>
        <w:numPr>
          <w:numId w:val="4"/>
          <w:ilvl w:val="0"/>
        </w:numPr>
      </w:pPr>
      <w:r>
        <w:t xml:space="preserve">Mathematics</w:t>
      </w:r>
    </w:p>
    <w:p>
      <w:pPr>
        <w:numPr>
          <w:numId w:val="4"/>
          <w:ilvl w:val="0"/>
        </w:numPr>
      </w:pPr>
      <w:r>
        <w:t xml:space="preserve">Math in Text</w:t>
      </w:r>
    </w:p>
    <w:p>
      <w:pPr>
        <w:numPr>
          <w:numId w:val="4"/>
          <w:ilvl w:val="0"/>
        </w:numPr>
      </w:pPr>
      <w:r>
        <w:t xml:space="preserve">Displayed mathematics</w:t>
      </w:r>
    </w:p>
    <w:p>
      <w:pPr>
        <w:numPr>
          <w:numId w:val="4"/>
          <w:ilvl w:val="0"/>
        </w:numPr>
      </w:pPr>
      <w:r>
        <w:t xml:space="preserve">Text in Maths</w:t>
      </w:r>
    </w:p>
    <w:p>
      <w:pPr>
        <w:numPr>
          <w:numId w:val="4"/>
          <w:ilvl w:val="0"/>
        </w:numPr>
      </w:pPr>
      <w:r>
        <w:t xml:space="preserve">Arithmetic operators</w:t>
      </w:r>
    </w:p>
    <w:p>
      <w:pPr>
        <w:numPr>
          <w:numId w:val="4"/>
          <w:ilvl w:val="0"/>
        </w:numPr>
      </w:pPr>
      <w:r>
        <w:t xml:space="preserve">Integrals</w:t>
      </w:r>
    </w:p>
    <w:p>
      <w:pPr>
        <w:numPr>
          <w:numId w:val="4"/>
          <w:ilvl w:val="0"/>
        </w:numPr>
      </w:pPr>
      <w:r>
        <w:t xml:space="preserve">Matrices</w:t>
      </w:r>
    </w:p>
    <w:p>
      <w:pPr>
        <w:numPr>
          <w:numId w:val="4"/>
          <w:ilvl w:val="0"/>
        </w:numPr>
      </w:pPr>
      <w:r>
        <w:t xml:space="preserve">Align</w:t>
      </w:r>
    </w:p>
    <w:p>
      <w:pPr>
        <w:numPr>
          <w:numId w:val="4"/>
          <w:ilvl w:val="0"/>
        </w:numPr>
      </w:pPr>
      <w:r>
        <w:t xml:space="preserve">Cases</w:t>
      </w:r>
    </w:p>
    <w:p>
      <w:pPr>
        <w:numPr>
          <w:numId w:val="4"/>
          <w:ilvl w:val="0"/>
        </w:numPr>
      </w:pPr>
      <w:r>
        <w:t xml:space="preserve">Beamer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 Target="" TargetMode="External" /><Relationship Type="http://schemas.openxmlformats.org/officeDocument/2006/relationships/hyperlink" Id="link0"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