
<file path=[Content_Types].xml><?xml version="1.0" encoding="utf-8"?>
<Types xmlns="http://schemas.openxmlformats.org/package/2006/content-types">
  <Default ContentType="image/gif" Extension="gi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沙坑研究（the_sand_pit)</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文档版本</w:t>
                  </w:r>
                  <w:r>
                    <w:rPr>
                      <w:rFonts w:eastAsia="等线" w:ascii="Arial" w:cs="Arial" w:hAnsi="Arial"/>
                      <w:color w:val="646a73"/>
                      <w:sz w:val="22"/>
                    </w:rPr>
                    <w:t>: v1.0</w:t>
                  </w:r>
                </w:p>
                <w:p>
                  <w:pPr>
                    <w:spacing w:before="120" w:after="120" w:line="288" w:lineRule="auto"/>
                    <w:ind w:left="0"/>
                    <w:jc w:val="left"/>
                  </w:pPr>
                  <w:r>
                    <w:rPr>
                      <w:rFonts w:eastAsia="等线" w:ascii="Arial" w:cs="Arial" w:hAnsi="Arial"/>
                      <w:b w:val="true"/>
                      <w:color w:val="646a73"/>
                      <w:sz w:val="22"/>
                    </w:rPr>
                    <w:t>编制日期</w:t>
                  </w:r>
                  <w:r>
                    <w:rPr>
                      <w:rFonts w:eastAsia="等线" w:ascii="Arial" w:cs="Arial" w:hAnsi="Arial"/>
                      <w:color w:val="646a73"/>
                      <w:sz w:val="22"/>
                    </w:rPr>
                    <w:t>: 2026-05-03</w:t>
                  </w:r>
                </w:p>
                <w:p>
                  <w:pPr>
                    <w:spacing w:before="120" w:after="120" w:line="288" w:lineRule="auto"/>
                    <w:ind w:left="0"/>
                    <w:jc w:val="left"/>
                  </w:pPr>
                  <w:r>
                    <w:rPr>
                      <w:rFonts w:eastAsia="等线" w:ascii="Arial" w:cs="Arial" w:hAnsi="Arial"/>
                      <w:b w:val="true"/>
                      <w:color w:val="646a73"/>
                      <w:sz w:val="22"/>
                    </w:rPr>
                    <w:t>项目定位</w:t>
                  </w:r>
                  <w:r>
                    <w:rPr>
                      <w:rFonts w:eastAsia="等线" w:ascii="Arial" w:cs="Arial" w:hAnsi="Arial"/>
                      <w:color w:val="646a73"/>
                      <w:sz w:val="22"/>
                    </w:rPr>
                    <w:t>: 参数化、可自动化的 LLM 多智能体对抗模拟系统</w:t>
                  </w:r>
                </w:p>
                <w:p>
                  <w:pPr>
                    <w:spacing w:before="120" w:after="120" w:line="288" w:lineRule="auto"/>
                    <w:ind w:left="0"/>
                    <w:jc w:val="left"/>
                  </w:pPr>
                  <w:r>
                    <w:rPr>
                      <w:rFonts w:eastAsia="等线" w:ascii="Arial" w:cs="Arial" w:hAnsi="Arial"/>
                      <w:b w:val="true"/>
                      <w:color w:val="646a73"/>
                      <w:sz w:val="22"/>
                    </w:rPr>
                    <w:t>研究作者：</w:t>
                  </w:r>
                  <w:r>
                    <w:rPr>
                      <w:rFonts w:eastAsia="等线" w:ascii="Arial" w:cs="Arial" w:hAnsi="Arial"/>
                      <w:color w:val="646a73"/>
                      <w:sz w:val="22"/>
                    </w:rPr>
                    <w:t>任华维，陈金星，杨兆凌</w:t>
                  </w:r>
                </w:p>
                <w:p>
                  <w:pPr>
                    <w:spacing w:before="120" w:after="120" w:line="288" w:lineRule="auto"/>
                    <w:ind w:left="0"/>
                    <w:jc w:val="left"/>
                  </w:pPr>
                  <w:r>
                    <w:rPr>
                      <w:rFonts w:eastAsia="等线" w:ascii="Arial" w:cs="Arial" w:hAnsi="Arial"/>
                      <w:b w:val="true"/>
                      <w:color w:val="646a73"/>
                      <w:sz w:val="22"/>
                    </w:rPr>
                    <w:t>核心研究目标</w:t>
                  </w:r>
                  <w:r>
                    <w:rPr>
                      <w:rFonts w:eastAsia="等线" w:ascii="Arial" w:cs="Arial" w:hAnsi="Arial"/>
                      <w:color w:val="646a73"/>
                      <w:sz w:val="22"/>
                    </w:rPr>
                    <w:t>:</w:t>
                  </w:r>
                </w:p>
                <w:p>
                  <w:pPr>
                    <w:numPr>
                      <w:numId w:val="1"/>
                    </w:numPr>
                    <w:spacing w:before="120" w:after="120" w:line="288" w:lineRule="auto"/>
                    <w:ind w:left="0"/>
                    <w:jc w:val="left"/>
                  </w:pPr>
                  <w:r>
                    <w:rPr>
                      <w:rFonts w:eastAsia="等线" w:ascii="Arial" w:cs="Arial" w:hAnsi="Arial"/>
                      <w:color w:val="646a73"/>
                      <w:sz w:val="22"/>
                    </w:rPr>
                    <w:t>LLM在想象的离散空间中的决策水准与逻辑密度研究</w:t>
                  </w:r>
                </w:p>
                <w:p>
                  <w:pPr>
                    <w:numPr>
                      <w:numId w:val="2"/>
                    </w:numPr>
                    <w:spacing w:before="120" w:after="120" w:line="288" w:lineRule="auto"/>
                    <w:ind w:left="0"/>
                    <w:jc w:val="left"/>
                  </w:pPr>
                  <w:r>
                    <w:rPr>
                      <w:rFonts w:eastAsia="等线" w:ascii="Arial" w:cs="Arial" w:hAnsi="Arial"/>
                      <w:color w:val="646a73"/>
                      <w:sz w:val="22"/>
                    </w:rPr>
                    <w:t>LLM的有效决策来源与无效决策原因研究</w:t>
                  </w:r>
                </w:p>
                <w:p>
                  <w:pPr>
                    <w:numPr>
                      <w:numId w:val="3"/>
                    </w:numPr>
                    <w:spacing w:before="120" w:after="120" w:line="288" w:lineRule="auto"/>
                    <w:ind w:left="0"/>
                    <w:jc w:val="left"/>
                  </w:pPr>
                  <w:r>
                    <w:rPr>
                      <w:rFonts w:eastAsia="等线" w:ascii="Arial" w:cs="Arial" w:hAnsi="Arial"/>
                      <w:color w:val="646a73"/>
                      <w:sz w:val="22"/>
                    </w:rPr>
                    <w:t>不同的Token预算下，LLM在离散空间中的决策效用拐点</w:t>
                  </w:r>
                </w:p>
              </w:tc>
            </w:tr>
          </w:tbl>
          <w:p>
            <w:pPr>
              <w:jc w:val="left"/>
            </w:pPr>
          </w:p>
        </w:tc>
      </w:tr>
    </w:tbl>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变更记录：</w:t>
            </w:r>
          </w:p>
          <w:p>
            <w:pPr>
              <w:numPr>
                <w:numId w:val="4"/>
              </w:numPr>
              <w:spacing w:before="120" w:after="120" w:line="288" w:lineRule="auto"/>
              <w:ind w:left="453"/>
              <w:jc w:val="left"/>
            </w:pPr>
            <w:r>
              <w:rPr>
                <w:rFonts w:eastAsia="等线" w:ascii="Arial" w:cs="Arial" w:hAnsi="Arial"/>
                <w:sz w:val="22"/>
              </w:rPr>
              <w:t>0421 - 首次创建</w:t>
            </w:r>
          </w:p>
          <w:p>
            <w:pPr>
              <w:numPr>
                <w:numId w:val="5"/>
              </w:numPr>
              <w:spacing w:before="120" w:after="120" w:line="288" w:lineRule="auto"/>
              <w:ind w:left="453"/>
              <w:jc w:val="left"/>
            </w:pPr>
            <w:r>
              <w:rPr>
                <w:rFonts w:eastAsia="等线" w:ascii="Arial" w:cs="Arial" w:hAnsi="Arial"/>
                <w:sz w:val="22"/>
              </w:rPr>
              <w:t>0427 - 更新项目描述文档</w:t>
            </w:r>
          </w:p>
          <w:p>
            <w:pPr>
              <w:numPr>
                <w:numId w:val="6"/>
              </w:numPr>
              <w:spacing w:before="120" w:after="120" w:line="288" w:lineRule="auto"/>
              <w:ind w:left="453"/>
              <w:jc w:val="left"/>
            </w:pPr>
            <w:r>
              <w:rPr>
                <w:rFonts w:eastAsia="等线" w:ascii="Arial" w:cs="Arial" w:hAnsi="Arial"/>
                <w:sz w:val="22"/>
              </w:rPr>
              <w:t>0503 - 首次发布</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引</w:t>
      </w:r>
      <w:bookmarkEnd w:id="0"/>
    </w:p>
    <w:p>
      <w:pPr>
        <w:spacing w:before="120" w:after="120" w:line="288" w:lineRule="auto"/>
        <w:ind w:left="0"/>
        <w:jc w:val="left"/>
      </w:pPr>
      <w:r>
        <w:rPr>
          <w:rFonts w:eastAsia="等线" w:ascii="Arial" w:cs="Arial" w:hAnsi="Arial"/>
          <w:sz w:val="22"/>
        </w:rPr>
        <w:t>当人工智能体被委任各种各样的任务时，有的智能体聪明，有的智能体笨。于是笨的智能体就开始”勤能补拙”，用更多的token消耗来换取相似的产出效果，于是“智慧”便有了溢价。这在研究界不是太大的问题，人人都在想着如何让人工智能更智慧，实现AGI，但在产业界却让人挠头，同等任务下，更多的token消耗=更多的钱，管理者愿意牺牲一小部分的性能，换来成本的大幅下降。</w:t>
      </w:r>
    </w:p>
    <w:p>
      <w:pPr>
        <w:spacing w:before="120" w:after="120" w:line="288" w:lineRule="auto"/>
        <w:ind w:left="0"/>
        <w:jc w:val="left"/>
      </w:pPr>
      <w:r>
        <w:rPr>
          <w:rFonts w:eastAsia="等线" w:ascii="Arial" w:cs="Arial" w:hAnsi="Arial"/>
          <w:sz w:val="22"/>
        </w:rPr>
        <w:t>“沙坑”项目应运而生：决策效用拐点究竟在哪里？</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1. </w:t>
      </w:r>
      <w:r>
        <w:rPr>
          <w:rFonts w:eastAsia="等线" w:ascii="Arial" w:cs="Arial" w:hAnsi="Arial"/>
          <w:b w:val="true"/>
          <w:sz w:val="36"/>
        </w:rPr>
        <w:t>研究背景、价值、与工业指导意义</w:t>
      </w:r>
      <w:bookmarkEnd w:id="1"/>
    </w:p>
    <w:p>
      <w:pPr>
        <w:spacing w:before="120" w:after="120" w:line="288" w:lineRule="auto"/>
        <w:ind w:left="0"/>
        <w:jc w:val="center"/>
      </w:pPr>
      <w:r>
        <w:drawing>
          <wp:inline distT="0" distR="0" distB="0" distL="0">
            <wp:extent cx="5257800" cy="28670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67025"/>
                    </a:xfrm>
                    <a:prstGeom prst="rect">
                      <a:avLst/>
                    </a:prstGeom>
                  </pic:spPr>
                </pic:pic>
              </a:graphicData>
            </a:graphic>
          </wp:inline>
        </w:drawing>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1.1 </w:t>
      </w:r>
      <w:r>
        <w:rPr>
          <w:rFonts w:eastAsia="等线" w:ascii="Arial" w:cs="Arial" w:hAnsi="Arial"/>
          <w:b w:val="true"/>
          <w:sz w:val="32"/>
        </w:rPr>
        <w:t>研究背景</w:t>
      </w:r>
      <w:bookmarkEnd w:id="2"/>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1.1.1 </w:t>
      </w:r>
      <w:r>
        <w:rPr>
          <w:rFonts w:eastAsia="等线" w:ascii="Arial" w:cs="Arial" w:hAnsi="Arial"/>
          <w:b w:val="true"/>
          <w:sz w:val="30"/>
        </w:rPr>
        <w:t>从"语言模型"到"行动体"：LLM Agent 的范式转移</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大型语言模型（LLM）正在经历从"对话工具"到"自主行动体"（Autonomous Agent）的范式转移，</w:t>
      </w:r>
      <w:r>
        <w:rPr>
          <w:rFonts w:eastAsia="等线" w:ascii="Arial" w:cs="Arial" w:hAnsi="Arial"/>
          <w:b w:val="true"/>
          <w:sz w:val="22"/>
        </w:rPr>
        <w:t>这是2026年学术界与产业界的主旋律之一。</w:t>
      </w:r>
      <w:r>
        <w:rPr>
          <w:rFonts w:eastAsia="等线" w:ascii="Arial" w:cs="Arial" w:hAnsi="Arial"/>
          <w:sz w:val="22"/>
        </w:rPr>
        <w:t>在机器人导航、自动驾驶决策、游戏 AI、智能客服等场景中，LLM 不再只是生成文本，而是被赋予了感知环境、制定计划并执行动作的能力。然而，这一转移引入了一个传统 AI 体系从未面临过的核心约束：</w:t>
      </w:r>
      <w:r>
        <w:rPr>
          <w:rFonts w:eastAsia="等线" w:ascii="Arial" w:cs="Arial" w:hAnsi="Arial"/>
          <w:b w:val="true"/>
          <w:sz w:val="22"/>
        </w:rPr>
        <w:t>每一次"思考"都有可量化的经济成本</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与传统强化学习（RL）Agent 相比，LLM Agent 的推理成本不是恒定的。RL 模型一旦训练完成，单次前向传播的算力消耗是固定的；而 LLM Agent 每轮决策的 token 消耗高度依赖于输入提示长度、推理链长度和输出限制（max_tokens）。这种"按思考计费"的商业模式，使得 token 预算从一个纯技术参数变成了一个直接决定运营成本的商业变量。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前不久，一次内部的AI工具研讨会上，一次简单的故障检索就花费了百万token，这在实施工业效能提升的摸索过程中是有情可原的，但是一旦涉及产业规模化运行，token的经济成本必然会成为一个绕不开的话题。</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1.1.2 </w:t>
      </w:r>
      <w:r>
        <w:rPr>
          <w:rFonts w:eastAsia="等线" w:ascii="Arial" w:cs="Arial" w:hAnsi="Arial"/>
          <w:b w:val="true"/>
          <w:sz w:val="30"/>
        </w:rPr>
        <w:t>AI领域 Token 经济学的空白地带</w:t>
      </w:r>
      <w:bookmarkEnd w:id="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2026年英伟达GTC上，老黄提出了基于Token用量计费的AI经济学，这标志着全球最大的算力载体提供商开始动起了使用Token进行财富交换的脑筋。因此，在工业界进行规模化AI布局时，Token经济性将是值得考量的指标。</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当前工业界对 LLM Agent 的部署优化主要集中在两个维度：</w:t>
      </w:r>
    </w:p>
    <w:p>
      <w:pPr>
        <w:numPr>
          <w:numId w:val="7"/>
        </w:numPr>
        <w:spacing w:before="120" w:after="120" w:line="288" w:lineRule="auto"/>
        <w:ind w:left="0"/>
        <w:jc w:val="left"/>
      </w:pPr>
      <w:r>
        <w:rPr>
          <w:rFonts w:eastAsia="等线" w:ascii="Arial" w:cs="Arial" w:hAnsi="Arial"/>
          <w:b w:val="true"/>
          <w:sz w:val="22"/>
        </w:rPr>
        <w:t>模型层面</w:t>
      </w:r>
      <w:r>
        <w:rPr>
          <w:rFonts w:eastAsia="等线" w:ascii="Arial" w:cs="Arial" w:hAnsi="Arial"/>
          <w:sz w:val="22"/>
        </w:rPr>
        <w:t>：选择更强但更贵的模型（如 opus 4.7 / 4.6）还是更弱但更便宜的模型（如 deepseek v4 flash）</w:t>
      </w:r>
    </w:p>
    <w:p>
      <w:pPr>
        <w:numPr>
          <w:numId w:val="8"/>
        </w:numPr>
        <w:spacing w:before="120" w:after="120" w:line="288" w:lineRule="auto"/>
        <w:ind w:left="0"/>
        <w:jc w:val="left"/>
      </w:pPr>
      <w:r>
        <w:rPr>
          <w:rFonts w:eastAsia="等线" w:ascii="Arial" w:cs="Arial" w:hAnsi="Arial"/>
          <w:b w:val="true"/>
          <w:sz w:val="22"/>
        </w:rPr>
        <w:t>提示工程层面</w:t>
      </w:r>
      <w:r>
        <w:rPr>
          <w:rFonts w:eastAsia="等线" w:ascii="Arial" w:cs="Arial" w:hAnsi="Arial"/>
          <w:sz w:val="22"/>
        </w:rPr>
        <w:t>：通过 Few-shot、CoT、RAG 等技术提升单次推理质量</w:t>
      </w:r>
    </w:p>
    <w:p>
      <w:pPr>
        <w:spacing w:before="120" w:after="120" w:line="288" w:lineRule="auto"/>
        <w:ind w:left="453"/>
        <w:jc w:val="left"/>
      </w:pPr>
    </w:p>
    <w:p>
      <w:pPr>
        <w:spacing w:before="120" w:after="120" w:line="288" w:lineRule="auto"/>
        <w:ind w:left="0"/>
        <w:jc w:val="left"/>
      </w:pPr>
      <w:r>
        <w:rPr>
          <w:rFonts w:eastAsia="等线" w:ascii="Arial" w:cs="Arial" w:hAnsi="Arial"/>
          <w:sz w:val="22"/>
        </w:rPr>
        <w:t>然而，一个更为基础的问题长期被忽视：</w:t>
      </w:r>
      <w:r>
        <w:rPr>
          <w:rFonts w:eastAsia="等线" w:ascii="Arial" w:cs="Arial" w:hAnsi="Arial"/>
          <w:b w:val="true"/>
          <w:sz w:val="22"/>
        </w:rPr>
        <w:t>给定一个具体任务，应该给 Agent 分配多少 token 预算？</w:t>
      </w:r>
      <w:r>
        <w:rPr>
          <w:rFonts w:eastAsia="等线" w:ascii="Arial" w:cs="Arial" w:hAnsi="Arial"/>
          <w:sz w:val="22"/>
        </w:rPr>
        <w:t xml:space="preserve"> 预算不足，Agent 可能无法完成基本推理；预算过量，则产生不必要的计算浪费。当前业界普遍采用"经验法则"或"试错法"来设定 max_tokens，缺乏系统性的定量依据。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更为关键的是，</w:t>
      </w:r>
      <w:r>
        <w:rPr>
          <w:rFonts w:eastAsia="等线" w:ascii="Arial" w:cs="Arial" w:hAnsi="Arial"/>
          <w:b w:val="true"/>
          <w:sz w:val="22"/>
        </w:rPr>
        <w:t>预算与性能的关系可能不是线性的</w:t>
      </w:r>
      <w:r>
        <w:rPr>
          <w:rFonts w:eastAsia="等线" w:ascii="Arial" w:cs="Arial" w:hAnsi="Arial"/>
          <w:sz w:val="22"/>
        </w:rPr>
        <w:t>。如果存在"认知阈值"——即低于某一预算时 Agent 几乎无法工作，而超过该阈值后额外预算不再带来收益——那么盲目增加预算就是一种经济资源的错配。</w:t>
      </w:r>
    </w:p>
    <w:p>
      <w:pPr>
        <w:spacing w:before="120" w:after="120" w:line="288" w:lineRule="auto"/>
        <w:ind w:left="0"/>
        <w:jc w:val="center"/>
      </w:pPr>
      <w:r>
        <w:drawing>
          <wp:inline distT="0" distR="0" distB="0" distL="0">
            <wp:extent cx="5257800" cy="32861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286125"/>
                    </a:xfrm>
                    <a:prstGeom prst="rect">
                      <a:avLst/>
                    </a:prstGeom>
                  </pic:spPr>
                </pic:pic>
              </a:graphicData>
            </a:graphic>
          </wp:inline>
        </w:drawing>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1.1.3 </w:t>
      </w:r>
      <w:r>
        <w:rPr>
          <w:rFonts w:eastAsia="等线" w:ascii="Arial" w:cs="Arial" w:hAnsi="Arial"/>
          <w:b w:val="true"/>
          <w:sz w:val="30"/>
        </w:rPr>
        <w:t>空间推理：LLM 的阿喀琉斯之踵</w:t>
      </w:r>
      <w:bookmarkEnd w:id="5"/>
    </w:p>
    <w:p>
      <w:pPr>
        <w:spacing w:before="120" w:after="120" w:line="288" w:lineRule="auto"/>
        <w:ind w:left="0"/>
        <w:jc w:val="left"/>
      </w:pPr>
    </w:p>
    <w:p>
      <w:pPr>
        <w:spacing w:before="120" w:after="120" w:line="288" w:lineRule="auto"/>
        <w:ind w:left="0"/>
        <w:jc w:val="left"/>
      </w:pPr>
      <w:r>
        <w:rPr>
          <w:rFonts w:eastAsia="等线" w:ascii="Arial" w:cs="Arial" w:hAnsi="Arial"/>
          <w:sz w:val="22"/>
        </w:rPr>
        <w:t>本研究选择空间追逐任务（The Sand Pit）作为实验场景，原因在于空间推理是 LLM 的公认弱项。LLM 基于文本 token 的自回归生成机制缺乏原生的几何与拓扑表征能力。当面对"绕过障碍物到达目标"这类需要路径规划与空间变换的问题时，LLM 必须将空间关系编码为语言描述，在文本空间中进行推理，再将结果解码为坐标动作。这一过程天然消耗大量认知资源（token），使得空间任务成为观察"预算-性能"关系的理想实验场。</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1.2 </w:t>
      </w:r>
      <w:r>
        <w:rPr>
          <w:rFonts w:eastAsia="等线" w:ascii="Arial" w:cs="Arial" w:hAnsi="Arial"/>
          <w:b w:val="true"/>
          <w:sz w:val="32"/>
        </w:rPr>
        <w:t>研究价值</w:t>
      </w:r>
      <w:bookmarkEnd w:id="6"/>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1.2.1 </w:t>
      </w:r>
      <w:r>
        <w:rPr>
          <w:rFonts w:eastAsia="等线" w:ascii="Arial" w:cs="Arial" w:hAnsi="Arial"/>
          <w:b w:val="true"/>
          <w:sz w:val="30"/>
        </w:rPr>
        <w:t>学术价值</w:t>
      </w:r>
      <w:bookmarkEnd w:id="7"/>
    </w:p>
    <w:p>
      <w:pPr>
        <w:spacing w:before="120" w:after="120" w:line="288" w:lineRule="auto"/>
        <w:ind w:left="0"/>
        <w:jc w:val="left"/>
      </w:pPr>
      <w:r>
        <w:rPr>
          <w:rFonts w:eastAsia="等线" w:ascii="Arial" w:cs="Arial" w:hAnsi="Arial"/>
          <w:sz w:val="22"/>
        </w:rPr>
        <w:t>（1）系统量化 token 预算对空间 Agent 性能的非线性影响</w:t>
      </w:r>
    </w:p>
    <w:p>
      <w:pPr>
        <w:spacing w:before="120" w:after="120" w:line="288" w:lineRule="auto"/>
        <w:ind w:left="0"/>
        <w:jc w:val="left"/>
      </w:pPr>
      <w:r>
        <w:rPr>
          <w:rFonts w:eastAsia="等线" w:ascii="Arial" w:cs="Arial" w:hAnsi="Arial"/>
          <w:sz w:val="22"/>
        </w:rPr>
        <w:t>（2）发现"认知阈值"现象</w:t>
      </w:r>
    </w:p>
    <w:p>
      <w:pPr>
        <w:spacing w:before="120" w:after="120" w:line="288" w:lineRule="auto"/>
        <w:ind w:left="0"/>
        <w:jc w:val="left"/>
      </w:pPr>
      <w:r>
        <w:rPr>
          <w:rFonts w:eastAsia="等线" w:ascii="Arial" w:cs="Arial" w:hAnsi="Arial"/>
          <w:sz w:val="22"/>
        </w:rPr>
        <w:t>（3）揭示"阶段异质性"（Phase Heterogeneity）</w:t>
      </w:r>
    </w:p>
    <w:p>
      <w:pPr>
        <w:spacing w:before="120" w:after="120" w:line="288" w:lineRule="auto"/>
        <w:ind w:left="0"/>
        <w:jc w:val="left"/>
      </w:pPr>
      <w:r>
        <w:rPr>
          <w:rFonts w:eastAsia="等线" w:ascii="Arial" w:cs="Arial" w:hAnsi="Arial"/>
          <w:sz w:val="22"/>
        </w:rPr>
        <w:t>（4）方法论贡献：非参数统计框架</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1.2.2 </w:t>
      </w:r>
      <w:r>
        <w:rPr>
          <w:rFonts w:eastAsia="等线" w:ascii="Arial" w:cs="Arial" w:hAnsi="Arial"/>
          <w:b w:val="true"/>
          <w:sz w:val="30"/>
        </w:rPr>
        <w:t>对工业界的指导意义</w:t>
      </w:r>
      <w:bookmarkEnd w:id="8"/>
    </w:p>
    <w:p>
      <w:pPr>
        <w:spacing w:before="120" w:after="120" w:line="288" w:lineRule="auto"/>
        <w:ind w:left="0"/>
        <w:jc w:val="left"/>
      </w:pPr>
      <w:r>
        <w:rPr>
          <w:rFonts w:eastAsia="等线" w:ascii="Arial" w:cs="Arial" w:hAnsi="Arial"/>
          <w:sz w:val="22"/>
        </w:rPr>
        <w:t>（1）成本优化：确定最优预算区间，避免过度配置</w:t>
      </w:r>
    </w:p>
    <w:p>
      <w:pPr>
        <w:spacing w:before="120" w:after="120" w:line="288" w:lineRule="auto"/>
        <w:ind w:left="0"/>
        <w:jc w:val="left"/>
      </w:pPr>
      <w:r>
        <w:rPr>
          <w:rFonts w:eastAsia="等线" w:ascii="Arial" w:cs="Arial" w:hAnsi="Arial"/>
          <w:sz w:val="22"/>
        </w:rPr>
        <w:t>（2）瓶颈诊断：识别认知卡点，精准投入优化资源</w:t>
      </w:r>
    </w:p>
    <w:p>
      <w:pPr>
        <w:spacing w:before="120" w:after="120" w:line="288" w:lineRule="auto"/>
        <w:ind w:left="0"/>
        <w:jc w:val="left"/>
      </w:pPr>
      <w:r>
        <w:rPr>
          <w:rFonts w:eastAsia="等线" w:ascii="Arial" w:cs="Arial" w:hAnsi="Arial"/>
          <w:sz w:val="22"/>
        </w:rPr>
        <w:t>（3）失败模式预警：平局是最昂贵的失败</w:t>
      </w:r>
    </w:p>
    <w:p>
      <w:pPr>
        <w:spacing w:before="120" w:after="120" w:line="288" w:lineRule="auto"/>
        <w:ind w:left="0"/>
        <w:jc w:val="left"/>
      </w:pPr>
      <w:r>
        <w:rPr>
          <w:rFonts w:eastAsia="等线" w:ascii="Arial" w:cs="Arial" w:hAnsi="Arial"/>
          <w:sz w:val="22"/>
        </w:rPr>
        <w:t>（4）模型选型与采购决策</w:t>
      </w:r>
    </w:p>
    <w:p>
      <w:pPr>
        <w:spacing w:before="120" w:after="120" w:line="288" w:lineRule="auto"/>
        <w:ind w:left="0"/>
        <w:jc w:val="left"/>
      </w:pPr>
      <w:r>
        <w:rPr>
          <w:rFonts w:eastAsia="等线" w:ascii="Arial" w:cs="Arial" w:hAnsi="Arial"/>
          <w:sz w:val="22"/>
        </w:rPr>
        <w:t>（5）API 异质性风险管控</w:t>
      </w: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2. </w:t>
      </w:r>
      <w:r>
        <w:rPr>
          <w:rFonts w:eastAsia="等线" w:ascii="Arial" w:cs="Arial" w:hAnsi="Arial"/>
          <w:b w:val="true"/>
          <w:sz w:val="36"/>
        </w:rPr>
        <w:t>项目概述</w:t>
      </w:r>
      <w:bookmarkEnd w:id="9"/>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2.1 </w:t>
      </w:r>
      <w:r>
        <w:rPr>
          <w:rFonts w:eastAsia="等线" w:ascii="Arial" w:cs="Arial" w:hAnsi="Arial"/>
          <w:b w:val="true"/>
          <w:sz w:val="32"/>
        </w:rPr>
        <w:t>项目定义</w:t>
      </w:r>
      <w:bookmarkEnd w:id="10"/>
    </w:p>
    <w:p>
      <w:pPr>
        <w:spacing w:before="120" w:after="120" w:line="288" w:lineRule="auto"/>
        <w:ind w:left="0"/>
        <w:jc w:val="left"/>
      </w:pPr>
      <w:r>
        <w:rPr>
          <w:rFonts w:eastAsia="等线" w:ascii="Arial" w:cs="Arial" w:hAnsi="Arial"/>
          <w:b w:val="true"/>
          <w:sz w:val="22"/>
        </w:rPr>
        <w:t>The Sand Pit</w:t>
      </w:r>
      <w:r>
        <w:rPr>
          <w:rFonts w:eastAsia="等线" w:ascii="Arial" w:cs="Arial" w:hAnsi="Arial"/>
          <w:sz w:val="22"/>
        </w:rPr>
        <w:t xml:space="preserve"> 是一个专为大型语言模型（LLM）设计的</w:t>
      </w:r>
      <w:r>
        <w:rPr>
          <w:rFonts w:eastAsia="等线" w:ascii="Arial" w:cs="Arial" w:hAnsi="Arial"/>
          <w:b w:val="true"/>
          <w:sz w:val="22"/>
        </w:rPr>
        <w:t>基于语义理解实施空间策略的追逐沙盒与对抗模拟示例平台</w:t>
      </w:r>
      <w:r>
        <w:rPr>
          <w:rFonts w:eastAsia="等线" w:ascii="Arial" w:cs="Arial" w:hAnsi="Arial"/>
          <w:sz w:val="22"/>
        </w:rPr>
        <w:t>。它将 LLM 的"认知黑箱"转化为</w:t>
      </w:r>
      <w:r>
        <w:rPr>
          <w:rFonts w:eastAsia="等线" w:ascii="Arial" w:cs="Arial" w:hAnsi="Arial"/>
          <w:b w:val="true"/>
          <w:sz w:val="22"/>
        </w:rPr>
        <w:t>可观测、可量化、可复现的策略轨迹</w:t>
      </w:r>
      <w:r>
        <w:rPr>
          <w:rFonts w:eastAsia="等线" w:ascii="Arial" w:cs="Arial" w:hAnsi="Arial"/>
          <w:sz w:val="22"/>
        </w:rPr>
        <w:t>，通过严格的回合制博弈协议，测量模型在动态决策中的资源-效用关系。</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2.2 </w:t>
      </w:r>
      <w:r>
        <w:rPr>
          <w:rFonts w:eastAsia="等线" w:ascii="Arial" w:cs="Arial" w:hAnsi="Arial"/>
          <w:b w:val="true"/>
          <w:sz w:val="32"/>
        </w:rPr>
        <w:t>世界观与核心设定</w:t>
      </w:r>
      <w:bookmarkEnd w:id="11"/>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2.2.1 </w:t>
      </w:r>
      <w:r>
        <w:rPr>
          <w:rFonts w:eastAsia="等线" w:ascii="Arial" w:cs="Arial" w:hAnsi="Arial"/>
          <w:b w:val="true"/>
          <w:sz w:val="30"/>
        </w:rPr>
        <w:t>世界观</w:t>
      </w:r>
      <w:bookmarkEnd w:id="12"/>
    </w:p>
    <w:p>
      <w:pPr>
        <w:spacing w:before="120" w:after="120" w:line="288" w:lineRule="auto"/>
        <w:ind w:left="0"/>
        <w:jc w:val="left"/>
      </w:pPr>
      <w:r>
        <w:rPr>
          <w:rFonts w:eastAsia="等线" w:ascii="Arial" w:cs="Arial" w:hAnsi="Arial"/>
          <w:sz w:val="22"/>
        </w:rPr>
        <w:t>在 50x50 的二维离散沙盘上，两名参与者展开一场</w:t>
      </w:r>
      <w:r>
        <w:rPr>
          <w:rFonts w:eastAsia="等线" w:ascii="Arial" w:cs="Arial" w:hAnsi="Arial"/>
          <w:b w:val="true"/>
          <w:sz w:val="22"/>
        </w:rPr>
        <w:t>非对称</w:t>
      </w:r>
      <w:r>
        <w:rPr>
          <w:rFonts w:eastAsia="等线" w:ascii="Arial" w:cs="Arial" w:hAnsi="Arial"/>
          <w:sz w:val="22"/>
        </w:rPr>
        <w:t>的追逐博弈：</w:t>
      </w:r>
    </w:p>
    <w:p>
      <w:pPr>
        <w:numPr>
          <w:numId w:val="9"/>
        </w:numPr>
        <w:spacing w:before="120" w:after="120" w:line="288" w:lineRule="auto"/>
        <w:ind w:left="0"/>
        <w:jc w:val="left"/>
      </w:pPr>
      <w:r>
        <w:rPr>
          <w:rFonts w:eastAsia="等线" w:ascii="Arial" w:cs="Arial" w:hAnsi="Arial"/>
          <w:b w:val="true"/>
          <w:sz w:val="22"/>
        </w:rPr>
        <w:t>Agent A（追击者）</w:t>
      </w:r>
      <w:r>
        <w:rPr>
          <w:rFonts w:eastAsia="等线" w:ascii="Arial" w:cs="Arial" w:hAnsi="Arial"/>
          <w:sz w:val="22"/>
        </w:rPr>
        <w:t>：由 LLM 实时控制，具备完整的感知-决策-行动闭环</w:t>
      </w:r>
    </w:p>
    <w:p>
      <w:pPr>
        <w:numPr>
          <w:numId w:val="10"/>
        </w:numPr>
        <w:spacing w:before="120" w:after="120" w:line="288" w:lineRule="auto"/>
        <w:ind w:left="0"/>
        <w:jc w:val="left"/>
      </w:pPr>
      <w:r>
        <w:rPr>
          <w:rFonts w:eastAsia="等线" w:ascii="Arial" w:cs="Arial" w:hAnsi="Arial"/>
          <w:b w:val="true"/>
          <w:sz w:val="22"/>
        </w:rPr>
        <w:t>Agent B（目标）</w:t>
      </w:r>
      <w:r>
        <w:rPr>
          <w:rFonts w:eastAsia="等线" w:ascii="Arial" w:cs="Arial" w:hAnsi="Arial"/>
          <w:sz w:val="22"/>
        </w:rPr>
        <w:t>：静止不动，但拥有远大于 Agent A 的捕获半径，构成被动反威胁</w:t>
      </w:r>
    </w:p>
    <w:p>
      <w:pPr>
        <w:spacing w:before="120" w:after="120" w:line="288" w:lineRule="auto"/>
        <w:ind w:left="0"/>
        <w:jc w:val="left"/>
      </w:pPr>
      <w:r>
        <w:rPr>
          <w:rFonts w:eastAsia="等线" w:ascii="Arial" w:cs="Arial" w:hAnsi="Arial"/>
          <w:sz w:val="22"/>
        </w:rPr>
        <w:t>这不是一场公平的较量。Agent A 必须在极度受限的感知、移动和计算资源下，完成对静止目标的定位、接近与捕获；而任何一次冒进导致踏入 Agent B 的捕获圈，都将立即被反捕获而失败。</w:t>
      </w: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2.2.2 </w:t>
      </w:r>
      <w:r>
        <w:rPr>
          <w:rFonts w:eastAsia="等线" w:ascii="Arial" w:cs="Arial" w:hAnsi="Arial"/>
          <w:b w:val="true"/>
          <w:sz w:val="30"/>
        </w:rPr>
        <w:t>核心参数设定</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60"/>
        <w:gridCol w:w="975"/>
        <w:gridCol w:w="1560"/>
        <w:gridCol w:w="4200"/>
      </w:tblGrid>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符号</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Token Budget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B_t</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400~2000（可调）</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每回合 LLM 可用的最大输出 token 数，唯一实验变量</w:t>
            </w:r>
          </w:p>
          <w:p>
            <w:pPr>
              <w:numPr>
                <w:numId w:val="11"/>
              </w:numPr>
              <w:spacing w:before="120" w:after="120" w:line="288" w:lineRule="auto"/>
              <w:ind w:left="0"/>
              <w:jc w:val="left"/>
            </w:pPr>
            <w:r>
              <w:rPr>
                <w:rFonts w:eastAsia="等线" w:ascii="Arial" w:cs="Arial" w:hAnsi="Arial"/>
                <w:sz w:val="22"/>
              </w:rPr>
              <w:t>不推荐400以下数值，api response会被强行截断，无法正常输出</w:t>
            </w:r>
          </w:p>
          <w:p>
            <w:pPr>
              <w:numPr>
                <w:numId w:val="12"/>
              </w:numPr>
              <w:spacing w:before="120" w:after="120" w:line="288" w:lineRule="auto"/>
              <w:ind w:left="0"/>
              <w:jc w:val="left"/>
            </w:pPr>
            <w:r>
              <w:rPr>
                <w:rFonts w:eastAsia="等线" w:ascii="Arial" w:cs="Arial" w:hAnsi="Arial"/>
                <w:sz w:val="22"/>
              </w:rPr>
              <w:t>2000以上数值待探索</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Map Size</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50x50</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沙盘边界，坐标范围 [0, 50]</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Perception Radius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R_p</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感知半径，感知范围内可提供对手精确坐标。超出此范围对手进入"黑暗区域"，仅提供方位信息</w:t>
            </w:r>
          </w:p>
          <w:p>
            <w:pPr>
              <w:numPr>
                <w:numId w:val="13"/>
              </w:numPr>
              <w:spacing w:before="120" w:after="120" w:line="288" w:lineRule="auto"/>
              <w:ind w:left="0"/>
              <w:jc w:val="left"/>
            </w:pPr>
            <w:r>
              <w:rPr>
                <w:rFonts w:eastAsia="等线" w:ascii="Arial" w:cs="Arial" w:hAnsi="Arial"/>
                <w:sz w:val="22"/>
              </w:rPr>
              <w:t>方位信息：正东/正南/正西/正北/东北/东南/西北/西南</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Move Step</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 A 每回合最大移动距离（欧氏距离），0 到 3.0 之间任意值</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Capture Radius (A)</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R_c(A)</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 A 捕获 Agent B 的判定距离</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Capture Radius (B)</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R_c(B)</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 B 反捕获 Agent A 的判定距离（非对称优势）</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Max Rounds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T_max</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单场最大回合数，超时未分胜负则判定平局</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先手模式</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Alternating</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每回合轮换先手</w:t>
            </w:r>
          </w:p>
          <w:p>
            <w:pPr>
              <w:numPr>
                <w:numId w:val="14"/>
              </w:numPr>
              <w:spacing w:before="120" w:after="120" w:line="288" w:lineRule="auto"/>
              <w:ind w:left="0"/>
              <w:jc w:val="left"/>
            </w:pPr>
            <w:r>
              <w:rPr>
                <w:rFonts w:eastAsia="等线" w:ascii="Arial" w:cs="Arial" w:hAnsi="Arial"/>
                <w:sz w:val="22"/>
              </w:rPr>
              <w:t>示例：</w:t>
            </w:r>
          </w:p>
          <w:p>
            <w:pPr>
              <w:numPr>
                <w:numId w:val="15"/>
              </w:numPr>
              <w:spacing w:before="120" w:after="120" w:line="288" w:lineRule="auto"/>
              <w:ind w:left="453"/>
              <w:jc w:val="left"/>
            </w:pPr>
            <w:r>
              <w:rPr>
                <w:rFonts w:eastAsia="等线" w:ascii="Arial" w:cs="Arial" w:hAnsi="Arial"/>
                <w:sz w:val="22"/>
              </w:rPr>
              <w:t>第一回合 A先手（移动+尝试捕获），B后手（尝试捕获）；</w:t>
            </w:r>
          </w:p>
          <w:p>
            <w:pPr>
              <w:numPr>
                <w:numId w:val="16"/>
              </w:numPr>
              <w:spacing w:before="120" w:after="120" w:line="288" w:lineRule="auto"/>
              <w:ind w:left="453"/>
              <w:jc w:val="left"/>
            </w:pPr>
            <w:r>
              <w:rPr>
                <w:rFonts w:eastAsia="等线" w:ascii="Arial" w:cs="Arial" w:hAnsi="Arial"/>
                <w:sz w:val="22"/>
              </w:rPr>
              <w:t>第二回合 B先手（尝试捕获），A后手（移动+尝试捕获）</w:t>
            </w:r>
          </w:p>
        </w:tc>
      </w:tr>
    </w:tbl>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2.2.3 </w:t>
      </w:r>
      <w:r>
        <w:rPr>
          <w:rFonts w:eastAsia="等线" w:ascii="Arial" w:cs="Arial" w:hAnsi="Arial"/>
          <w:b w:val="true"/>
          <w:sz w:val="30"/>
        </w:rPr>
        <w:t>感知机制：不完全信息博弈</w:t>
      </w:r>
      <w:bookmarkEnd w:id="14"/>
    </w:p>
    <w:p>
      <w:pPr>
        <w:spacing w:before="120" w:after="120" w:line="288" w:lineRule="auto"/>
        <w:ind w:left="0"/>
        <w:jc w:val="left"/>
      </w:pPr>
      <w:r>
        <w:rPr>
          <w:rFonts w:eastAsia="等线" w:ascii="Arial" w:cs="Arial" w:hAnsi="Arial"/>
          <w:sz w:val="22"/>
        </w:rPr>
        <w:t>系统刻意设计了</w:t>
      </w:r>
      <w:r>
        <w:rPr>
          <w:rFonts w:eastAsia="等线" w:ascii="Arial" w:cs="Arial" w:hAnsi="Arial"/>
          <w:b w:val="true"/>
          <w:sz w:val="22"/>
        </w:rPr>
        <w:t>信息不对称</w:t>
      </w:r>
      <w:r>
        <w:rPr>
          <w:rFonts w:eastAsia="等线" w:ascii="Arial" w:cs="Arial" w:hAnsi="Arial"/>
          <w:sz w:val="22"/>
        </w:rPr>
        <w:t>来模拟真实世界中的不完全信息决策：</w:t>
      </w:r>
    </w:p>
    <w:p>
      <w:pPr>
        <w:numPr>
          <w:numId w:val="17"/>
        </w:numPr>
        <w:spacing w:before="120" w:after="120" w:line="288" w:lineRule="auto"/>
        <w:ind w:left="0"/>
        <w:jc w:val="left"/>
      </w:pPr>
      <w:r>
        <w:rPr>
          <w:rFonts w:eastAsia="等线" w:ascii="Arial" w:cs="Arial" w:hAnsi="Arial"/>
          <w:b w:val="true"/>
          <w:sz w:val="22"/>
        </w:rPr>
        <w:t>可见状态</w:t>
      </w:r>
      <w:r>
        <w:rPr>
          <w:rFonts w:eastAsia="等线" w:ascii="Arial" w:cs="Arial" w:hAnsi="Arial"/>
          <w:sz w:val="22"/>
        </w:rPr>
        <w:t>：当对手距离 &lt;= 10.0 时，Agent 获得对手的精确坐标和实时距离</w:t>
      </w:r>
    </w:p>
    <w:p>
      <w:pPr>
        <w:numPr>
          <w:numId w:val="18"/>
        </w:numPr>
        <w:spacing w:before="120" w:after="120" w:line="288" w:lineRule="auto"/>
        <w:ind w:left="0"/>
        <w:jc w:val="left"/>
      </w:pPr>
      <w:r>
        <w:rPr>
          <w:rFonts w:eastAsia="等线" w:ascii="Arial" w:cs="Arial" w:hAnsi="Arial"/>
          <w:b w:val="true"/>
          <w:sz w:val="22"/>
        </w:rPr>
        <w:t>黑暗区域</w:t>
      </w:r>
      <w:r>
        <w:rPr>
          <w:rFonts w:eastAsia="等线" w:ascii="Arial" w:cs="Arial" w:hAnsi="Arial"/>
          <w:sz w:val="22"/>
        </w:rPr>
        <w:t>：当对手距离 &gt; 10.0 时，精确坐标和距离被隐藏，仅显示感知时的方位（N/S/E/W/NE/NW/SE/SW）</w:t>
      </w:r>
    </w:p>
    <w:p>
      <w:pPr>
        <w:numPr>
          <w:numId w:val="19"/>
        </w:numPr>
        <w:spacing w:before="120" w:after="120" w:line="288" w:lineRule="auto"/>
        <w:ind w:left="0"/>
        <w:jc w:val="left"/>
      </w:pPr>
      <w:r>
        <w:rPr>
          <w:rFonts w:eastAsia="等线" w:ascii="Arial" w:cs="Arial" w:hAnsi="Arial"/>
          <w:b w:val="true"/>
          <w:sz w:val="22"/>
        </w:rPr>
        <w:t>方位更新频率</w:t>
      </w:r>
      <w:r>
        <w:rPr>
          <w:rFonts w:eastAsia="等线" w:ascii="Arial" w:cs="Arial" w:hAnsi="Arial"/>
          <w:sz w:val="22"/>
        </w:rPr>
        <w:t>：方位信息回合更新一次</w:t>
      </w:r>
    </w:p>
    <w:p>
      <w:pPr>
        <w:numPr>
          <w:numId w:val="20"/>
        </w:numPr>
        <w:spacing w:before="120" w:after="120" w:line="288" w:lineRule="auto"/>
        <w:ind w:left="0"/>
        <w:jc w:val="left"/>
      </w:pPr>
      <w:r>
        <w:rPr>
          <w:rFonts w:eastAsia="等线" w:ascii="Arial" w:cs="Arial" w:hAnsi="Arial"/>
          <w:b w:val="true"/>
          <w:sz w:val="22"/>
        </w:rPr>
        <w:t>目击历史</w:t>
      </w:r>
      <w:r>
        <w:rPr>
          <w:rFonts w:eastAsia="等线" w:ascii="Arial" w:cs="Arial" w:hAnsi="Arial"/>
          <w:sz w:val="22"/>
        </w:rPr>
        <w:t>：系统保留整局游戏中所有"看到对手"的历史记录，供模型进行位置推断</w:t>
      </w:r>
    </w:p>
    <w:p>
      <w:pPr>
        <w:numPr>
          <w:numId w:val="21"/>
        </w:numPr>
        <w:spacing w:before="120" w:after="120" w:line="288" w:lineRule="auto"/>
        <w:ind w:left="0"/>
        <w:jc w:val="left"/>
      </w:pPr>
      <w:r>
        <w:rPr>
          <w:rFonts w:eastAsia="等线" w:ascii="Arial" w:cs="Arial" w:hAnsi="Arial"/>
          <w:b w:val="true"/>
          <w:sz w:val="22"/>
        </w:rPr>
        <w:t>行动历史</w:t>
      </w:r>
      <w:r>
        <w:rPr>
          <w:rFonts w:eastAsia="等线" w:ascii="Arial" w:cs="Arial" w:hAnsi="Arial"/>
          <w:sz w:val="22"/>
        </w:rPr>
        <w:t>：Agent A每回合会被告知自身过去10个回合所在的坐标点（过去10回合的行动轨迹）</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2.2.4 </w:t>
      </w:r>
      <w:r>
        <w:rPr>
          <w:rFonts w:eastAsia="等线" w:ascii="Arial" w:cs="Arial" w:hAnsi="Arial"/>
          <w:b w:val="true"/>
          <w:sz w:val="30"/>
        </w:rPr>
        <w:t>地图环境：墙与障碍</w:t>
      </w:r>
      <w:bookmarkEnd w:id="15"/>
    </w:p>
    <w:p>
      <w:pPr>
        <w:spacing w:before="120" w:after="120" w:line="288" w:lineRule="auto"/>
        <w:ind w:left="0"/>
        <w:jc w:val="left"/>
      </w:pPr>
      <w:r>
        <w:rPr>
          <w:rFonts w:eastAsia="等线" w:ascii="Arial" w:cs="Arial" w:hAnsi="Arial"/>
          <w:sz w:val="22"/>
        </w:rPr>
        <w:t>沙盘中存在一堵</w:t>
      </w:r>
      <w:r>
        <w:rPr>
          <w:rFonts w:eastAsia="等线" w:ascii="Arial" w:cs="Arial" w:hAnsi="Arial"/>
          <w:b w:val="true"/>
          <w:sz w:val="22"/>
        </w:rPr>
        <w:t>不可穿透的竖直墙</w:t>
      </w:r>
      <w:r>
        <w:rPr>
          <w:rFonts w:eastAsia="等线" w:ascii="Arial" w:cs="Arial" w:hAnsi="Arial"/>
          <w:sz w:val="22"/>
        </w:rPr>
        <w:t>，位于坐标区间 x=25~26, y=10~48：</w:t>
      </w:r>
    </w:p>
    <w:p>
      <w:pPr>
        <w:numPr>
          <w:numId w:val="22"/>
        </w:numPr>
        <w:spacing w:before="120" w:after="120" w:line="288" w:lineRule="auto"/>
        <w:ind w:left="0"/>
        <w:jc w:val="left"/>
      </w:pPr>
      <w:r>
        <w:rPr>
          <w:rFonts w:eastAsia="等线" w:ascii="Arial" w:cs="Arial" w:hAnsi="Arial"/>
          <w:sz w:val="22"/>
        </w:rPr>
        <w:t>任何试图穿越墙或落在墙内的移动指令都会被物理引擎拦截，Agent 保持原地不动</w:t>
      </w:r>
    </w:p>
    <w:p>
      <w:pPr>
        <w:numPr>
          <w:numId w:val="23"/>
        </w:numPr>
        <w:spacing w:before="120" w:after="120" w:line="288" w:lineRule="auto"/>
        <w:ind w:left="0"/>
        <w:jc w:val="left"/>
      </w:pPr>
      <w:r>
        <w:rPr>
          <w:rFonts w:eastAsia="等线" w:ascii="Arial" w:cs="Arial" w:hAnsi="Arial"/>
          <w:sz w:val="22"/>
        </w:rPr>
        <w:t>墙将地图划分为左右两个区域，Agent A 的出生点 (0,0) 与 Agent B 的出生点 (40,35) 恰好被墙分隔</w:t>
      </w:r>
    </w:p>
    <w:p>
      <w:pPr>
        <w:numPr>
          <w:numId w:val="24"/>
        </w:numPr>
        <w:spacing w:before="120" w:after="120" w:line="288" w:lineRule="auto"/>
        <w:ind w:left="0"/>
        <w:jc w:val="left"/>
      </w:pPr>
      <w:r>
        <w:rPr>
          <w:rFonts w:eastAsia="等线" w:ascii="Arial" w:cs="Arial" w:hAnsi="Arial"/>
          <w:sz w:val="22"/>
        </w:rPr>
        <w:t>绕墙策略（从墙的北侧 y&gt;48 或南侧 y&lt;10 绕行）成为高预算模型的标志性行为</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2.2.5 </w:t>
      </w:r>
      <w:r>
        <w:rPr>
          <w:rFonts w:eastAsia="等线" w:ascii="Arial" w:cs="Arial" w:hAnsi="Arial"/>
          <w:b w:val="true"/>
          <w:sz w:val="30"/>
        </w:rPr>
        <w:t>地图示意</w:t>
      </w:r>
      <w:bookmarkEnd w:id="16"/>
    </w:p>
    <w:p>
      <w:pPr>
        <w:numPr>
          <w:numId w:val="25"/>
        </w:numPr>
        <w:spacing w:before="120" w:after="120" w:line="288" w:lineRule="auto"/>
        <w:ind w:left="0"/>
        <w:jc w:val="left"/>
      </w:pPr>
      <w:r>
        <w:rPr>
          <w:rFonts w:eastAsia="等线" w:ascii="Arial" w:cs="Arial" w:hAnsi="Arial"/>
          <w:sz w:val="22"/>
        </w:rPr>
        <w:t>绿色Agent: Agent A</w:t>
      </w:r>
    </w:p>
    <w:p>
      <w:pPr>
        <w:numPr>
          <w:numId w:val="26"/>
        </w:numPr>
        <w:spacing w:before="120" w:after="120" w:line="288" w:lineRule="auto"/>
        <w:ind w:left="453"/>
        <w:jc w:val="left"/>
      </w:pPr>
      <w:r>
        <w:rPr>
          <w:rFonts w:eastAsia="等线" w:ascii="Arial" w:cs="Arial" w:hAnsi="Arial"/>
          <w:sz w:val="22"/>
        </w:rPr>
        <w:t>蓝色圆圈：Agent A移动范围</w:t>
      </w:r>
    </w:p>
    <w:p>
      <w:pPr>
        <w:numPr>
          <w:numId w:val="27"/>
        </w:numPr>
        <w:spacing w:before="120" w:after="120" w:line="288" w:lineRule="auto"/>
        <w:ind w:left="453"/>
        <w:jc w:val="left"/>
      </w:pPr>
      <w:r>
        <w:rPr>
          <w:rFonts w:eastAsia="等线" w:ascii="Arial" w:cs="Arial" w:hAnsi="Arial"/>
          <w:sz w:val="22"/>
        </w:rPr>
        <w:t>绿色圆圈：Agent A感知范围</w:t>
      </w:r>
    </w:p>
    <w:p>
      <w:pPr>
        <w:numPr>
          <w:numId w:val="28"/>
        </w:numPr>
        <w:spacing w:before="120" w:after="120" w:line="288" w:lineRule="auto"/>
        <w:ind w:left="453"/>
        <w:jc w:val="left"/>
      </w:pPr>
      <w:r>
        <w:rPr>
          <w:rFonts w:eastAsia="等线" w:ascii="Arial" w:cs="Arial" w:hAnsi="Arial"/>
          <w:sz w:val="22"/>
        </w:rPr>
        <w:t>绿色折线：移动轨迹</w:t>
      </w:r>
    </w:p>
    <w:p>
      <w:pPr>
        <w:numPr>
          <w:numId w:val="29"/>
        </w:numPr>
        <w:spacing w:before="120" w:after="120" w:line="288" w:lineRule="auto"/>
        <w:ind w:left="0"/>
        <w:jc w:val="left"/>
      </w:pPr>
      <w:r>
        <w:rPr>
          <w:rFonts w:eastAsia="等线" w:ascii="Arial" w:cs="Arial" w:hAnsi="Arial"/>
          <w:sz w:val="22"/>
        </w:rPr>
        <w:t>红色Agent：Agent B</w:t>
      </w:r>
    </w:p>
    <w:p>
      <w:pPr>
        <w:numPr>
          <w:numId w:val="30"/>
        </w:numPr>
        <w:spacing w:before="120" w:after="120" w:line="288" w:lineRule="auto"/>
        <w:ind w:left="453"/>
        <w:jc w:val="left"/>
      </w:pPr>
      <w:r>
        <w:rPr>
          <w:rFonts w:eastAsia="等线" w:ascii="Arial" w:cs="Arial" w:hAnsi="Arial"/>
          <w:sz w:val="22"/>
        </w:rPr>
        <w:t>黄色圆圈：Agent B捕获范围</w:t>
      </w:r>
    </w:p>
    <w:p>
      <w:pPr>
        <w:numPr>
          <w:numId w:val="31"/>
        </w:numPr>
        <w:spacing w:before="120" w:after="120" w:line="288" w:lineRule="auto"/>
        <w:ind w:left="453"/>
        <w:jc w:val="left"/>
      </w:pPr>
      <w:r>
        <w:rPr>
          <w:rFonts w:eastAsia="等线" w:ascii="Arial" w:cs="Arial" w:hAnsi="Arial"/>
          <w:sz w:val="22"/>
        </w:rPr>
        <w:t>红色圆圈：Agent B感知范围</w:t>
      </w:r>
    </w:p>
    <w:p>
      <w:pPr>
        <w:numPr>
          <w:numId w:val="32"/>
        </w:numPr>
        <w:spacing w:before="120" w:after="120" w:line="288" w:lineRule="auto"/>
        <w:ind w:left="0"/>
        <w:jc w:val="left"/>
      </w:pPr>
      <w:r>
        <w:rPr>
          <w:rFonts w:eastAsia="等线" w:ascii="Arial" w:cs="Arial" w:hAnsi="Arial"/>
          <w:sz w:val="22"/>
        </w:rPr>
        <w:t>橙色：墙壁</w:t>
      </w:r>
    </w:p>
    <w:p>
      <w:pPr>
        <w:spacing w:before="120" w:after="120" w:line="288" w:lineRule="auto"/>
        <w:ind w:left="0"/>
        <w:jc w:val="left"/>
      </w:pPr>
      <w:r>
        <w:drawing>
          <wp:inline distT="0" distR="0" distB="0" distL="0">
            <wp:extent cx="3600450" cy="35718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3600450" cy="35718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2.3 </w:t>
      </w:r>
      <w:r>
        <w:rPr>
          <w:rFonts w:eastAsia="等线" w:ascii="Arial" w:cs="Arial" w:hAnsi="Arial"/>
          <w:b w:val="true"/>
          <w:sz w:val="32"/>
        </w:rPr>
        <w:t>技术架构</w:t>
      </w:r>
      <w:bookmarkEnd w:id="17"/>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2.3.1 </w:t>
      </w:r>
      <w:r>
        <w:rPr>
          <w:rFonts w:eastAsia="等线" w:ascii="Arial" w:cs="Arial" w:hAnsi="Arial"/>
          <w:b w:val="true"/>
          <w:sz w:val="30"/>
        </w:rPr>
        <w:t>系统架构图</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The Sand Pit 系统架构                     │</w:t>
              <w:br/>
              <w:t>├─────────────────────────────────────────────────────────────┤</w:t>
              <w:br/>
              <w:t>│  ┌─────────────┐   ┌─────────────┐   ┌─────────────────────┐│</w:t>
              <w:br/>
              <w:t>│  │  Agent A    │   │   Agent B   │   │    Game Engine      ││</w:t>
              <w:br/>
              <w:t>│  │ LLM Driven  │   │   Static    │   │  Round Turn Policy  ││</w:t>
              <w:br/>
              <w:t>│  └──────┬──────┘   └──────┬──────┘   └─────────────────────┘│</w:t>
              <w:br/>
              <w:t>│         │                 │                                 │</w:t>
              <w:br/>
              <w:t>│  ┌──────▼─────────────────▼──────┐   ┌─────────────────────┐│</w:t>
              <w:br/>
              <w:t>│  │       Physics Engine          │   │   Prompt Manager    ││</w:t>
              <w:br/>
              <w:t>│  │       Boundary Check          │   │                     ││</w:t>
              <w:br/>
              <w:t>│  └───────────────────────────────┘   └─────────────────────┘│</w:t>
              <w:br/>
              <w:t>│         │                                              │    │</w:t>
              <w:br/>
              <w:t>│  ┌──────▼──────────────────────────────────────────────▼──┐ │</w:t>
              <w:br/>
              <w:t>│  │              API Client Layer                          │ │</w:t>
              <w:br/>
              <w:t>│  │  ┌─────────────┐    ┌─────────────┐    ┌───────────┐   │ │</w:t>
              <w:br/>
              <w:t>│  │  │ OpenAI      │    │ Anthropic   │    │   Auto    │   │ │</w:t>
              <w:br/>
              <w:t>│  │  │ DeepSeek    │    │   Kimi      │    │   detect  │   │ │</w:t>
              <w:br/>
              <w:t>│  │  └─────────────┘    └─────────────┘    └───────────┘   │ │</w:t>
              <w:br/>
              <w:t>│  └────────────────────────────────────────────────────────┘ │</w:t>
              <w:br/>
              <w:t>│         │                                                   │</w:t>
              <w:br/>
              <w:t>│  ┌──────▼────────────────────────────────────────────────┐  │</w:t>
              <w:br/>
              <w:t>│  │              Logger / Visualization                   │  │</w:t>
              <w:br/>
              <w:t>│  │        JSONL log  │  PyQt6  │  log replay             │  │</w:t>
              <w:br/>
              <w:t>│  └───────────────────────────────────────────────────────┘  │</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2.4 </w:t>
      </w:r>
      <w:r>
        <w:rPr>
          <w:rFonts w:eastAsia="等线" w:ascii="Arial" w:cs="Arial" w:hAnsi="Arial"/>
          <w:b w:val="true"/>
          <w:sz w:val="32"/>
        </w:rPr>
        <w:t>核心逻辑</w:t>
      </w:r>
      <w:bookmarkEnd w:id="19"/>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2.4.1 </w:t>
      </w:r>
      <w:r>
        <w:rPr>
          <w:rFonts w:eastAsia="等线" w:ascii="Arial" w:cs="Arial" w:hAnsi="Arial"/>
          <w:b w:val="true"/>
          <w:sz w:val="30"/>
        </w:rPr>
        <w:t>安全栅栏（Hard Constraints）</w:t>
      </w:r>
      <w:bookmarkEnd w:id="20"/>
    </w:p>
    <w:p>
      <w:pPr>
        <w:spacing w:before="120" w:after="120" w:line="288" w:lineRule="auto"/>
        <w:ind w:left="0"/>
        <w:jc w:val="left"/>
      </w:pPr>
      <w:r>
        <w:rPr>
          <w:rFonts w:eastAsia="等线" w:ascii="Arial" w:cs="Arial" w:hAnsi="Arial"/>
          <w:sz w:val="22"/>
        </w:rPr>
        <w:t>安全栅栏是系统的"信任边界"——LLM可能会出现推理结果与输出结果不一致场景，因此需要对输出结果坐标进行二次校核，所有坐标必须经过以下四层校验：</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强制位移截断</w:t>
      </w:r>
      <w:r>
        <w:rPr>
          <w:rFonts w:eastAsia="等线" w:ascii="Arial" w:cs="Arial" w:hAnsi="Arial"/>
          <w:sz w:val="22"/>
        </w:rPr>
        <w:t>：若目标坐标与当前位置的欧氏距离超过 `move_step=3.0`，系统自动通过矢量缩放将目标点投影到允许圆周上</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边界锁定</w:t>
      </w:r>
      <w:r>
        <w:rPr>
          <w:rFonts w:eastAsia="等线" w:ascii="Arial" w:cs="Arial" w:hAnsi="Arial"/>
          <w:sz w:val="22"/>
        </w:rPr>
        <w:t>：任何超出 [0, 50] 范围的坐标被强制锁定在边界内</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墙碰撞检测</w:t>
      </w:r>
      <w:r>
        <w:rPr>
          <w:rFonts w:eastAsia="等线" w:ascii="Arial" w:cs="Arial" w:hAnsi="Arial"/>
          <w:sz w:val="22"/>
        </w:rPr>
        <w:t>：若移动路径穿过墙矩形或目标点落在墙内，则该动作失败，Agent 保持原地不动</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Token 截断</w:t>
      </w:r>
      <w:r>
        <w:rPr>
          <w:rFonts w:eastAsia="等线" w:ascii="Arial" w:cs="Arial" w:hAnsi="Arial"/>
          <w:sz w:val="22"/>
        </w:rPr>
        <w:t>：严格设置 API 的 `max_tokens` 为 `token_budget`，若返回 JSON 因截断无法解析，该回合原地不动并标记 Parse Error</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2.4.2 </w:t>
      </w:r>
      <w:r>
        <w:rPr>
          <w:rFonts w:eastAsia="等线" w:ascii="Arial" w:cs="Arial" w:hAnsi="Arial"/>
          <w:b w:val="true"/>
          <w:sz w:val="30"/>
        </w:rPr>
        <w:t>回合执行协议</w:t>
      </w:r>
      <w:bookmarkEnd w:id="21"/>
    </w:p>
    <w:p>
      <w:pPr>
        <w:spacing w:before="120" w:after="120" w:line="288" w:lineRule="auto"/>
        <w:ind w:left="0"/>
        <w:jc w:val="left"/>
      </w:pPr>
      <w:r>
        <w:rPr>
          <w:rFonts w:eastAsia="等线" w:ascii="Arial" w:cs="Arial" w:hAnsi="Arial"/>
          <w:sz w:val="22"/>
        </w:rPr>
        <w:t>每一回合严格遵循串行逻辑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 先手判定 (First Actor Determination)</w:t>
              <w:br/>
              <w:t xml:space="preserve">   └── 根据 turn_order_mode（Random/Alternating）确定本回合先手</w:t>
              <w:br/>
              <w:br/>
              <w:t>2. 先手执行 (Turn A)</w:t>
              <w:br/>
              <w:t xml:space="preserve">   ├── 感知：获取感知半径内的敌方坐标（如对方不在感知范围，标注为dark zone），每回合更新方位信息</w:t>
              <w:br/>
              <w:t xml:space="preserve">   ├── 决策：构建 Prompt → 发送 API → 获取 JSON 响应</w:t>
              <w:br/>
              <w:t xml:space="preserve">   ├── 动作：解析坐标 → 位移校验/截断 → 墙碰撞检测 → 更新坐标</w:t>
              <w:br/>
              <w:t xml:space="preserve">   └── 判定：若距离 ≤ 捕获半径，先手获胜，立即终止游戏</w:t>
              <w:br/>
              <w:br/>
              <w:t>3. 后手执行 (Turn B)</w:t>
              <w:br/>
              <w:t xml:space="preserve">   └── 若游戏未结束，后手方重复上述流程（Agent_B 保持静止）</w:t>
              <w:br/>
              <w:br/>
              <w:t>4. 状态更新</w:t>
              <w:br/>
            </w:r>
            <w:r>
              <w:rPr>
                <w:rFonts w:eastAsia="Consolas" w:ascii="Consolas" w:cs="Consolas" w:hAnsi="Consolas"/>
                <w:sz w:val="22"/>
              </w:rPr>
              <w:t xml:space="preserve">   └── 记录全局状态，检查是否达到 Max Rounds</w:t>
            </w:r>
          </w:p>
        </w:tc>
      </w:tr>
    </w:tbl>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2.4.3 </w:t>
      </w:r>
      <w:r>
        <w:rPr>
          <w:rFonts w:eastAsia="等线" w:ascii="Arial" w:cs="Arial" w:hAnsi="Arial"/>
          <w:b w:val="true"/>
          <w:sz w:val="30"/>
        </w:rPr>
        <w:t>提示词策略</w:t>
      </w:r>
      <w:bookmarkEnd w:id="22"/>
    </w:p>
    <w:p>
      <w:pPr>
        <w:spacing w:before="120" w:after="120" w:line="288" w:lineRule="auto"/>
        <w:ind w:left="0"/>
        <w:jc w:val="left"/>
      </w:pPr>
      <w:r>
        <w:rPr>
          <w:rFonts w:eastAsia="等线" w:ascii="Arial" w:cs="Arial" w:hAnsi="Arial"/>
          <w:sz w:val="22"/>
        </w:rPr>
        <w:t>强制 Chain-of-Thought 推理协议，引导模型进行深度策略分析：</w:t>
      </w:r>
    </w:p>
    <w:p>
      <w:pPr>
        <w:numPr>
          <w:numId w:val="33"/>
        </w:numPr>
        <w:spacing w:before="120" w:after="120" w:line="288" w:lineRule="auto"/>
        <w:ind w:left="0"/>
        <w:jc w:val="left"/>
      </w:pPr>
      <w:r>
        <w:rPr>
          <w:rFonts w:eastAsia="等线" w:ascii="Arial" w:cs="Arial" w:hAnsi="Arial"/>
          <w:sz w:val="22"/>
        </w:rPr>
        <w:t>详细的游戏规则说明（环境参数、胜利条件、回合顺序）</w:t>
      </w:r>
    </w:p>
    <w:p>
      <w:pPr>
        <w:numPr>
          <w:numId w:val="34"/>
        </w:numPr>
        <w:spacing w:before="120" w:after="120" w:line="288" w:lineRule="auto"/>
        <w:ind w:left="0"/>
        <w:jc w:val="left"/>
      </w:pPr>
      <w:r>
        <w:rPr>
          <w:rFonts w:eastAsia="等线" w:ascii="Arial" w:cs="Arial" w:hAnsi="Arial"/>
          <w:sz w:val="22"/>
        </w:rPr>
        <w:t>结构化的问题分析（感知数据、对手状态、自身历史、目击记录）</w:t>
      </w:r>
    </w:p>
    <w:p>
      <w:pPr>
        <w:numPr>
          <w:numId w:val="35"/>
        </w:numPr>
        <w:spacing w:before="120" w:after="120" w:line="288" w:lineRule="auto"/>
        <w:ind w:left="0"/>
        <w:jc w:val="left"/>
      </w:pPr>
      <w:r>
        <w:rPr>
          <w:rFonts w:eastAsia="等线" w:ascii="Arial" w:cs="Arial" w:hAnsi="Arial"/>
          <w:sz w:val="22"/>
        </w:rPr>
        <w:t xml:space="preserve">要求提供 </w:t>
      </w:r>
      <w:r>
        <w:rPr>
          <w:rFonts w:eastAsia="Consolas" w:ascii="Consolas" w:cs="Consolas" w:hAnsi="Consolas"/>
          <w:sz w:val="22"/>
          <w:shd w:fill="EFF0F1"/>
        </w:rPr>
        <w:t>thought_process</w:t>
      </w:r>
      <w:r>
        <w:rPr>
          <w:rFonts w:eastAsia="等线" w:ascii="Arial" w:cs="Arial" w:hAnsi="Arial"/>
          <w:sz w:val="22"/>
        </w:rPr>
        <w:t xml:space="preserve"> 字段进行密集空间演算</w:t>
      </w:r>
    </w:p>
    <w:p>
      <w:pPr>
        <w:numPr>
          <w:numId w:val="36"/>
        </w:numPr>
        <w:spacing w:before="120" w:after="120" w:line="288" w:lineRule="auto"/>
        <w:ind w:left="0"/>
        <w:jc w:val="left"/>
      </w:pPr>
      <w:r>
        <w:rPr>
          <w:rFonts w:eastAsia="等线" w:ascii="Arial" w:cs="Arial" w:hAnsi="Arial"/>
          <w:sz w:val="22"/>
        </w:rPr>
        <w:t>明确的输出格式：</w:t>
      </w:r>
      <w:r>
        <w:rPr>
          <w:rFonts w:eastAsia="Consolas" w:ascii="Consolas" w:cs="Consolas" w:hAnsi="Consolas"/>
          <w:sz w:val="22"/>
          <w:shd w:fill="EFF0F1"/>
        </w:rPr>
        <w:t>{"thought_process": "...", "x": &lt;number&gt;, "y": &lt;number&gt;}</w:t>
      </w: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2.4.4 </w:t>
      </w:r>
      <w:r>
        <w:rPr>
          <w:rFonts w:eastAsia="等线" w:ascii="Arial" w:cs="Arial" w:hAnsi="Arial"/>
          <w:b w:val="true"/>
          <w:sz w:val="30"/>
        </w:rPr>
        <w:t>Agent_B 的特殊设定</w:t>
      </w:r>
      <w:bookmarkEnd w:id="23"/>
    </w:p>
    <w:p>
      <w:pPr>
        <w:spacing w:before="120" w:after="120" w:line="288" w:lineRule="auto"/>
        <w:ind w:left="0"/>
        <w:jc w:val="left"/>
      </w:pPr>
      <w:r>
        <w:rPr>
          <w:rFonts w:eastAsia="等线" w:ascii="Arial" w:cs="Arial" w:hAnsi="Arial"/>
          <w:sz w:val="22"/>
        </w:rPr>
        <w:t>Agent_B 在系统中是</w:t>
      </w:r>
      <w:r>
        <w:rPr>
          <w:rFonts w:eastAsia="等线" w:ascii="Arial" w:cs="Arial" w:hAnsi="Arial"/>
          <w:b w:val="true"/>
          <w:sz w:val="22"/>
        </w:rPr>
        <w:t>被动目标</w:t>
      </w:r>
      <w:r>
        <w:rPr>
          <w:rFonts w:eastAsia="等线" w:ascii="Arial" w:cs="Arial" w:hAnsi="Arial"/>
          <w:sz w:val="22"/>
        </w:rPr>
        <w:t>，不请求 API，每回合保持静止。但它拥有 3.0 的捕获半径（是 Agent A 的 6 倍），这意味着：</w:t>
      </w:r>
    </w:p>
    <w:p>
      <w:pPr>
        <w:spacing w:before="120" w:after="120" w:line="288" w:lineRule="auto"/>
        <w:ind w:left="0"/>
        <w:jc w:val="left"/>
      </w:pPr>
      <w:r>
        <w:rPr>
          <w:rFonts w:eastAsia="等线" w:ascii="Arial" w:cs="Arial" w:hAnsi="Arial"/>
          <w:sz w:val="22"/>
        </w:rPr>
        <w:t>- Agent A 必须在每一回合计算</w:t>
      </w:r>
      <w:r>
        <w:rPr>
          <w:rFonts w:eastAsia="等线" w:ascii="Arial" w:cs="Arial" w:hAnsi="Arial"/>
          <w:b w:val="true"/>
          <w:sz w:val="22"/>
        </w:rPr>
        <w:t>安全边界</w:t>
      </w:r>
      <w:r>
        <w:rPr>
          <w:rFonts w:eastAsia="等线" w:ascii="Arial" w:cs="Arial" w:hAnsi="Arial"/>
          <w:sz w:val="22"/>
        </w:rPr>
        <w:t>，确保自己的落点距离 Agent B 超过 3.0，否则在 Agent B 的回合将被反捕获</w:t>
      </w:r>
    </w:p>
    <w:p>
      <w:pPr>
        <w:numPr>
          <w:numId w:val="37"/>
        </w:numPr>
        <w:spacing w:before="120" w:after="120" w:line="288" w:lineRule="auto"/>
        <w:ind w:left="0"/>
        <w:jc w:val="left"/>
      </w:pPr>
      <w:r>
        <w:rPr>
          <w:rFonts w:eastAsia="等线" w:ascii="Arial" w:cs="Arial" w:hAnsi="Arial"/>
          <w:sz w:val="22"/>
        </w:rPr>
        <w:t>这创造了"最后一公里难题"：当 Agent A 接近到 3.0~3.5 距离时，必须在单次移动中同时满足"尽可能接近"和"不踏入 3.0 禁区"，然后在下一回合完成最终捕获</w:t>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2.4.5 </w:t>
      </w:r>
      <w:r>
        <w:rPr>
          <w:rFonts w:eastAsia="等线" w:ascii="Arial" w:cs="Arial" w:hAnsi="Arial"/>
          <w:b w:val="true"/>
          <w:sz w:val="30"/>
        </w:rPr>
        <w:t>核心评估指标</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2865"/>
        <w:gridCol w:w="3810"/>
      </w:tblGrid>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指标</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定义</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研究意义</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Win Rate</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 A 获胜比例</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策略能力的最终体现</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Draw Rate</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平局比例（50回合未分胜负）</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认知欠载的代理指标</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Avg Rounds</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平均回合数</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决策密度与效率</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Parse Error Rate</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 解析失败率</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TOKEN遵循率以及指令遵循率（必须在特定budget下输出结果）</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Logic-Action Delta</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reasoning 中描述的意图向量与实际输出向量的夹角</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所言 vs 所行的系统性偏差</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Budget Utilization</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实际每回合 token 使用 / 设置 budget</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模型对资源的利用效率</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Wall Hit Rate</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撞墙导致行动失败的比例</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空间认知精度</w:t>
            </w:r>
          </w:p>
        </w:tc>
      </w:tr>
    </w:tbl>
    <w:p>
      <w:pPr>
        <w:spacing w:before="120" w:after="120" w:line="288" w:lineRule="auto"/>
        <w:ind w:left="0"/>
        <w:jc w:val="left"/>
      </w:pPr>
    </w:p>
    <w:p>
      <w:pPr>
        <w:pStyle w:val="1"/>
        <w:spacing w:before="380" w:after="140" w:line="288" w:lineRule="auto"/>
        <w:ind w:left="0"/>
        <w:jc w:val="left"/>
        <w:outlineLvl w:val="0"/>
      </w:pPr>
      <w:bookmarkStart w:name="heading_25" w:id="25"/>
      <w:r>
        <w:rPr>
          <w:rFonts w:eastAsia="等线" w:ascii="Arial" w:cs="Arial" w:hAnsi="Arial"/>
          <w:color w:val="3370ff"/>
          <w:sz w:val="36"/>
        </w:rPr>
        <w:t xml:space="preserve">3. </w:t>
      </w:r>
      <w:r>
        <w:rPr>
          <w:rFonts w:eastAsia="等线" w:ascii="Arial" w:cs="Arial" w:hAnsi="Arial"/>
          <w:b w:val="true"/>
          <w:sz w:val="36"/>
        </w:rPr>
        <w:t>数据质量声明</w:t>
      </w:r>
      <w:bookmarkEnd w:id="25"/>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3.1 </w:t>
      </w:r>
      <w:r>
        <w:rPr>
          <w:rFonts w:eastAsia="等线" w:ascii="Arial" w:cs="Arial" w:hAnsi="Arial"/>
          <w:b w:val="true"/>
          <w:sz w:val="32"/>
        </w:rPr>
        <w:t>试验设计与数据概览</w:t>
      </w:r>
      <w:bookmarkEnd w:id="26"/>
    </w:p>
    <w:p>
      <w:pPr>
        <w:spacing w:before="120" w:after="120" w:line="288" w:lineRule="auto"/>
        <w:ind w:left="0"/>
        <w:jc w:val="left"/>
      </w:pPr>
      <w:r>
        <w:rPr>
          <w:rFonts w:eastAsia="等线" w:ascii="Arial" w:cs="Arial" w:hAnsi="Arial"/>
          <w:sz w:val="22"/>
        </w:rPr>
        <w:t>实验覆盖两个模型（DeepSeek-v4-Flash、DeepSeek-v4-Pro）与十个预算梯度（400–2000 tokens预算，以及打开thinking模式后的20000 tokens预算），每个单元格约 40 局（thinking模式下20局），总计 724 局有效游戏。</w:t>
      </w:r>
    </w:p>
    <w:p>
      <w:pPr>
        <w:numPr>
          <w:numId w:val="38"/>
        </w:numPr>
        <w:spacing w:before="120" w:after="120" w:line="288" w:lineRule="auto"/>
        <w:ind w:left="0"/>
        <w:jc w:val="left"/>
      </w:pPr>
      <w:r>
        <w:rPr>
          <w:rFonts w:eastAsia="等线" w:ascii="Arial" w:cs="Arial" w:hAnsi="Arial"/>
          <w:sz w:val="22"/>
        </w:rPr>
        <w:t>基于kimi 2.6的实验进行中</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图表 1：DeepSeek Flash 与 Pro 在不同预算下的 A 胜率与 95% 置信区间</w:t>
      </w:r>
    </w:p>
    <w:p>
      <w:pPr>
        <w:spacing w:before="120" w:after="120" w:line="288" w:lineRule="auto"/>
        <w:ind w:left="0"/>
        <w:jc w:val="center"/>
      </w:pPr>
      <w:r>
        <w:drawing>
          <wp:inline distT="0" distR="0" distB="0" distL="0">
            <wp:extent cx="5257800" cy="31527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15277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 胜率 (CI)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 平局率 (CI)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胜率 (CI)</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平局率 (CI)</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[0.4, 12.9]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90.0% [76.9, 96.0]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 [5.5, 26.1]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65.0% [49.5, 77.9]</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 [5.5, 26.1]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 [65.2, 89.5]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55.0% [39.8, 69.3]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 [5.5, 26.1]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 [3.9, 22.5]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73.2% [58.1, 84.3]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37.5% [24.2, 53.0]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 [5.5, 26.1]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32.5% [20.1, 48.0]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45.0% [30.7, 60.2]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 [44.6, 73.7]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 [0, 8.8]</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34.1% [21.6, 49.5]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43.9% [29.9, 59.0]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70.7%</w:t>
            </w:r>
            <w:r>
              <w:rPr>
                <w:rFonts w:eastAsia="等线" w:ascii="Arial" w:cs="Arial" w:hAnsi="Arial"/>
                <w:sz w:val="22"/>
              </w:rPr>
              <w:t xml:space="preserve"> [55.5, 82.4]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 [1.3, 16.1]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32.5% [20.1, 48.0]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 [35.2, 64.8]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52.5% [37.5, 67.1]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 [2.6, 19.9]</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32.5% [20.1, 48.0]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45.0% [30.7, 60.2]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52.5% [37.5, 67.1]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 [1.4, 16.5]</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45.0% [30.7, 60.2]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32.5% [20.1, 48.0]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55.0% [39.8, 69.3]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 [1.4, 16.5]</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34.9% [22.4, 49.8]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30.2% [18.6, 45.1]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65.0% [49.5, 77.9]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[0.4, 12.9]</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20000 + Thinking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65.0%</w:t>
            </w:r>
            <w:r>
              <w:rPr>
                <w:rFonts w:eastAsia="等线" w:ascii="Arial" w:cs="Arial" w:hAnsi="Arial"/>
                <w:sz w:val="22"/>
              </w:rPr>
              <w:t xml:space="preserve"> [43.3, 81.9]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10.0%</w:t>
            </w:r>
            <w:r>
              <w:rPr>
                <w:rFonts w:eastAsia="等线" w:ascii="Arial" w:cs="Arial" w:hAnsi="Arial"/>
                <w:sz w:val="22"/>
              </w:rPr>
              <w:t xml:space="preserve"> [2.8, 30.1]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80.0%</w:t>
            </w:r>
            <w:r>
              <w:rPr>
                <w:rFonts w:eastAsia="等线" w:ascii="Arial" w:cs="Arial" w:hAnsi="Arial"/>
                <w:sz w:val="22"/>
              </w:rPr>
              <w:t xml:space="preserve"> [58.4, 91.9]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0.0%</w:t>
            </w:r>
            <w:r>
              <w:rPr>
                <w:rFonts w:eastAsia="等线" w:ascii="Arial" w:cs="Arial" w:hAnsi="Arial"/>
                <w:sz w:val="22"/>
              </w:rPr>
              <w:t xml:space="preserve"> [0, 16.1]</w:t>
            </w:r>
          </w:p>
        </w:tc>
      </w:tr>
    </w:tbl>
    <w:p>
      <w:pPr>
        <w:spacing w:before="120" w:after="120" w:line="288" w:lineRule="auto"/>
        <w:ind w:left="0"/>
        <w:jc w:val="left"/>
      </w:pPr>
      <w:r>
        <w:rPr>
          <w:rFonts w:eastAsia="等线" w:ascii="Arial" w:cs="Arial" w:hAnsi="Arial"/>
          <w:sz w:val="22"/>
        </w:rPr>
        <w:t>从表 1 可以观察到三个宏观模式：</w:t>
      </w:r>
    </w:p>
    <w:p>
      <w:pPr>
        <w:spacing w:before="120" w:after="120" w:line="288" w:lineRule="auto"/>
        <w:ind w:left="0"/>
        <w:jc w:val="left"/>
      </w:pPr>
      <w:r>
        <w:rPr>
          <w:rFonts w:eastAsia="等线" w:ascii="Arial" w:cs="Arial" w:hAnsi="Arial"/>
          <w:sz w:val="22"/>
        </w:rPr>
        <w:t xml:space="preserve">第一，400 tokens 构成明确的性能地板。 </w:t>
      </w:r>
    </w:p>
    <w:p>
      <w:pPr>
        <w:spacing w:before="120" w:after="120" w:line="288" w:lineRule="auto"/>
        <w:ind w:left="0"/>
        <w:jc w:val="left"/>
      </w:pPr>
      <w:r>
        <w:rPr>
          <w:rFonts w:eastAsia="等线" w:ascii="Arial" w:cs="Arial" w:hAnsi="Arial"/>
          <w:sz w:val="22"/>
        </w:rPr>
        <w:t>第二，1200 tokens 之后呈现平台化特征。</w:t>
      </w:r>
    </w:p>
    <w:p>
      <w:pPr>
        <w:spacing w:before="120" w:after="120" w:line="288" w:lineRule="auto"/>
        <w:ind w:left="0"/>
        <w:jc w:val="left"/>
      </w:pPr>
      <w:r>
        <w:rPr>
          <w:rFonts w:eastAsia="等线" w:ascii="Arial" w:cs="Arial" w:hAnsi="Arial"/>
          <w:sz w:val="22"/>
        </w:rPr>
        <w:t>第三，Thinking Mode（20000 tokens）展现出脱离平台期的性能跃升。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图表 2：DeepSeek 总体（Flash + Pro 聚合）</w:t>
      </w:r>
    </w:p>
    <w:p>
      <w:pPr>
        <w:spacing w:before="120" w:after="120" w:line="288" w:lineRule="auto"/>
        <w:ind w:left="0"/>
        <w:jc w:val="center"/>
      </w:pPr>
      <w:r>
        <w:drawing>
          <wp:inline distT="0" distR="0" distB="0" distL="0">
            <wp:extent cx="5257800" cy="31527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315277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胜率 (CI)</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平局率 (CI)</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 [3.5, 15.4]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77.5% [67.2, 85.3]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33.8% [24.3, 44.6]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46.2% [35.7, 57.1]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23.5% [15.6, 33.8]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43.2% [33.0, 54.1]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46.2% [35.7, 57.1]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22.5% [14.7, 32.8]</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52.4%</w:t>
            </w:r>
            <w:r>
              <w:rPr>
                <w:rFonts w:eastAsia="等线" w:ascii="Arial" w:cs="Arial" w:hAnsi="Arial"/>
                <w:sz w:val="22"/>
              </w:rPr>
              <w:t xml:space="preserve"> [41.8, 62.9]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24.4% [16.4, 34.7]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42.5% [32.3, 53.4]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28.7% [20.0, 39.5]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42.5% [32.3, 53.4]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 [16.8, 35.5]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 [39.3, 60.7]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18.8% [11.7, 28.7]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49.4% [38.9, 59.9]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16.9% [10.3, 26.3]</w:t>
            </w:r>
          </w:p>
        </w:tc>
      </w:tr>
    </w:tbl>
    <w:p>
      <w:pPr>
        <w:spacing w:before="120" w:after="120" w:line="288" w:lineRule="auto"/>
        <w:ind w:left="0"/>
        <w:jc w:val="left"/>
      </w:pPr>
      <w:r>
        <w:rPr>
          <w:rFonts w:eastAsia="等线" w:ascii="Arial" w:cs="Arial" w:hAnsi="Arial"/>
          <w:sz w:val="22"/>
        </w:rPr>
        <w:t>从图表2可以观察到：总体数据呈现更为平滑的"先陡升后平台"曲线</w:t>
      </w:r>
    </w:p>
    <w:p>
      <w:pPr>
        <w:pStyle w:val="2"/>
        <w:spacing w:before="320" w:after="120" w:line="288" w:lineRule="auto"/>
        <w:ind w:left="0"/>
        <w:jc w:val="left"/>
        <w:outlineLvl w:val="1"/>
      </w:pPr>
      <w:bookmarkStart w:name="heading_27" w:id="27"/>
      <w:r>
        <w:rPr>
          <w:rFonts w:eastAsia="等线" w:ascii="Arial" w:cs="Arial" w:hAnsi="Arial"/>
          <w:color w:val="3370ff"/>
          <w:sz w:val="32"/>
        </w:rPr>
        <w:t xml:space="preserve">3.2 </w:t>
      </w:r>
      <w:r>
        <w:rPr>
          <w:rFonts w:eastAsia="等线" w:ascii="Arial" w:cs="Arial" w:hAnsi="Arial"/>
          <w:b w:val="true"/>
          <w:sz w:val="32"/>
        </w:rPr>
        <w:t>样本量的统计功效评估</w:t>
      </w:r>
      <w:bookmarkEnd w:id="27"/>
    </w:p>
    <w:p>
      <w:pPr>
        <w:spacing w:before="120" w:after="120" w:line="288" w:lineRule="auto"/>
        <w:ind w:left="0"/>
        <w:jc w:val="left"/>
      </w:pPr>
      <w:r>
        <w:rPr>
          <w:rFonts w:eastAsia="等线" w:ascii="Arial" w:cs="Arial" w:hAnsi="Arial"/>
          <w:sz w:val="22"/>
        </w:rPr>
        <w:t>样本量是否足够，在该试验中是困扰研究人员的一大问题。</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3.2.1 </w:t>
      </w:r>
      <w:r>
        <w:rPr>
          <w:rFonts w:eastAsia="等线" w:ascii="Arial" w:cs="Arial" w:hAnsi="Arial"/>
          <w:b w:val="true"/>
          <w:sz w:val="30"/>
        </w:rPr>
        <w:t>标准预算（400–2000）：N = 40 的单模型功效</w:t>
      </w:r>
      <w:bookmarkEnd w:id="28"/>
    </w:p>
    <w:p>
      <w:pPr>
        <w:spacing w:before="120" w:after="120" w:line="288" w:lineRule="auto"/>
        <w:ind w:left="0"/>
        <w:jc w:val="left"/>
      </w:pPr>
      <w:r>
        <w:rPr>
          <w:rFonts w:eastAsia="等线" w:ascii="Arial" w:cs="Arial" w:hAnsi="Arial"/>
          <w:sz w:val="22"/>
        </w:rPr>
        <w:t xml:space="preserve">本实验的典型单元格样本量为 </w:t>
      </w:r>
      <w:r>
        <w:rPr>
          <w:rFonts w:eastAsia="等线" w:ascii="Arial" w:cs="Arial" w:hAnsi="Arial"/>
          <w:b w:val="true"/>
          <w:sz w:val="22"/>
        </w:rPr>
        <w:t>N = 40 局</w:t>
      </w:r>
      <w:r>
        <w:rPr>
          <w:rFonts w:eastAsia="等线" w:ascii="Arial" w:cs="Arial" w:hAnsi="Arial"/>
          <w:sz w:val="22"/>
        </w:rPr>
        <w:t xml:space="preserve">（单模型）。对于二项比例（胜率）的估计，N = 40 在 p ≈ 0.5 时的 95% 置信区间半宽约 </w:t>
      </w:r>
      <w:r>
        <w:rPr>
          <w:rFonts w:eastAsia="等线" w:ascii="Arial" w:cs="Arial" w:hAnsi="Arial"/>
          <w:b w:val="true"/>
          <w:sz w:val="22"/>
        </w:rPr>
        <w:t>±15%</w:t>
      </w:r>
      <w:r>
        <w:rPr>
          <w:rFonts w:eastAsia="等线" w:ascii="Arial" w:cs="Arial" w:hAnsi="Arial"/>
          <w:sz w:val="22"/>
        </w:rPr>
        <w:t xml:space="preserve">，在 p ≈ 0.1 时约 </w:t>
      </w:r>
      <w:r>
        <w:rPr>
          <w:rFonts w:eastAsia="等线" w:ascii="Arial" w:cs="Arial" w:hAnsi="Arial"/>
          <w:b w:val="true"/>
          <w:sz w:val="22"/>
        </w:rPr>
        <w:t>±9%</w:t>
      </w:r>
      <w:r>
        <w:rPr>
          <w:rFonts w:eastAsia="等线" w:ascii="Arial" w:cs="Arial" w:hAnsi="Arial"/>
          <w:sz w:val="22"/>
        </w:rPr>
        <w:t>。</w:t>
      </w:r>
    </w:p>
    <w:p>
      <w:pPr>
        <w:spacing w:before="120" w:after="120" w:line="288" w:lineRule="auto"/>
        <w:ind w:left="0"/>
        <w:jc w:val="left"/>
      </w:pPr>
      <w:r>
        <w:rPr>
          <w:rFonts w:eastAsia="等线" w:ascii="Arial" w:cs="Arial" w:hAnsi="Arial"/>
          <w:sz w:val="22"/>
        </w:rPr>
        <w:t>这一定价精度对于检测"大效应"（&gt; 25 个百分点的差异）是充足的，但对于检测"小效应"（&lt; 10 个百分点）则不足。</w:t>
      </w:r>
    </w:p>
    <w:p>
      <w:pPr>
        <w:spacing w:before="120" w:after="120" w:line="288" w:lineRule="auto"/>
        <w:ind w:left="0"/>
        <w:jc w:val="left"/>
      </w:pPr>
      <w:r>
        <w:rPr>
          <w:rFonts w:eastAsia="等线" w:ascii="Arial" w:cs="Arial" w:hAnsi="Arial"/>
          <w:b w:val="true"/>
          <w:sz w:val="22"/>
        </w:rPr>
        <w:t>结论：为了追求精确的工业拐点，需要补充更多局数。当前&lt;10%的数值差异，不应作为划分性能依据。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核心发现的效应量与检测能力（单模型）：</w:t>
      </w:r>
    </w:p>
    <w:p>
      <w:pPr>
        <w:spacing w:before="120" w:after="120" w:line="288" w:lineRule="auto"/>
        <w:ind w:left="0"/>
        <w:jc w:val="center"/>
      </w:pPr>
      <w:r>
        <w:drawing>
          <wp:inline distT="0" distR="0" distB="0" distL="0">
            <wp:extent cx="5257800" cy="31527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315277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观察差异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 CI 重叠情况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 400 vs 1000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 pts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不重叠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真实跃升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400 vs 1000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47.5 pts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不重叠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真实跃升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400 vs 1200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58.2 pts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不重叠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真实跃升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 1200 vs 2000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 pts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严重重叠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平台期噪声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1200 vs 1400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18.2 pts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重叠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平台期噪声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 1800 vs 2000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 pts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严重重叠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平台期噪声</w:t>
            </w:r>
          </w:p>
        </w:tc>
      </w:tr>
    </w:tbl>
    <w:p>
      <w:pPr>
        <w:spacing w:before="120" w:after="120" w:line="288" w:lineRule="auto"/>
        <w:ind w:left="0"/>
        <w:jc w:val="left"/>
      </w:pPr>
      <w:r>
        <w:rPr>
          <w:rFonts w:eastAsia="等线" w:ascii="Arial" w:cs="Arial" w:hAnsi="Arial"/>
          <w:sz w:val="22"/>
        </w:rPr>
        <w:t>由此可见，</w:t>
      </w:r>
      <w:r>
        <w:rPr>
          <w:rFonts w:eastAsia="等线" w:ascii="Arial" w:cs="Arial" w:hAnsi="Arial"/>
          <w:b w:val="true"/>
          <w:sz w:val="22"/>
        </w:rPr>
        <w:t>N = 40 的样本量足以支撑"低预算"和"中预算"这两个核心叙事</w:t>
      </w:r>
      <w:r>
        <w:rPr>
          <w:rFonts w:eastAsia="等线" w:ascii="Arial" w:cs="Arial" w:hAnsi="Arial"/>
          <w:sz w:val="22"/>
        </w:rPr>
        <w:t>，但不足以分辨</w:t>
      </w:r>
      <w:r>
        <w:rPr>
          <w:rFonts w:eastAsia="等线" w:ascii="Arial" w:cs="Arial" w:hAnsi="Arial"/>
          <w:b w:val="true"/>
          <w:sz w:val="22"/>
        </w:rPr>
        <w:t>“高预算”</w:t>
      </w:r>
      <w:r>
        <w:rPr>
          <w:rFonts w:eastAsia="等线" w:ascii="Arial" w:cs="Arial" w:hAnsi="Arial"/>
          <w:sz w:val="22"/>
        </w:rPr>
        <w:t>差异。</w:t>
      </w:r>
    </w:p>
    <w:p>
      <w:pPr>
        <w:spacing w:before="120" w:after="120" w:line="288" w:lineRule="auto"/>
        <w:ind w:left="0"/>
        <w:jc w:val="left"/>
      </w:pPr>
      <w:r>
        <w:rPr>
          <w:rFonts w:eastAsia="等线" w:ascii="Arial" w:cs="Arial" w:hAnsi="Arial"/>
          <w:sz w:val="22"/>
        </w:rPr>
        <w:t xml:space="preserve">但在实际研究实践中，“高预算”的平台期可通过研究章节 </w:t>
      </w:r>
      <w:r>
        <w:rPr>
          <w:rFonts w:eastAsia="等线" w:ascii="Arial" w:cs="Arial" w:hAnsi="Arial"/>
          <w:b w:val="true"/>
          <w:sz w:val="22"/>
        </w:rPr>
        <w:t>LLM的有效决策来源于无效决策原因研究</w:t>
      </w:r>
      <w:r>
        <w:rPr>
          <w:rFonts w:eastAsia="等线" w:ascii="Arial" w:cs="Arial" w:hAnsi="Arial"/>
          <w:sz w:val="22"/>
        </w:rPr>
        <w:t xml:space="preserve"> </w:t>
      </w:r>
      <w:r>
        <w:rPr>
          <w:rFonts w:eastAsia="等线" w:ascii="Arial" w:cs="Arial" w:hAnsi="Arial"/>
          <w:sz w:val="22"/>
        </w:rPr>
        <w:t>体现，核心叙事为：高预算下引入的是模型的过度思考，而非更高效率的探索。</w:t>
      </w:r>
    </w:p>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3.2.2 </w:t>
      </w:r>
      <w:r>
        <w:rPr>
          <w:rFonts w:eastAsia="等线" w:ascii="Arial" w:cs="Arial" w:hAnsi="Arial"/>
          <w:b w:val="true"/>
          <w:sz w:val="30"/>
        </w:rPr>
        <w:t>聚合数据（Flash + Pro）：N ≈ 80 的联合功效</w:t>
      </w:r>
      <w:bookmarkEnd w:id="29"/>
    </w:p>
    <w:p>
      <w:pPr>
        <w:spacing w:before="120" w:after="120" w:line="288" w:lineRule="auto"/>
        <w:ind w:left="0"/>
        <w:jc w:val="left"/>
      </w:pPr>
      <w:r>
        <w:rPr>
          <w:rFonts w:eastAsia="等线" w:ascii="Arial" w:cs="Arial" w:hAnsi="Arial"/>
          <w:sz w:val="22"/>
        </w:rPr>
        <w:t xml:space="preserve">将 Flash 与 Pro 聚合后，N 提升至约 80，95% CI 半宽收窄至约 </w:t>
      </w:r>
      <w:r>
        <w:rPr>
          <w:rFonts w:eastAsia="等线" w:ascii="Arial" w:cs="Arial" w:hAnsi="Arial"/>
          <w:b w:val="true"/>
          <w:sz w:val="22"/>
        </w:rPr>
        <w:t>±10%</w:t>
      </w:r>
      <w:r>
        <w:rPr>
          <w:rFonts w:eastAsia="等线" w:ascii="Arial" w:cs="Arial" w:hAnsi="Arial"/>
          <w:sz w:val="22"/>
        </w:rPr>
        <w:t>（p ≈ 0.5 时）。这使得我们可以对总体趋势做更稳健的断言：</w:t>
      </w:r>
    </w:p>
    <w:p>
      <w:pPr>
        <w:numPr>
          <w:numId w:val="39"/>
        </w:numPr>
        <w:spacing w:before="120" w:after="120" w:line="288" w:lineRule="auto"/>
        <w:ind w:left="0"/>
        <w:jc w:val="left"/>
      </w:pPr>
      <w:r>
        <w:rPr>
          <w:rFonts w:eastAsia="等线" w:ascii="Arial" w:cs="Arial" w:hAnsi="Arial"/>
          <w:b w:val="true"/>
          <w:sz w:val="22"/>
        </w:rPr>
        <w:t>400 vs 1200</w:t>
      </w:r>
      <w:r>
        <w:rPr>
          <w:rFonts w:eastAsia="等线" w:ascii="Arial" w:cs="Arial" w:hAnsi="Arial"/>
          <w:sz w:val="22"/>
        </w:rPr>
        <w:t>：总体胜率从 7.5% [3.5, 15.4] 跃升至 52.4% [41.8, 62.9]，CI 完全不重叠。</w:t>
      </w:r>
      <w:r>
        <w:rPr>
          <w:rFonts w:eastAsia="等线" w:ascii="Arial" w:cs="Arial" w:hAnsi="Arial"/>
          <w:b w:val="true"/>
          <w:sz w:val="22"/>
        </w:rPr>
        <w:t>该阈值效应在聚合层面极为稳健。</w:t>
      </w:r>
    </w:p>
    <w:p>
      <w:pPr>
        <w:numPr>
          <w:numId w:val="40"/>
        </w:numPr>
        <w:spacing w:before="120" w:after="120" w:line="288" w:lineRule="auto"/>
        <w:ind w:left="0"/>
        <w:jc w:val="left"/>
      </w:pPr>
      <w:r>
        <w:rPr>
          <w:rFonts w:eastAsia="等线" w:ascii="Arial" w:cs="Arial" w:hAnsi="Arial"/>
          <w:b w:val="true"/>
          <w:sz w:val="22"/>
        </w:rPr>
        <w:t>1200 vs 2000</w:t>
      </w:r>
      <w:r>
        <w:rPr>
          <w:rFonts w:eastAsia="等线" w:ascii="Arial" w:cs="Arial" w:hAnsi="Arial"/>
          <w:sz w:val="22"/>
        </w:rPr>
        <w:t>：总体胜率从 52.4% [41.8, 62.9] 微降至 49.4% [38.9, 59.9]，CI 大面积重叠。</w:t>
      </w:r>
      <w:r>
        <w:rPr>
          <w:rFonts w:eastAsia="等线" w:ascii="Arial" w:cs="Arial" w:hAnsi="Arial"/>
          <w:b w:val="true"/>
          <w:sz w:val="22"/>
        </w:rPr>
        <w:t>平台期在聚合层面依然成立。</w:t>
      </w:r>
    </w:p>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3.2.3 </w:t>
      </w:r>
      <w:r>
        <w:rPr>
          <w:rFonts w:eastAsia="等线" w:ascii="Arial" w:cs="Arial" w:hAnsi="Arial"/>
          <w:b w:val="true"/>
          <w:sz w:val="30"/>
        </w:rPr>
        <w:t>Flash 与 Pro 的跨模型稳健性</w:t>
      </w:r>
      <w:bookmarkEnd w:id="30"/>
    </w:p>
    <w:p>
      <w:pPr>
        <w:spacing w:before="120" w:after="120" w:line="288" w:lineRule="auto"/>
        <w:ind w:left="0"/>
        <w:jc w:val="left"/>
      </w:pPr>
      <w:r>
        <w:rPr>
          <w:rFonts w:eastAsia="等线" w:ascii="Arial" w:cs="Arial" w:hAnsi="Arial"/>
          <w:sz w:val="22"/>
        </w:rPr>
        <w:t>Flash 与 Pro 虽同属 DeepSeek 系列，但分别代表"轻量快速"与"深度精确"两种认知架构。二者独立复现了同一模式：</w:t>
      </w:r>
    </w:p>
    <w:p>
      <w:pPr>
        <w:numPr>
          <w:numId w:val="41"/>
        </w:numPr>
        <w:spacing w:before="120" w:after="120" w:line="288" w:lineRule="auto"/>
        <w:ind w:left="0"/>
        <w:jc w:val="left"/>
      </w:pPr>
      <w:r>
        <w:rPr>
          <w:rFonts w:eastAsia="等线" w:ascii="Arial" w:cs="Arial" w:hAnsi="Arial"/>
          <w:b w:val="true"/>
          <w:sz w:val="22"/>
        </w:rPr>
        <w:t>400 预算</w:t>
      </w:r>
      <w:r>
        <w:rPr>
          <w:rFonts w:eastAsia="等线" w:ascii="Arial" w:cs="Arial" w:hAnsi="Arial"/>
          <w:sz w:val="22"/>
        </w:rPr>
        <w:t>：均低于 15% 胜率，确认性能地板</w:t>
      </w:r>
    </w:p>
    <w:p>
      <w:pPr>
        <w:numPr>
          <w:numId w:val="42"/>
        </w:numPr>
        <w:spacing w:before="120" w:after="120" w:line="288" w:lineRule="auto"/>
        <w:ind w:left="0"/>
        <w:jc w:val="left"/>
      </w:pPr>
      <w:r>
        <w:rPr>
          <w:rFonts w:eastAsia="等线" w:ascii="Arial" w:cs="Arial" w:hAnsi="Arial"/>
          <w:b w:val="true"/>
          <w:sz w:val="22"/>
        </w:rPr>
        <w:t>1000–1200 预算</w:t>
      </w:r>
      <w:r>
        <w:rPr>
          <w:rFonts w:eastAsia="等线" w:ascii="Arial" w:cs="Arial" w:hAnsi="Arial"/>
          <w:sz w:val="22"/>
        </w:rPr>
        <w:t>：均实现跃升（Flash 32–34%，Pro 60–71%）</w:t>
      </w:r>
    </w:p>
    <w:p>
      <w:pPr>
        <w:numPr>
          <w:numId w:val="43"/>
        </w:numPr>
        <w:spacing w:before="120" w:after="120" w:line="288" w:lineRule="auto"/>
        <w:ind w:left="0"/>
        <w:jc w:val="left"/>
      </w:pPr>
      <w:r>
        <w:rPr>
          <w:rFonts w:eastAsia="等线" w:ascii="Arial" w:cs="Arial" w:hAnsi="Arial"/>
          <w:b w:val="true"/>
          <w:sz w:val="22"/>
        </w:rPr>
        <w:t>1200+ 预算</w:t>
      </w:r>
      <w:r>
        <w:rPr>
          <w:rFonts w:eastAsia="等线" w:ascii="Arial" w:cs="Arial" w:hAnsi="Arial"/>
          <w:sz w:val="22"/>
        </w:rPr>
        <w:t>：均进入平台期</w:t>
      </w:r>
    </w:p>
    <w:p>
      <w:pPr>
        <w:spacing w:before="120" w:after="120" w:line="288" w:lineRule="auto"/>
        <w:ind w:left="0"/>
        <w:jc w:val="left"/>
      </w:pPr>
      <w:r>
        <w:rPr>
          <w:rFonts w:eastAsia="等线" w:ascii="Arial" w:cs="Arial" w:hAnsi="Arial"/>
          <w:sz w:val="22"/>
        </w:rPr>
        <w:t>这种同一模型家族内部的</w:t>
      </w:r>
      <w:r>
        <w:rPr>
          <w:rFonts w:eastAsia="等线" w:ascii="Arial" w:cs="Arial" w:hAnsi="Arial"/>
          <w:b w:val="true"/>
          <w:sz w:val="22"/>
        </w:rPr>
        <w:t>架构级稳健性</w:t>
      </w:r>
      <w:r>
        <w:rPr>
          <w:rFonts w:eastAsia="等线" w:ascii="Arial" w:cs="Arial" w:hAnsi="Arial"/>
          <w:sz w:val="22"/>
        </w:rPr>
        <w:t>，增强了结论的可迁移性。</w:t>
      </w:r>
    </w:p>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3.2.4 </w:t>
      </w:r>
      <w:r>
        <w:rPr>
          <w:rFonts w:eastAsia="等线" w:ascii="Arial" w:cs="Arial" w:hAnsi="Arial"/>
          <w:b w:val="true"/>
          <w:sz w:val="30"/>
        </w:rPr>
        <w:t>Thinking Mode 的样本量声明</w:t>
      </w:r>
      <w:bookmarkEnd w:id="31"/>
    </w:p>
    <w:p>
      <w:pPr>
        <w:spacing w:before="120" w:after="120" w:line="288" w:lineRule="auto"/>
        <w:ind w:left="0"/>
        <w:jc w:val="left"/>
      </w:pPr>
      <w:r>
        <w:rPr>
          <w:rFonts w:eastAsia="等线" w:ascii="Arial" w:cs="Arial" w:hAnsi="Arial"/>
          <w:sz w:val="22"/>
        </w:rPr>
        <w:t xml:space="preserve">Thinking Mode（20000 tokens）的 N = 20，95% CI 半宽约 </w:t>
      </w:r>
      <w:r>
        <w:rPr>
          <w:rFonts w:eastAsia="等线" w:ascii="Arial" w:cs="Arial" w:hAnsi="Arial"/>
          <w:b w:val="true"/>
          <w:sz w:val="22"/>
        </w:rPr>
        <w:t>±18%</w:t>
      </w:r>
      <w:r>
        <w:rPr>
          <w:rFonts w:eastAsia="等线" w:ascii="Arial" w:cs="Arial" w:hAnsi="Arial"/>
          <w:sz w:val="22"/>
        </w:rPr>
        <w:t>。该数据仅用于展示"极端预算+深度思考"的潜在上限，不做精确推断。</w:t>
      </w:r>
    </w:p>
    <w:p>
      <w:pPr>
        <w:spacing w:before="120" w:after="120" w:line="288" w:lineRule="auto"/>
        <w:ind w:left="0"/>
        <w:jc w:val="left"/>
      </w:pPr>
      <w:r>
        <w:rPr>
          <w:rFonts w:eastAsia="等线" w:ascii="Arial" w:cs="Arial" w:hAnsi="Arial"/>
          <w:sz w:val="22"/>
        </w:rPr>
        <w:t>Flash 的 Thinking Mode 胜率 65.0% [43.3, 81.9] 与 Pro 的 80.0% [58.4, 91.9] 均显著高于各自 2000 预算的 CI 上限（Flash 49.8%，Pro 77.9%），提示 Thinking Mode 可能具有真实增益，但无法与"预算提升至 20000"的效应分离。</w:t>
      </w:r>
    </w:p>
    <w:p>
      <w:pPr>
        <w:numPr>
          <w:numId w:val="44"/>
        </w:numPr>
        <w:spacing w:before="120" w:after="120" w:line="288" w:lineRule="auto"/>
        <w:ind w:left="0"/>
        <w:jc w:val="left"/>
      </w:pPr>
      <w:r>
        <w:rPr>
          <w:rFonts w:eastAsia="等线" w:ascii="Arial" w:cs="Arial" w:hAnsi="Arial"/>
          <w:sz w:val="22"/>
        </w:rPr>
        <w:t>如需进行Thinking mode的精确推断，需要补测Thinking mode局数</w:t>
      </w:r>
    </w:p>
    <w:p>
      <w:pPr>
        <w:spacing w:before="120" w:after="120" w:line="288" w:lineRule="auto"/>
        <w:ind w:left="0"/>
        <w:jc w:val="left"/>
      </w:pPr>
    </w:p>
    <w:p>
      <w:pPr>
        <w:pStyle w:val="2"/>
        <w:spacing w:before="320" w:after="120" w:line="288" w:lineRule="auto"/>
        <w:ind w:left="0"/>
        <w:jc w:val="left"/>
        <w:outlineLvl w:val="1"/>
      </w:pPr>
      <w:bookmarkStart w:name="heading_32" w:id="32"/>
      <w:r>
        <w:rPr>
          <w:rFonts w:eastAsia="等线" w:ascii="Arial" w:cs="Arial" w:hAnsi="Arial"/>
          <w:color w:val="3370ff"/>
          <w:sz w:val="32"/>
        </w:rPr>
        <w:t xml:space="preserve">3.3 </w:t>
      </w:r>
      <w:r>
        <w:rPr>
          <w:rFonts w:eastAsia="等线" w:ascii="Arial" w:cs="Arial" w:hAnsi="Arial"/>
          <w:b w:val="true"/>
          <w:sz w:val="32"/>
        </w:rPr>
        <w:t>数据使用边界声明</w:t>
      </w:r>
      <w:bookmarkEnd w:id="32"/>
    </w:p>
    <w:p>
      <w:pPr>
        <w:spacing w:before="120" w:after="120" w:line="288" w:lineRule="auto"/>
        <w:ind w:left="0"/>
        <w:jc w:val="left"/>
      </w:pPr>
      <w:r>
        <w:rPr>
          <w:rFonts w:eastAsia="等线" w:ascii="Arial" w:cs="Arial" w:hAnsi="Arial"/>
          <w:sz w:val="22"/>
        </w:rPr>
        <w:t>为确保分析的诚实性，本文后续章节遵循以下数据纪律：</w:t>
      </w:r>
    </w:p>
    <w:p>
      <w:pPr>
        <w:numPr>
          <w:numId w:val="45"/>
        </w:numPr>
        <w:spacing w:before="120" w:after="120" w:line="288" w:lineRule="auto"/>
        <w:ind w:left="0"/>
        <w:jc w:val="left"/>
      </w:pPr>
      <w:r>
        <w:rPr>
          <w:rFonts w:eastAsia="等线" w:ascii="Arial" w:cs="Arial" w:hAnsi="Arial"/>
          <w:b w:val="true"/>
          <w:sz w:val="22"/>
        </w:rPr>
        <w:t>效应量优先原则</w:t>
      </w:r>
      <w:r>
        <w:rPr>
          <w:rFonts w:eastAsia="等线" w:ascii="Arial" w:cs="Arial" w:hAnsi="Arial"/>
          <w:sz w:val="22"/>
        </w:rPr>
        <w:t>：仅对置信区间不重叠（或边缘重叠但核心区间分离）的结论做强因果断言；平台区内的波动统一归因于测量噪声。</w:t>
      </w:r>
    </w:p>
    <w:p>
      <w:pPr>
        <w:numPr>
          <w:numId w:val="46"/>
        </w:numPr>
        <w:spacing w:before="120" w:after="120" w:line="288" w:lineRule="auto"/>
        <w:ind w:left="0"/>
        <w:jc w:val="left"/>
      </w:pPr>
      <w:r>
        <w:rPr>
          <w:rFonts w:eastAsia="等线" w:ascii="Arial" w:cs="Arial" w:hAnsi="Arial"/>
          <w:b w:val="true"/>
          <w:sz w:val="22"/>
        </w:rPr>
        <w:t>样本量透明原则</w:t>
      </w:r>
      <w:r>
        <w:rPr>
          <w:rFonts w:eastAsia="等线" w:ascii="Arial" w:cs="Arial" w:hAnsi="Arial"/>
          <w:sz w:val="22"/>
        </w:rPr>
        <w:t>：所有按阶段或按模型拆分的子样本分析，均同时报告 N 和置信区间。N &lt; 20 的子样本仅作描述性展示，不参与推断统计。</w:t>
      </w:r>
    </w:p>
    <w:p>
      <w:pPr>
        <w:numPr>
          <w:numId w:val="47"/>
        </w:numPr>
        <w:spacing w:before="120" w:after="120" w:line="288" w:lineRule="auto"/>
        <w:ind w:left="0"/>
        <w:jc w:val="left"/>
      </w:pPr>
      <w:r>
        <w:rPr>
          <w:rFonts w:eastAsia="等线" w:ascii="Arial" w:cs="Arial" w:hAnsi="Arial"/>
          <w:b w:val="true"/>
          <w:sz w:val="22"/>
        </w:rPr>
        <w:t>架构稳健性原则</w:t>
      </w:r>
      <w:r>
        <w:rPr>
          <w:rFonts w:eastAsia="等线" w:ascii="Arial" w:cs="Arial" w:hAnsi="Arial"/>
          <w:sz w:val="22"/>
        </w:rPr>
        <w:t>：单模型观察到的模式需被同系列另一架构（Flash vs Pro）独立复现，才被视为模型层面的规律。</w:t>
      </w:r>
    </w:p>
    <w:p>
      <w:pPr>
        <w:numPr>
          <w:numId w:val="48"/>
        </w:numPr>
        <w:spacing w:before="120" w:after="120" w:line="288" w:lineRule="auto"/>
        <w:ind w:left="0"/>
        <w:jc w:val="left"/>
      </w:pPr>
      <w:r>
        <w:rPr>
          <w:rFonts w:eastAsia="等线" w:ascii="Arial" w:cs="Arial" w:hAnsi="Arial"/>
          <w:b w:val="true"/>
          <w:sz w:val="22"/>
        </w:rPr>
        <w:t>Thinking Mode 标注原则</w:t>
      </w:r>
      <w:r>
        <w:rPr>
          <w:rFonts w:eastAsia="等线" w:ascii="Arial" w:cs="Arial" w:hAnsi="Arial"/>
          <w:sz w:val="22"/>
        </w:rPr>
        <w:t>：20000 tokens + Thinking Mode 数据因样本量限制（N = 20）及设计混淆（budget × thinking），所有相关结论均标注为"探索性"（exploratory），不做严格因果推断。</w:t>
      </w:r>
    </w:p>
    <w:p>
      <w:pPr>
        <w:spacing w:before="120" w:after="120" w:line="288" w:lineRule="auto"/>
        <w:ind w:left="0"/>
        <w:jc w:val="left"/>
      </w:pPr>
    </w:p>
    <w:p>
      <w:pPr>
        <w:pStyle w:val="1"/>
        <w:spacing w:before="380" w:after="140" w:line="288" w:lineRule="auto"/>
        <w:ind w:left="0"/>
        <w:jc w:val="left"/>
        <w:outlineLvl w:val="0"/>
      </w:pPr>
      <w:bookmarkStart w:name="heading_33" w:id="33"/>
      <w:r>
        <w:rPr>
          <w:rFonts w:eastAsia="等线" w:ascii="Arial" w:cs="Arial" w:hAnsi="Arial"/>
          <w:color w:val="3370ff"/>
          <w:sz w:val="36"/>
        </w:rPr>
        <w:t xml:space="preserve">4. </w:t>
      </w:r>
      <w:r>
        <w:rPr>
          <w:rFonts w:eastAsia="等线" w:ascii="Arial" w:cs="Arial" w:hAnsi="Arial"/>
          <w:b w:val="true"/>
          <w:sz w:val="36"/>
        </w:rPr>
        <w:t>离散空间中的决策水准与逻辑密度研究</w:t>
      </w:r>
      <w:r>
        <w:rPr>
          <w:rFonts w:eastAsia="等线" w:ascii="Arial" w:cs="Arial" w:hAnsi="Arial"/>
          <w:b w:val="true"/>
          <w:color w:val="3370ff"/>
          <w:sz w:val="36"/>
        </w:rPr>
        <w:t>@杨兆凌</w:t>
      </w:r>
      <w:bookmarkEnd w:id="33"/>
    </w:p>
    <w:p>
      <w:pPr>
        <w:spacing w:before="120" w:after="120" w:line="288" w:lineRule="auto"/>
        <w:ind w:left="0"/>
        <w:jc w:val="left"/>
      </w:pPr>
    </w:p>
    <w:p>
      <w:pPr>
        <w:pStyle w:val="1"/>
        <w:spacing w:before="380" w:after="140" w:line="288" w:lineRule="auto"/>
        <w:ind w:left="0"/>
        <w:jc w:val="left"/>
        <w:outlineLvl w:val="0"/>
      </w:pPr>
      <w:bookmarkStart w:name="heading_34" w:id="34"/>
      <w:r>
        <w:rPr>
          <w:rFonts w:eastAsia="等线" w:ascii="Arial" w:cs="Arial" w:hAnsi="Arial"/>
          <w:color w:val="3370ff"/>
          <w:sz w:val="36"/>
        </w:rPr>
        <w:t xml:space="preserve">5. </w:t>
      </w:r>
      <w:r>
        <w:rPr>
          <w:rFonts w:eastAsia="等线" w:ascii="Arial" w:cs="Arial" w:hAnsi="Arial"/>
          <w:b w:val="true"/>
          <w:sz w:val="36"/>
        </w:rPr>
        <w:t>有效决策来源与无效决策原因研究</w:t>
      </w:r>
      <w:r>
        <w:rPr>
          <w:rFonts w:eastAsia="等线" w:ascii="Arial" w:cs="Arial" w:hAnsi="Arial"/>
          <w:b w:val="true"/>
          <w:color w:val="3370ff"/>
          <w:sz w:val="36"/>
        </w:rPr>
        <w:t>@陈金星</w:t>
      </w:r>
      <w:bookmarkEnd w:id="34"/>
    </w:p>
    <w:p>
      <w:pPr>
        <w:spacing w:before="120" w:after="120" w:line="288" w:lineRule="auto"/>
        <w:ind w:left="0"/>
        <w:jc w:val="left"/>
      </w:pPr>
    </w:p>
    <w:p>
      <w:pPr>
        <w:pStyle w:val="1"/>
        <w:spacing w:before="380" w:after="140" w:line="288" w:lineRule="auto"/>
        <w:ind w:left="0"/>
        <w:jc w:val="left"/>
        <w:outlineLvl w:val="0"/>
      </w:pPr>
      <w:bookmarkStart w:name="heading_35" w:id="35"/>
      <w:r>
        <w:rPr>
          <w:rFonts w:eastAsia="等线" w:ascii="Arial" w:cs="Arial" w:hAnsi="Arial"/>
          <w:color w:val="3370ff"/>
          <w:sz w:val="36"/>
        </w:rPr>
        <w:t xml:space="preserve">6. </w:t>
      </w:r>
      <w:r>
        <w:rPr>
          <w:rFonts w:eastAsia="等线" w:ascii="Arial" w:cs="Arial" w:hAnsi="Arial"/>
          <w:b w:val="true"/>
          <w:sz w:val="36"/>
        </w:rPr>
        <w:t>Token经济学规律涌现</w:t>
      </w:r>
      <w:bookmarkEnd w:id="35"/>
    </w:p>
    <w:p>
      <w:pPr>
        <w:pStyle w:val="2"/>
        <w:spacing w:before="320" w:after="120" w:line="288" w:lineRule="auto"/>
        <w:ind w:left="0"/>
        <w:jc w:val="left"/>
        <w:outlineLvl w:val="1"/>
      </w:pPr>
      <w:bookmarkStart w:name="heading_36" w:id="36"/>
      <w:r>
        <w:rPr>
          <w:rFonts w:eastAsia="等线" w:ascii="Arial" w:cs="Arial" w:hAnsi="Arial"/>
          <w:color w:val="3370ff"/>
          <w:sz w:val="32"/>
        </w:rPr>
        <w:t xml:space="preserve">6.1 </w:t>
      </w:r>
      <w:r>
        <w:rPr>
          <w:rFonts w:eastAsia="等线" w:ascii="Arial" w:cs="Arial" w:hAnsi="Arial"/>
          <w:b w:val="true"/>
          <w:sz w:val="32"/>
        </w:rPr>
        <w:t>Token经济学规律研究导航图</w:t>
      </w:r>
      <w:bookmarkEnd w:id="36"/>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6.1.1 </w:t>
      </w:r>
      <w:r>
        <w:rPr>
          <w:rFonts w:eastAsia="等线" w:ascii="Arial" w:cs="Arial" w:hAnsi="Arial"/>
          <w:b w:val="true"/>
          <w:sz w:val="30"/>
        </w:rPr>
        <w:t>模块设计逻辑</w:t>
      </w:r>
      <w:bookmarkEnd w:id="37"/>
    </w:p>
    <w:p>
      <w:pPr>
        <w:spacing w:before="120" w:after="120" w:line="288" w:lineRule="auto"/>
        <w:ind w:left="0"/>
        <w:jc w:val="left"/>
      </w:pPr>
      <w:r>
        <w:rPr>
          <w:rFonts w:eastAsia="等线" w:ascii="Arial" w:cs="Arial" w:hAnsi="Arial"/>
          <w:sz w:val="22"/>
        </w:rPr>
        <w:t>基于第三章节所建立的数据质量信任基础，接下来要回答的是：</w:t>
      </w:r>
      <w:r>
        <w:rPr>
          <w:rFonts w:eastAsia="等线" w:ascii="Arial" w:cs="Arial" w:hAnsi="Arial"/>
          <w:b w:val="true"/>
          <w:sz w:val="22"/>
        </w:rPr>
        <w:t>这些数据究竟揭示了哪些关于 Token 经济学的规律？</w:t>
      </w:r>
    </w:p>
    <w:p>
      <w:pPr>
        <w:spacing w:before="120" w:after="120" w:line="288" w:lineRule="auto"/>
        <w:ind w:left="0"/>
        <w:jc w:val="left"/>
      </w:pPr>
      <w:r>
        <w:rPr>
          <w:rFonts w:eastAsia="等线" w:ascii="Arial" w:cs="Arial" w:hAnsi="Arial"/>
          <w:sz w:val="22"/>
        </w:rPr>
        <w:t>按照"问题驱动"的原则，我们将问题分析拆分为六个模块。每个模块对应一个核心问题，形成从"宏观预算效应"到"微观阶段机制"再到"跨模型差异"的递进链条：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2955"/>
        <w:gridCol w:w="1830"/>
        <w:gridCol w:w="2925"/>
      </w:tblGrid>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2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核心问题</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分析粒度</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数据基础</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M1</w:t>
            </w:r>
          </w:p>
        </w:tc>
        <w:tc>
          <w:tcPr>
            <w:tcW w:w="2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 AI 更多 token，它会更聪明吗？</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 + 四阶段拆分</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Flash/Pro 全预算梯度</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M2</w:t>
            </w:r>
          </w:p>
        </w:tc>
        <w:tc>
          <w:tcPr>
            <w:tcW w:w="2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什么结果最烧钱？</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全局结局对比</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胜率 vs 总 token 消耗</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M3</w:t>
            </w:r>
          </w:p>
        </w:tc>
        <w:tc>
          <w:tcPr>
            <w:tcW w:w="2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 的 token 都烧在哪里了？</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阶段级效率</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1/2/3/4 的 token 效率</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M4</w:t>
            </w:r>
          </w:p>
        </w:tc>
        <w:tc>
          <w:tcPr>
            <w:tcW w:w="2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想太多会坏事吗？</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回合级行为</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 token 轮次 vs 正常轮次</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M5</w:t>
            </w:r>
          </w:p>
        </w:tc>
        <w:tc>
          <w:tcPr>
            <w:tcW w:w="2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不同模型的"花钱习惯"一样吗？</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模型级对比</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 vs Pro 的预算响应曲线</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M6</w:t>
            </w:r>
          </w:p>
        </w:tc>
        <w:tc>
          <w:tcPr>
            <w:tcW w:w="2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极端预算 + 深度思考 = 极限性能？</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探索性对比</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20000+Thinking vs 2000 标准模式</w:t>
            </w:r>
          </w:p>
        </w:tc>
      </w:tr>
    </w:tbl>
    <w:p>
      <w:pPr>
        <w:spacing w:before="120" w:after="120" w:line="288" w:lineRule="auto"/>
        <w:ind w:left="0"/>
        <w:jc w:val="left"/>
      </w:pPr>
      <w:r>
        <w:rPr>
          <w:rFonts w:eastAsia="等线" w:ascii="Arial" w:cs="Arial" w:hAnsi="Arial"/>
          <w:sz w:val="22"/>
        </w:rPr>
        <w:t>六个模块之间存在严密的逻辑依赖关系：</w:t>
      </w:r>
    </w:p>
    <w:p>
      <w:pPr>
        <w:numPr>
          <w:numId w:val="49"/>
        </w:numPr>
        <w:spacing w:before="120" w:after="120" w:line="288" w:lineRule="auto"/>
        <w:ind w:left="0"/>
        <w:jc w:val="left"/>
      </w:pPr>
      <w:r>
        <w:rPr>
          <w:rFonts w:eastAsia="等线" w:ascii="Arial" w:cs="Arial" w:hAnsi="Arial"/>
          <w:b w:val="true"/>
          <w:sz w:val="22"/>
        </w:rPr>
        <w:t>M1 定位问题</w:t>
      </w:r>
      <w:r>
        <w:rPr>
          <w:rFonts w:eastAsia="等线" w:ascii="Arial" w:cs="Arial" w:hAnsi="Arial"/>
          <w:sz w:val="22"/>
        </w:rPr>
        <w:t>：发现预算存在阈值效应，但不知道为什么阈值存在</w:t>
      </w:r>
    </w:p>
    <w:p>
      <w:pPr>
        <w:numPr>
          <w:numId w:val="50"/>
        </w:numPr>
        <w:spacing w:before="120" w:after="120" w:line="288" w:lineRule="auto"/>
        <w:ind w:left="0"/>
        <w:jc w:val="left"/>
      </w:pPr>
      <w:r>
        <w:rPr>
          <w:rFonts w:eastAsia="等线" w:ascii="Arial" w:cs="Arial" w:hAnsi="Arial"/>
          <w:b w:val="true"/>
          <w:sz w:val="22"/>
        </w:rPr>
        <w:t>M2 量化成本</w:t>
      </w:r>
      <w:r>
        <w:rPr>
          <w:rFonts w:eastAsia="等线" w:ascii="Arial" w:cs="Arial" w:hAnsi="Arial"/>
          <w:sz w:val="22"/>
        </w:rPr>
        <w:t>：发现平局是最贵的失败，但不知道平局是怎么发生的</w:t>
      </w:r>
    </w:p>
    <w:p>
      <w:pPr>
        <w:numPr>
          <w:numId w:val="51"/>
        </w:numPr>
        <w:spacing w:before="120" w:after="120" w:line="288" w:lineRule="auto"/>
        <w:ind w:left="0"/>
        <w:jc w:val="left"/>
      </w:pPr>
      <w:r>
        <w:rPr>
          <w:rFonts w:eastAsia="等线" w:ascii="Arial" w:cs="Arial" w:hAnsi="Arial"/>
          <w:b w:val="true"/>
          <w:sz w:val="22"/>
        </w:rPr>
        <w:t>M3 定位瓶颈</w:t>
      </w:r>
      <w:r>
        <w:rPr>
          <w:rFonts w:eastAsia="等线" w:ascii="Arial" w:cs="Arial" w:hAnsi="Arial"/>
          <w:sz w:val="22"/>
        </w:rPr>
        <w:t>：发现预算效应全部集中在 Phase 2（绕墙阶段），解释 M1 的阈值来源</w:t>
      </w:r>
    </w:p>
    <w:p>
      <w:pPr>
        <w:numPr>
          <w:numId w:val="52"/>
        </w:numPr>
        <w:spacing w:before="120" w:after="120" w:line="288" w:lineRule="auto"/>
        <w:ind w:left="0"/>
        <w:jc w:val="left"/>
      </w:pPr>
      <w:r>
        <w:rPr>
          <w:rFonts w:eastAsia="等线" w:ascii="Arial" w:cs="Arial" w:hAnsi="Arial"/>
          <w:b w:val="true"/>
          <w:sz w:val="22"/>
        </w:rPr>
        <w:t>M4 解释机制</w:t>
      </w:r>
      <w:r>
        <w:rPr>
          <w:rFonts w:eastAsia="等线" w:ascii="Arial" w:cs="Arial" w:hAnsi="Arial"/>
          <w:sz w:val="22"/>
        </w:rPr>
        <w:t>：发现高 token 轮次效率更低，解释 M3 中 Phase 2 为何成为黑洞</w:t>
      </w:r>
    </w:p>
    <w:p>
      <w:pPr>
        <w:numPr>
          <w:numId w:val="53"/>
        </w:numPr>
        <w:spacing w:before="120" w:after="120" w:line="288" w:lineRule="auto"/>
        <w:ind w:left="0"/>
        <w:jc w:val="left"/>
      </w:pPr>
      <w:r>
        <w:rPr>
          <w:rFonts w:eastAsia="等线" w:ascii="Arial" w:cs="Arial" w:hAnsi="Arial"/>
          <w:b w:val="true"/>
          <w:sz w:val="22"/>
        </w:rPr>
        <w:t>M5 引入异质性</w:t>
      </w:r>
      <w:r>
        <w:rPr>
          <w:rFonts w:eastAsia="等线" w:ascii="Arial" w:cs="Arial" w:hAnsi="Arial"/>
          <w:sz w:val="22"/>
        </w:rPr>
        <w:t>：发现 Pro 不随预算增加而增加 token 消耗，提供 M1-M4 的模型级对照</w:t>
      </w:r>
    </w:p>
    <w:p>
      <w:pPr>
        <w:numPr>
          <w:numId w:val="54"/>
        </w:numPr>
        <w:spacing w:before="120" w:after="120" w:line="288" w:lineRule="auto"/>
        <w:ind w:left="0"/>
        <w:jc w:val="left"/>
      </w:pPr>
      <w:r>
        <w:rPr>
          <w:rFonts w:eastAsia="等线" w:ascii="Arial" w:cs="Arial" w:hAnsi="Arial"/>
          <w:b w:val="true"/>
          <w:sz w:val="22"/>
        </w:rPr>
        <w:t>M6 探索边界</w:t>
      </w:r>
      <w:r>
        <w:rPr>
          <w:rFonts w:eastAsia="等线" w:ascii="Arial" w:cs="Arial" w:hAnsi="Arial"/>
          <w:sz w:val="22"/>
        </w:rPr>
        <w:t>：测试极端条件下的性能上限，为 M1 的平台期提供外部参照</w:t>
      </w:r>
    </w:p>
    <w:p>
      <w:pPr>
        <w:spacing w:before="120" w:after="120" w:line="288" w:lineRule="auto"/>
        <w:ind w:left="0"/>
        <w:jc w:val="left"/>
      </w:pPr>
      <w:r>
        <w:rPr>
          <w:rFonts w:eastAsia="等线" w:ascii="Arial" w:cs="Arial" w:hAnsi="Arial"/>
          <w:sz w:val="22"/>
        </w:rPr>
        <w:t>以下逐一阐述各模块的研究问题与预期发现。</w:t>
      </w:r>
    </w:p>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6.1.2 </w:t>
      </w:r>
      <w:r>
        <w:rPr>
          <w:rFonts w:eastAsia="等线" w:ascii="Arial" w:cs="Arial" w:hAnsi="Arial"/>
          <w:b w:val="true"/>
          <w:sz w:val="30"/>
        </w:rPr>
        <w:t>M1：Token 预算的阈值效应</w:t>
      </w:r>
      <w:bookmarkEnd w:id="38"/>
    </w:p>
    <w:p>
      <w:pPr>
        <w:spacing w:before="120" w:after="120" w:line="288" w:lineRule="auto"/>
        <w:ind w:left="0"/>
        <w:jc w:val="left"/>
      </w:pPr>
      <w:r>
        <w:rPr>
          <w:rFonts w:eastAsia="等线" w:ascii="Arial" w:cs="Arial" w:hAnsi="Arial"/>
          <w:b w:val="true"/>
          <w:sz w:val="22"/>
        </w:rPr>
        <w:t>研究问题</w:t>
      </w:r>
      <w:r>
        <w:rPr>
          <w:rFonts w:eastAsia="等线" w:ascii="Arial" w:cs="Arial" w:hAnsi="Arial"/>
          <w:sz w:val="22"/>
        </w:rPr>
        <w:t>：Token 预算与 Agent 胜率/捕获速度之间是否存在系统性关系？是否存在最优预算区间？</w:t>
      </w:r>
    </w:p>
    <w:p>
      <w:pPr>
        <w:spacing w:before="120" w:after="120" w:line="288" w:lineRule="auto"/>
        <w:ind w:left="0"/>
        <w:jc w:val="left"/>
      </w:pPr>
      <w:r>
        <w:rPr>
          <w:rFonts w:eastAsia="等线" w:ascii="Arial" w:cs="Arial" w:hAnsi="Arial"/>
          <w:b w:val="true"/>
          <w:sz w:val="22"/>
        </w:rPr>
        <w:t>分析路径</w:t>
      </w:r>
      <w:r>
        <w:rPr>
          <w:rFonts w:eastAsia="等线" w:ascii="Arial" w:cs="Arial" w:hAnsi="Arial"/>
          <w:sz w:val="22"/>
        </w:rPr>
        <w:t>：</w:t>
      </w:r>
    </w:p>
    <w:p>
      <w:pPr>
        <w:numPr>
          <w:numId w:val="55"/>
        </w:numPr>
        <w:spacing w:before="120" w:after="120" w:line="288" w:lineRule="auto"/>
        <w:ind w:left="0"/>
        <w:jc w:val="left"/>
      </w:pPr>
      <w:r>
        <w:rPr>
          <w:rFonts w:eastAsia="等线" w:ascii="Arial" w:cs="Arial" w:hAnsi="Arial"/>
          <w:b w:val="true"/>
          <w:sz w:val="22"/>
        </w:rPr>
        <w:t>全局视角</w:t>
      </w:r>
      <w:r>
        <w:rPr>
          <w:rFonts w:eastAsia="等线" w:ascii="Arial" w:cs="Arial" w:hAnsi="Arial"/>
          <w:sz w:val="22"/>
        </w:rPr>
        <w:t>：绘制预算-胜率曲线，验证第三章中观察到的"先陡升后平台"模式</w:t>
      </w:r>
    </w:p>
    <w:p>
      <w:pPr>
        <w:numPr>
          <w:numId w:val="56"/>
        </w:numPr>
        <w:spacing w:before="120" w:after="120" w:line="288" w:lineRule="auto"/>
        <w:ind w:left="0"/>
        <w:jc w:val="left"/>
      </w:pPr>
      <w:r>
        <w:rPr>
          <w:rFonts w:eastAsia="等线" w:ascii="Arial" w:cs="Arial" w:hAnsi="Arial"/>
          <w:b w:val="true"/>
          <w:sz w:val="22"/>
        </w:rPr>
        <w:t>阶段拆分</w:t>
      </w:r>
      <w:r>
        <w:rPr>
          <w:rFonts w:eastAsia="等线" w:ascii="Arial" w:cs="Arial" w:hAnsi="Arial"/>
          <w:sz w:val="22"/>
        </w:rPr>
        <w:t>：将曲线拆解到四个游戏阶段，回答"预算效应在哪些阶段有效、哪些阶段无效"</w:t>
      </w:r>
    </w:p>
    <w:p>
      <w:pPr>
        <w:numPr>
          <w:numId w:val="57"/>
        </w:numPr>
        <w:spacing w:before="120" w:after="120" w:line="288" w:lineRule="auto"/>
        <w:ind w:left="0"/>
        <w:jc w:val="left"/>
      </w:pPr>
      <w:r>
        <w:rPr>
          <w:rFonts w:eastAsia="等线" w:ascii="Arial" w:cs="Arial" w:hAnsi="Arial"/>
          <w:b w:val="true"/>
          <w:sz w:val="22"/>
        </w:rPr>
        <w:t>拐点定位</w:t>
      </w:r>
      <w:r>
        <w:rPr>
          <w:rFonts w:eastAsia="等线" w:ascii="Arial" w:cs="Arial" w:hAnsi="Arial"/>
          <w:sz w:val="22"/>
        </w:rPr>
        <w:t>：基于现有数据（及后续补测的加密梯度），给出最优预算区间建议</w:t>
      </w:r>
    </w:p>
    <w:p>
      <w:pPr>
        <w:spacing w:before="120" w:after="120" w:line="288" w:lineRule="auto"/>
        <w:ind w:left="0"/>
        <w:jc w:val="left"/>
      </w:pPr>
      <w:r>
        <w:rPr>
          <w:rFonts w:eastAsia="等线" w:ascii="Arial" w:cs="Arial" w:hAnsi="Arial"/>
          <w:b w:val="true"/>
          <w:sz w:val="22"/>
        </w:rPr>
        <w:t>预期发现</w:t>
      </w:r>
      <w:r>
        <w:rPr>
          <w:rFonts w:eastAsia="等线" w:ascii="Arial" w:cs="Arial" w:hAnsi="Arial"/>
          <w:sz w:val="22"/>
        </w:rPr>
        <w:t>：</w:t>
      </w:r>
    </w:p>
    <w:p>
      <w:pPr>
        <w:numPr>
          <w:numId w:val="58"/>
        </w:numPr>
        <w:spacing w:before="120" w:after="120" w:line="288" w:lineRule="auto"/>
        <w:ind w:left="0"/>
        <w:jc w:val="left"/>
      </w:pPr>
      <w:r>
        <w:rPr>
          <w:rFonts w:eastAsia="等线" w:ascii="Arial" w:cs="Arial" w:hAnsi="Arial"/>
          <w:sz w:val="22"/>
        </w:rPr>
        <w:t>预算效应高度非线性：400 tokens 为性能地板，1000–1200 为跃升区，1200+ 进入平台期</w:t>
      </w:r>
    </w:p>
    <w:p>
      <w:pPr>
        <w:numPr>
          <w:numId w:val="59"/>
        </w:numPr>
        <w:spacing w:before="120" w:after="120" w:line="288" w:lineRule="auto"/>
        <w:ind w:left="0"/>
        <w:jc w:val="left"/>
      </w:pPr>
      <w:r>
        <w:rPr>
          <w:rFonts w:eastAsia="等线" w:ascii="Arial" w:cs="Arial" w:hAnsi="Arial"/>
          <w:b w:val="true"/>
          <w:sz w:val="22"/>
        </w:rPr>
        <w:t>关键创新</w:t>
      </w:r>
      <w:r>
        <w:rPr>
          <w:rFonts w:eastAsia="等线" w:ascii="Arial" w:cs="Arial" w:hAnsi="Arial"/>
          <w:sz w:val="22"/>
        </w:rPr>
        <w:t>：平台期的形成不是因为 Agent"不想更聪明"，而是因为后续阶段（Phase 3/4）对预算不敏感——瓶颈已被突破，追加投入无处安放</w:t>
      </w:r>
    </w:p>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6.1.3 </w:t>
      </w:r>
      <w:r>
        <w:rPr>
          <w:rFonts w:eastAsia="等线" w:ascii="Arial" w:cs="Arial" w:hAnsi="Arial"/>
          <w:b w:val="true"/>
          <w:sz w:val="30"/>
        </w:rPr>
        <w:t>M2：平局的经济学灾难</w:t>
      </w:r>
      <w:bookmarkEnd w:id="39"/>
    </w:p>
    <w:p>
      <w:pPr>
        <w:spacing w:before="120" w:after="120" w:line="288" w:lineRule="auto"/>
        <w:ind w:left="0"/>
        <w:jc w:val="left"/>
      </w:pPr>
      <w:r>
        <w:rPr>
          <w:rFonts w:eastAsia="等线" w:ascii="Arial" w:cs="Arial" w:hAnsi="Arial"/>
          <w:b w:val="true"/>
          <w:sz w:val="22"/>
        </w:rPr>
        <w:t>研究问题</w:t>
      </w:r>
      <w:r>
        <w:rPr>
          <w:rFonts w:eastAsia="等线" w:ascii="Arial" w:cs="Arial" w:hAnsi="Arial"/>
          <w:sz w:val="22"/>
        </w:rPr>
        <w:t>：从 Token 经济学视角，哪种游戏结局的"单位胜率成本"最高？</w:t>
      </w:r>
    </w:p>
    <w:p>
      <w:pPr>
        <w:spacing w:before="120" w:after="120" w:line="288" w:lineRule="auto"/>
        <w:ind w:left="0"/>
        <w:jc w:val="left"/>
      </w:pPr>
      <w:r>
        <w:rPr>
          <w:rFonts w:eastAsia="等线" w:ascii="Arial" w:cs="Arial" w:hAnsi="Arial"/>
          <w:b w:val="true"/>
          <w:sz w:val="22"/>
        </w:rPr>
        <w:t>分析路径</w:t>
      </w:r>
      <w:r>
        <w:rPr>
          <w:rFonts w:eastAsia="等线" w:ascii="Arial" w:cs="Arial" w:hAnsi="Arial"/>
          <w:sz w:val="22"/>
        </w:rPr>
        <w:t>：</w:t>
      </w:r>
    </w:p>
    <w:p>
      <w:pPr>
        <w:numPr>
          <w:numId w:val="60"/>
        </w:numPr>
        <w:spacing w:before="120" w:after="120" w:line="288" w:lineRule="auto"/>
        <w:ind w:left="0"/>
        <w:jc w:val="left"/>
      </w:pPr>
      <w:r>
        <w:rPr>
          <w:rFonts w:eastAsia="等线" w:ascii="Arial" w:cs="Arial" w:hAnsi="Arial"/>
          <w:sz w:val="22"/>
        </w:rPr>
        <w:t>比较 A_Win、B_Win、Draw 三种结局的总 token 消耗分布</w:t>
      </w:r>
    </w:p>
    <w:p>
      <w:pPr>
        <w:numPr>
          <w:numId w:val="61"/>
        </w:numPr>
        <w:spacing w:before="120" w:after="120" w:line="288" w:lineRule="auto"/>
        <w:ind w:left="0"/>
        <w:jc w:val="left"/>
      </w:pPr>
      <w:r>
        <w:rPr>
          <w:rFonts w:eastAsia="等线" w:ascii="Arial" w:cs="Arial" w:hAnsi="Arial"/>
          <w:sz w:val="22"/>
        </w:rPr>
        <w:t>计算"每局有效产出"（win rate / total tokens）</w:t>
      </w:r>
    </w:p>
    <w:p>
      <w:pPr>
        <w:numPr>
          <w:numId w:val="62"/>
        </w:numPr>
        <w:spacing w:before="120" w:after="120" w:line="288" w:lineRule="auto"/>
        <w:ind w:left="0"/>
        <w:jc w:val="left"/>
      </w:pPr>
      <w:r>
        <w:rPr>
          <w:rFonts w:eastAsia="等线" w:ascii="Arial" w:cs="Arial" w:hAnsi="Arial"/>
          <w:sz w:val="22"/>
        </w:rPr>
        <w:t>追溯平局游戏的 token 消耗轨迹：它们在哪个阶段被耗尽？</w:t>
      </w:r>
    </w:p>
    <w:p>
      <w:pPr>
        <w:spacing w:before="120" w:after="120" w:line="288" w:lineRule="auto"/>
        <w:ind w:left="0"/>
        <w:jc w:val="left"/>
      </w:pPr>
      <w:r>
        <w:rPr>
          <w:rFonts w:eastAsia="等线" w:ascii="Arial" w:cs="Arial" w:hAnsi="Arial"/>
          <w:b w:val="true"/>
          <w:sz w:val="22"/>
        </w:rPr>
        <w:t>预期发现</w:t>
      </w:r>
      <w:r>
        <w:rPr>
          <w:rFonts w:eastAsia="等线" w:ascii="Arial" w:cs="Arial" w:hAnsi="Arial"/>
          <w:sz w:val="22"/>
        </w:rPr>
        <w:t>：</w:t>
      </w:r>
    </w:p>
    <w:p>
      <w:pPr>
        <w:numPr>
          <w:numId w:val="63"/>
        </w:numPr>
        <w:spacing w:before="120" w:after="120" w:line="288" w:lineRule="auto"/>
        <w:ind w:left="0"/>
        <w:jc w:val="left"/>
      </w:pPr>
      <w:r>
        <w:rPr>
          <w:rFonts w:eastAsia="等线" w:ascii="Arial" w:cs="Arial" w:hAnsi="Arial"/>
          <w:sz w:val="22"/>
        </w:rPr>
        <w:t xml:space="preserve">平局游戏的 token 消耗约为决胜游戏的 </w:t>
      </w:r>
      <w:r>
        <w:rPr>
          <w:rFonts w:eastAsia="等线" w:ascii="Arial" w:cs="Arial" w:hAnsi="Arial"/>
          <w:b w:val="true"/>
          <w:sz w:val="22"/>
        </w:rPr>
        <w:t>2 倍</w:t>
      </w:r>
      <w:r>
        <w:rPr>
          <w:rFonts w:eastAsia="等线" w:ascii="Arial" w:cs="Arial" w:hAnsi="Arial"/>
          <w:sz w:val="22"/>
        </w:rPr>
        <w:t>（中位数 62,893 vs 29,000），但产出为零</w:t>
      </w:r>
    </w:p>
    <w:p>
      <w:pPr>
        <w:numPr>
          <w:numId w:val="64"/>
        </w:numPr>
        <w:spacing w:before="120" w:after="120" w:line="288" w:lineRule="auto"/>
        <w:ind w:left="0"/>
        <w:jc w:val="left"/>
      </w:pPr>
      <w:r>
        <w:rPr>
          <w:rFonts w:eastAsia="等线" w:ascii="Arial" w:cs="Arial" w:hAnsi="Arial"/>
          <w:sz w:val="22"/>
        </w:rPr>
        <w:t>从 ROI（投资回报率）角度，平局是最劣质的结局——它代表一种"完全燃烧但不产生任何认知产出"的状态</w:t>
      </w:r>
    </w:p>
    <w:p>
      <w:pPr>
        <w:numPr>
          <w:numId w:val="65"/>
        </w:numPr>
        <w:spacing w:before="120" w:after="120" w:line="288" w:lineRule="auto"/>
        <w:ind w:left="0"/>
        <w:jc w:val="left"/>
      </w:pPr>
      <w:r>
        <w:rPr>
          <w:rFonts w:eastAsia="等线" w:ascii="Arial" w:cs="Arial" w:hAnsi="Arial"/>
          <w:b w:val="true"/>
          <w:sz w:val="22"/>
        </w:rPr>
        <w:t>工业指导</w:t>
      </w:r>
      <w:r>
        <w:rPr>
          <w:rFonts w:eastAsia="等线" w:ascii="Arial" w:cs="Arial" w:hAnsi="Arial"/>
          <w:sz w:val="22"/>
        </w:rPr>
        <w:t>：Agent 系统应优先识别并干预"即将平局"的状态，而非单纯增加预算</w:t>
      </w:r>
    </w:p>
    <w:p>
      <w:pPr>
        <w:spacing w:before="120" w:after="120" w:line="288" w:lineRule="auto"/>
        <w:ind w:left="0"/>
        <w:jc w:val="left"/>
      </w:pP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6.1.4 </w:t>
      </w:r>
      <w:r>
        <w:rPr>
          <w:rFonts w:eastAsia="等线" w:ascii="Arial" w:cs="Arial" w:hAnsi="Arial"/>
          <w:b w:val="true"/>
          <w:sz w:val="30"/>
        </w:rPr>
        <w:t>M3：Phase 2 的认知黑洞</w:t>
      </w:r>
      <w:bookmarkEnd w:id="40"/>
    </w:p>
    <w:p>
      <w:pPr>
        <w:spacing w:before="120" w:after="120" w:line="288" w:lineRule="auto"/>
        <w:ind w:left="0"/>
        <w:jc w:val="left"/>
      </w:pPr>
      <w:r>
        <w:rPr>
          <w:rFonts w:eastAsia="等线" w:ascii="Arial" w:cs="Arial" w:hAnsi="Arial"/>
          <w:b w:val="true"/>
          <w:sz w:val="22"/>
        </w:rPr>
        <w:t>研究问题</w:t>
      </w:r>
      <w:r>
        <w:rPr>
          <w:rFonts w:eastAsia="等线" w:ascii="Arial" w:cs="Arial" w:hAnsi="Arial"/>
          <w:sz w:val="22"/>
        </w:rPr>
        <w:t>：Token 预算的边际价值在游戏的不同阶段是否均匀分布？</w:t>
      </w:r>
    </w:p>
    <w:p>
      <w:pPr>
        <w:spacing w:before="120" w:after="120" w:line="288" w:lineRule="auto"/>
        <w:ind w:left="0"/>
        <w:jc w:val="left"/>
      </w:pPr>
      <w:r>
        <w:rPr>
          <w:rFonts w:eastAsia="等线" w:ascii="Arial" w:cs="Arial" w:hAnsi="Arial"/>
          <w:b w:val="true"/>
          <w:sz w:val="22"/>
        </w:rPr>
        <w:t>分析路径</w:t>
      </w:r>
      <w:r>
        <w:rPr>
          <w:rFonts w:eastAsia="等线" w:ascii="Arial" w:cs="Arial" w:hAnsi="Arial"/>
          <w:sz w:val="22"/>
        </w:rPr>
        <w:t>：</w:t>
      </w:r>
    </w:p>
    <w:p>
      <w:pPr>
        <w:numPr>
          <w:numId w:val="66"/>
        </w:numPr>
        <w:spacing w:before="120" w:after="120" w:line="288" w:lineRule="auto"/>
        <w:ind w:left="0"/>
        <w:jc w:val="left"/>
      </w:pPr>
      <w:r>
        <w:rPr>
          <w:rFonts w:eastAsia="等线" w:ascii="Arial" w:cs="Arial" w:hAnsi="Arial"/>
          <w:sz w:val="22"/>
        </w:rPr>
        <w:t>计算四个阶段的"token 效率"（distance reduction / tokens used）</w:t>
      </w:r>
    </w:p>
    <w:p>
      <w:pPr>
        <w:numPr>
          <w:numId w:val="67"/>
        </w:numPr>
        <w:spacing w:before="120" w:after="120" w:line="288" w:lineRule="auto"/>
        <w:ind w:left="0"/>
        <w:jc w:val="left"/>
      </w:pPr>
      <w:r>
        <w:rPr>
          <w:rFonts w:eastAsia="等线" w:ascii="Arial" w:cs="Arial" w:hAnsi="Arial"/>
          <w:sz w:val="22"/>
        </w:rPr>
        <w:t>比较不同预算下各阶段的持续时长与成功率</w:t>
      </w:r>
    </w:p>
    <w:p>
      <w:pPr>
        <w:numPr>
          <w:numId w:val="68"/>
        </w:numPr>
        <w:spacing w:before="120" w:after="120" w:line="288" w:lineRule="auto"/>
        <w:ind w:left="0"/>
        <w:jc w:val="left"/>
      </w:pPr>
      <w:r>
        <w:rPr>
          <w:rFonts w:eastAsia="等线" w:ascii="Arial" w:cs="Arial" w:hAnsi="Arial"/>
          <w:sz w:val="22"/>
        </w:rPr>
        <w:t>定位"预算增加后，Agent 的能力提升具体体现在哪个阶段"</w:t>
      </w:r>
    </w:p>
    <w:p>
      <w:pPr>
        <w:spacing w:before="120" w:after="120" w:line="288" w:lineRule="auto"/>
        <w:ind w:left="0"/>
        <w:jc w:val="left"/>
      </w:pPr>
      <w:r>
        <w:rPr>
          <w:rFonts w:eastAsia="等线" w:ascii="Arial" w:cs="Arial" w:hAnsi="Arial"/>
          <w:b w:val="true"/>
          <w:sz w:val="22"/>
        </w:rPr>
        <w:t>预期发现</w:t>
      </w:r>
      <w:r>
        <w:rPr>
          <w:rFonts w:eastAsia="等线" w:ascii="Arial" w:cs="Arial" w:hAnsi="Arial"/>
          <w:sz w:val="22"/>
        </w:rPr>
        <w:t>：</w:t>
      </w:r>
    </w:p>
    <w:p>
      <w:pPr>
        <w:numPr>
          <w:numId w:val="69"/>
        </w:numPr>
        <w:spacing w:before="120" w:after="120" w:line="288" w:lineRule="auto"/>
        <w:ind w:left="0"/>
        <w:jc w:val="left"/>
      </w:pPr>
      <w:r>
        <w:rPr>
          <w:rFonts w:eastAsia="等线" w:ascii="Arial" w:cs="Arial" w:hAnsi="Arial"/>
          <w:sz w:val="22"/>
        </w:rPr>
        <w:t>Phase 2（绕墙阶段）是唯一对预算敏感的阶段：低预算过墙率 15%，高预算过墙率 60–80%</w:t>
      </w:r>
    </w:p>
    <w:p>
      <w:pPr>
        <w:numPr>
          <w:numId w:val="70"/>
        </w:numPr>
        <w:spacing w:before="120" w:after="120" w:line="288" w:lineRule="auto"/>
        <w:ind w:left="0"/>
        <w:jc w:val="left"/>
      </w:pPr>
      <w:r>
        <w:rPr>
          <w:rFonts w:eastAsia="等线" w:ascii="Arial" w:cs="Arial" w:hAnsi="Arial"/>
          <w:sz w:val="22"/>
        </w:rPr>
        <w:t>Phase 1/3/4 的预算弹性接近零：一旦进入这些阶段，token 多寡不影响结果</w:t>
      </w:r>
    </w:p>
    <w:p>
      <w:pPr>
        <w:numPr>
          <w:numId w:val="71"/>
        </w:numPr>
        <w:spacing w:before="120" w:after="120" w:line="288" w:lineRule="auto"/>
        <w:ind w:left="0"/>
        <w:jc w:val="left"/>
      </w:pPr>
      <w:r>
        <w:rPr>
          <w:rFonts w:eastAsia="等线" w:ascii="Arial" w:cs="Arial" w:hAnsi="Arial"/>
          <w:b w:val="true"/>
          <w:sz w:val="22"/>
        </w:rPr>
        <w:t>核心机制</w:t>
      </w:r>
      <w:r>
        <w:rPr>
          <w:rFonts w:eastAsia="等线" w:ascii="Arial" w:cs="Arial" w:hAnsi="Arial"/>
          <w:sz w:val="22"/>
        </w:rPr>
        <w:t>：预算买的不是"全局智商"，而是"突破单一认知瓶颈（空间绕行规划）的概率"</w:t>
      </w:r>
    </w:p>
    <w:p>
      <w:pPr>
        <w:spacing w:before="120" w:after="120" w:line="288" w:lineRule="auto"/>
        <w:ind w:left="0"/>
        <w:jc w:val="left"/>
      </w:pPr>
    </w:p>
    <w:p>
      <w:pPr>
        <w:pStyle w:val="3"/>
        <w:spacing w:before="300" w:after="120" w:line="288" w:lineRule="auto"/>
        <w:ind w:left="0"/>
        <w:jc w:val="left"/>
        <w:outlineLvl w:val="2"/>
      </w:pPr>
      <w:bookmarkStart w:name="heading_41" w:id="41"/>
      <w:r>
        <w:rPr>
          <w:rFonts w:eastAsia="等线" w:ascii="Arial" w:cs="Arial" w:hAnsi="Arial"/>
          <w:color w:val="3370ff"/>
          <w:sz w:val="30"/>
        </w:rPr>
        <w:t xml:space="preserve">6.1.5 </w:t>
      </w:r>
      <w:r>
        <w:rPr>
          <w:rFonts w:eastAsia="等线" w:ascii="Arial" w:cs="Arial" w:hAnsi="Arial"/>
          <w:b w:val="true"/>
          <w:sz w:val="30"/>
        </w:rPr>
        <w:t>M4：过度思考悖论</w:t>
      </w:r>
      <w:bookmarkEnd w:id="41"/>
    </w:p>
    <w:p>
      <w:pPr>
        <w:spacing w:before="120" w:after="120" w:line="288" w:lineRule="auto"/>
        <w:ind w:left="0"/>
        <w:jc w:val="left"/>
      </w:pPr>
      <w:r>
        <w:rPr>
          <w:rFonts w:eastAsia="等线" w:ascii="Arial" w:cs="Arial" w:hAnsi="Arial"/>
          <w:b w:val="true"/>
          <w:sz w:val="22"/>
        </w:rPr>
        <w:t>研究问题</w:t>
      </w:r>
      <w:r>
        <w:rPr>
          <w:rFonts w:eastAsia="等线" w:ascii="Arial" w:cs="Arial" w:hAnsi="Arial"/>
          <w:sz w:val="22"/>
        </w:rPr>
        <w:t>：在同一阶段内，消耗更多 token 的回合是否产生更好的空间决策？</w:t>
      </w:r>
    </w:p>
    <w:p>
      <w:pPr>
        <w:spacing w:before="120" w:after="120" w:line="288" w:lineRule="auto"/>
        <w:ind w:left="0"/>
        <w:jc w:val="left"/>
      </w:pPr>
      <w:r>
        <w:rPr>
          <w:rFonts w:eastAsia="等线" w:ascii="Arial" w:cs="Arial" w:hAnsi="Arial"/>
          <w:b w:val="true"/>
          <w:sz w:val="22"/>
        </w:rPr>
        <w:t>分析路径</w:t>
      </w:r>
      <w:r>
        <w:rPr>
          <w:rFonts w:eastAsia="等线" w:ascii="Arial" w:cs="Arial" w:hAnsi="Arial"/>
          <w:sz w:val="22"/>
        </w:rPr>
        <w:t>：</w:t>
      </w:r>
    </w:p>
    <w:p>
      <w:pPr>
        <w:numPr>
          <w:numId w:val="72"/>
        </w:numPr>
        <w:spacing w:before="120" w:after="120" w:line="288" w:lineRule="auto"/>
        <w:ind w:left="0"/>
        <w:jc w:val="left"/>
      </w:pPr>
      <w:r>
        <w:rPr>
          <w:rFonts w:eastAsia="等线" w:ascii="Arial" w:cs="Arial" w:hAnsi="Arial"/>
          <w:sz w:val="22"/>
        </w:rPr>
        <w:t>定义"高 token 轮次"（每模型-预算组内 top 25%）</w:t>
      </w:r>
    </w:p>
    <w:p>
      <w:pPr>
        <w:numPr>
          <w:numId w:val="73"/>
        </w:numPr>
        <w:spacing w:before="120" w:after="120" w:line="288" w:lineRule="auto"/>
        <w:ind w:left="0"/>
        <w:jc w:val="left"/>
      </w:pPr>
      <w:r>
        <w:rPr>
          <w:rFonts w:eastAsia="等线" w:ascii="Arial" w:cs="Arial" w:hAnsi="Arial"/>
          <w:sz w:val="22"/>
        </w:rPr>
        <w:t>比较高 token 轮次与正常轮次在三个指标上的差异：</w:t>
      </w:r>
    </w:p>
    <w:p>
      <w:pPr>
        <w:numPr>
          <w:numId w:val="74"/>
        </w:numPr>
        <w:spacing w:before="120" w:after="120" w:line="288" w:lineRule="auto"/>
        <w:ind w:left="453"/>
        <w:jc w:val="left"/>
      </w:pPr>
      <w:r>
        <w:rPr>
          <w:rFonts w:eastAsia="等线" w:ascii="Arial" w:cs="Arial" w:hAnsi="Arial"/>
          <w:sz w:val="22"/>
        </w:rPr>
        <w:t>空间进展（distance reduction）</w:t>
      </w:r>
    </w:p>
    <w:p>
      <w:pPr>
        <w:numPr>
          <w:numId w:val="75"/>
        </w:numPr>
        <w:spacing w:before="120" w:after="120" w:line="288" w:lineRule="auto"/>
        <w:ind w:left="453"/>
        <w:jc w:val="left"/>
      </w:pPr>
      <w:r>
        <w:rPr>
          <w:rFonts w:eastAsia="等线" w:ascii="Arial" w:cs="Arial" w:hAnsi="Arial"/>
          <w:sz w:val="22"/>
        </w:rPr>
        <w:t>意图一致性（logic_action_delta）</w:t>
      </w:r>
    </w:p>
    <w:p>
      <w:pPr>
        <w:numPr>
          <w:numId w:val="76"/>
        </w:numPr>
        <w:spacing w:before="120" w:after="120" w:line="288" w:lineRule="auto"/>
        <w:ind w:left="453"/>
        <w:jc w:val="left"/>
      </w:pPr>
      <w:r>
        <w:rPr>
          <w:rFonts w:eastAsia="等线" w:ascii="Arial" w:cs="Arial" w:hAnsi="Arial"/>
          <w:sz w:val="22"/>
        </w:rPr>
        <w:t>物理合规性（movement_clamped）</w:t>
      </w:r>
    </w:p>
    <w:p>
      <w:pPr>
        <w:spacing w:before="120" w:after="120" w:line="288" w:lineRule="auto"/>
        <w:ind w:left="0"/>
        <w:jc w:val="left"/>
      </w:pPr>
      <w:r>
        <w:rPr>
          <w:rFonts w:eastAsia="等线" w:ascii="Arial" w:cs="Arial" w:hAnsi="Arial"/>
          <w:b w:val="true"/>
          <w:sz w:val="22"/>
        </w:rPr>
        <w:t>预期发现</w:t>
      </w:r>
      <w:r>
        <w:rPr>
          <w:rFonts w:eastAsia="等线" w:ascii="Arial" w:cs="Arial" w:hAnsi="Arial"/>
          <w:sz w:val="22"/>
        </w:rPr>
        <w:t>：</w:t>
      </w:r>
    </w:p>
    <w:p>
      <w:pPr>
        <w:numPr>
          <w:numId w:val="77"/>
        </w:numPr>
        <w:spacing w:before="120" w:after="120" w:line="288" w:lineRule="auto"/>
        <w:ind w:left="0"/>
        <w:jc w:val="left"/>
      </w:pPr>
      <w:r>
        <w:rPr>
          <w:rFonts w:eastAsia="等线" w:ascii="Arial" w:cs="Arial" w:hAnsi="Arial"/>
          <w:sz w:val="22"/>
        </w:rPr>
        <w:t>高 token 轮次的空间进展反而更低，意图偏差更大</w:t>
      </w:r>
    </w:p>
    <w:p>
      <w:pPr>
        <w:numPr>
          <w:numId w:val="78"/>
        </w:numPr>
        <w:spacing w:before="120" w:after="120" w:line="288" w:lineRule="auto"/>
        <w:ind w:left="0"/>
        <w:jc w:val="left"/>
      </w:pPr>
      <w:r>
        <w:rPr>
          <w:rFonts w:eastAsia="等线" w:ascii="Arial" w:cs="Arial" w:hAnsi="Arial"/>
          <w:b w:val="true"/>
          <w:sz w:val="22"/>
        </w:rPr>
        <w:t>悖论</w:t>
      </w:r>
      <w:r>
        <w:rPr>
          <w:rFonts w:eastAsia="等线" w:ascii="Arial" w:cs="Arial" w:hAnsi="Arial"/>
          <w:sz w:val="22"/>
        </w:rPr>
        <w:t>：更多"思考"没有转化为更好"行动"，反而引入噪声和矛盾</w:t>
      </w:r>
    </w:p>
    <w:p>
      <w:pPr>
        <w:numPr>
          <w:numId w:val="79"/>
        </w:numPr>
        <w:spacing w:before="120" w:after="120" w:line="288" w:lineRule="auto"/>
        <w:ind w:left="0"/>
        <w:jc w:val="left"/>
      </w:pPr>
      <w:r>
        <w:rPr>
          <w:rFonts w:eastAsia="等线" w:ascii="Arial" w:cs="Arial" w:hAnsi="Arial"/>
          <w:b w:val="true"/>
          <w:sz w:val="22"/>
        </w:rPr>
        <w:t>解释框架</w:t>
      </w:r>
      <w:r>
        <w:rPr>
          <w:rFonts w:eastAsia="等线" w:ascii="Arial" w:cs="Arial" w:hAnsi="Arial"/>
          <w:sz w:val="22"/>
        </w:rPr>
        <w:t>：token 消耗不是"认知投入"的单调代理变量，超过某一点后进入"分析瘫痪"区间</w:t>
      </w:r>
    </w:p>
    <w:p>
      <w:pPr>
        <w:spacing w:before="120" w:after="120" w:line="288" w:lineRule="auto"/>
        <w:ind w:left="0"/>
        <w:jc w:val="left"/>
      </w:pPr>
    </w:p>
    <w:p>
      <w:pPr>
        <w:pStyle w:val="3"/>
        <w:spacing w:before="300" w:after="120" w:line="288" w:lineRule="auto"/>
        <w:ind w:left="0"/>
        <w:jc w:val="left"/>
        <w:outlineLvl w:val="2"/>
      </w:pPr>
      <w:bookmarkStart w:name="heading_42" w:id="42"/>
      <w:r>
        <w:rPr>
          <w:rFonts w:eastAsia="等线" w:ascii="Arial" w:cs="Arial" w:hAnsi="Arial"/>
          <w:color w:val="3370ff"/>
          <w:sz w:val="30"/>
        </w:rPr>
        <w:t xml:space="preserve">6.1.6 </w:t>
      </w:r>
      <w:r>
        <w:rPr>
          <w:rFonts w:eastAsia="等线" w:ascii="Arial" w:cs="Arial" w:hAnsi="Arial"/>
          <w:b w:val="true"/>
          <w:sz w:val="30"/>
        </w:rPr>
        <w:t>M5：模型差异与认知天花板</w:t>
      </w:r>
      <w:bookmarkEnd w:id="42"/>
    </w:p>
    <w:p>
      <w:pPr>
        <w:spacing w:before="120" w:after="120" w:line="288" w:lineRule="auto"/>
        <w:ind w:left="0"/>
        <w:jc w:val="left"/>
      </w:pPr>
      <w:r>
        <w:rPr>
          <w:rFonts w:eastAsia="等线" w:ascii="Arial" w:cs="Arial" w:hAnsi="Arial"/>
          <w:b w:val="true"/>
          <w:sz w:val="22"/>
        </w:rPr>
        <w:t>研究问题</w:t>
      </w:r>
      <w:r>
        <w:rPr>
          <w:rFonts w:eastAsia="等线" w:ascii="Arial" w:cs="Arial" w:hAnsi="Arial"/>
          <w:sz w:val="22"/>
        </w:rPr>
        <w:t>：不同架构/能力的模型，其预算-响应曲线是否形态相同？是否存在"认知天花板"（即模型本身的能力上限，而非预算上限）？</w:t>
      </w:r>
    </w:p>
    <w:p>
      <w:pPr>
        <w:spacing w:before="120" w:after="120" w:line="288" w:lineRule="auto"/>
        <w:ind w:left="0"/>
        <w:jc w:val="left"/>
      </w:pPr>
      <w:r>
        <w:rPr>
          <w:rFonts w:eastAsia="等线" w:ascii="Arial" w:cs="Arial" w:hAnsi="Arial"/>
          <w:b w:val="true"/>
          <w:sz w:val="22"/>
        </w:rPr>
        <w:t>分析路径</w:t>
      </w:r>
      <w:r>
        <w:rPr>
          <w:rFonts w:eastAsia="等线" w:ascii="Arial" w:cs="Arial" w:hAnsi="Arial"/>
          <w:sz w:val="22"/>
        </w:rPr>
        <w:t>：</w:t>
      </w:r>
    </w:p>
    <w:p>
      <w:pPr>
        <w:numPr>
          <w:numId w:val="80"/>
        </w:numPr>
        <w:spacing w:before="120" w:after="120" w:line="288" w:lineRule="auto"/>
        <w:ind w:left="0"/>
        <w:jc w:val="left"/>
      </w:pPr>
      <w:r>
        <w:rPr>
          <w:rFonts w:eastAsia="等线" w:ascii="Arial" w:cs="Arial" w:hAnsi="Arial"/>
          <w:sz w:val="22"/>
        </w:rPr>
        <w:t>对比 Flash 与 Pro 的预算-胜率曲线形态</w:t>
      </w:r>
    </w:p>
    <w:p>
      <w:pPr>
        <w:numPr>
          <w:numId w:val="81"/>
        </w:numPr>
        <w:spacing w:before="120" w:after="120" w:line="288" w:lineRule="auto"/>
        <w:ind w:left="0"/>
        <w:jc w:val="left"/>
      </w:pPr>
      <w:r>
        <w:rPr>
          <w:rFonts w:eastAsia="等线" w:ascii="Arial" w:cs="Arial" w:hAnsi="Arial"/>
          <w:sz w:val="22"/>
        </w:rPr>
        <w:t>对比 Flash 与 Pro 的"实际 token 消耗 / 预算上限"比率</w:t>
      </w:r>
    </w:p>
    <w:p>
      <w:pPr>
        <w:numPr>
          <w:numId w:val="82"/>
        </w:numPr>
        <w:spacing w:before="120" w:after="120" w:line="288" w:lineRule="auto"/>
        <w:ind w:left="0"/>
        <w:jc w:val="left"/>
      </w:pPr>
      <w:r>
        <w:rPr>
          <w:rFonts w:eastAsia="等线" w:ascii="Arial" w:cs="Arial" w:hAnsi="Arial"/>
          <w:sz w:val="22"/>
        </w:rPr>
        <w:t>分析 Phase 2 中 Flash 与 Pro 的决策质量差异</w:t>
      </w:r>
    </w:p>
    <w:p>
      <w:pPr>
        <w:spacing w:before="120" w:after="120" w:line="288" w:lineRule="auto"/>
        <w:ind w:left="0"/>
        <w:jc w:val="left"/>
      </w:pPr>
      <w:r>
        <w:rPr>
          <w:rFonts w:eastAsia="等线" w:ascii="Arial" w:cs="Arial" w:hAnsi="Arial"/>
          <w:b w:val="true"/>
          <w:sz w:val="22"/>
        </w:rPr>
        <w:t>预期发现</w:t>
      </w:r>
      <w:r>
        <w:rPr>
          <w:rFonts w:eastAsia="等线" w:ascii="Arial" w:cs="Arial" w:hAnsi="Arial"/>
          <w:sz w:val="22"/>
        </w:rPr>
        <w:t>：</w:t>
      </w:r>
    </w:p>
    <w:p>
      <w:pPr>
        <w:numPr>
          <w:numId w:val="83"/>
        </w:numPr>
        <w:spacing w:before="120" w:after="120" w:line="288" w:lineRule="auto"/>
        <w:ind w:left="0"/>
        <w:jc w:val="left"/>
      </w:pPr>
      <w:r>
        <w:rPr>
          <w:rFonts w:eastAsia="等线" w:ascii="Arial" w:cs="Arial" w:hAnsi="Arial"/>
          <w:sz w:val="22"/>
        </w:rPr>
        <w:t>Pro 的绝对胜率更高，但同样存在平台期（峰值在 1200）</w:t>
      </w:r>
    </w:p>
    <w:p>
      <w:pPr>
        <w:numPr>
          <w:numId w:val="84"/>
        </w:numPr>
        <w:spacing w:before="120" w:after="120" w:line="288" w:lineRule="auto"/>
        <w:ind w:left="0"/>
        <w:jc w:val="left"/>
      </w:pPr>
      <w:r>
        <w:rPr>
          <w:rFonts w:eastAsia="等线" w:ascii="Arial" w:cs="Arial" w:hAnsi="Arial"/>
          <w:b w:val="true"/>
          <w:sz w:val="22"/>
        </w:rPr>
        <w:t>关键差异</w:t>
      </w:r>
      <w:r>
        <w:rPr>
          <w:rFonts w:eastAsia="等线" w:ascii="Arial" w:cs="Arial" w:hAnsi="Arial"/>
          <w:sz w:val="22"/>
        </w:rPr>
        <w:t>：Pro 的实际 token 消耗不随预算增加而上升（r=0.015, ns），而 Flash 有显著上升（r=0.174, p&lt;.001）</w:t>
      </w:r>
    </w:p>
    <w:p>
      <w:pPr>
        <w:numPr>
          <w:numId w:val="85"/>
        </w:numPr>
        <w:spacing w:before="120" w:after="120" w:line="288" w:lineRule="auto"/>
        <w:ind w:left="0"/>
        <w:jc w:val="left"/>
      </w:pPr>
      <w:r>
        <w:rPr>
          <w:rFonts w:eastAsia="等线" w:ascii="Arial" w:cs="Arial" w:hAnsi="Arial"/>
          <w:b w:val="true"/>
          <w:sz w:val="22"/>
        </w:rPr>
        <w:t>认知天花板假说</w:t>
      </w:r>
      <w:r>
        <w:rPr>
          <w:rFonts w:eastAsia="等线" w:ascii="Arial" w:cs="Arial" w:hAnsi="Arial"/>
          <w:sz w:val="22"/>
        </w:rPr>
        <w:t>：Pro 在 1000 tokens 左右已达到其空间推理的"认知饱和点"，追加预算只会让它在同一策略上想得更久，而不会想到更好的策略</w:t>
      </w:r>
    </w:p>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color w:val="3370ff"/>
          <w:sz w:val="30"/>
        </w:rPr>
        <w:t xml:space="preserve">6.1.7 </w:t>
      </w:r>
      <w:r>
        <w:rPr>
          <w:rFonts w:eastAsia="等线" w:ascii="Arial" w:cs="Arial" w:hAnsi="Arial"/>
          <w:b w:val="true"/>
          <w:sz w:val="30"/>
        </w:rPr>
        <w:t>M6：Thinking Mode 的初步探索</w:t>
      </w:r>
      <w:bookmarkEnd w:id="43"/>
    </w:p>
    <w:p>
      <w:pPr>
        <w:spacing w:before="120" w:after="120" w:line="288" w:lineRule="auto"/>
        <w:ind w:left="0"/>
        <w:jc w:val="left"/>
      </w:pPr>
      <w:r>
        <w:rPr>
          <w:rFonts w:eastAsia="等线" w:ascii="Arial" w:cs="Arial" w:hAnsi="Arial"/>
          <w:b w:val="true"/>
          <w:sz w:val="22"/>
        </w:rPr>
        <w:t>研究问题</w:t>
      </w:r>
      <w:r>
        <w:rPr>
          <w:rFonts w:eastAsia="等线" w:ascii="Arial" w:cs="Arial" w:hAnsi="Arial"/>
          <w:sz w:val="22"/>
        </w:rPr>
        <w:t>：在极端预算条件下启用深度思考（thinking mode），能否突破标准预算下的平台期？</w:t>
      </w:r>
    </w:p>
    <w:p>
      <w:pPr>
        <w:spacing w:before="120" w:after="120" w:line="288" w:lineRule="auto"/>
        <w:ind w:left="0"/>
        <w:jc w:val="left"/>
      </w:pPr>
      <w:r>
        <w:rPr>
          <w:rFonts w:eastAsia="等线" w:ascii="Arial" w:cs="Arial" w:hAnsi="Arial"/>
          <w:b w:val="true"/>
          <w:sz w:val="22"/>
        </w:rPr>
        <w:t>分析路径</w:t>
      </w:r>
      <w:r>
        <w:rPr>
          <w:rFonts w:eastAsia="等线" w:ascii="Arial" w:cs="Arial" w:hAnsi="Arial"/>
          <w:sz w:val="22"/>
        </w:rPr>
        <w:t>：</w:t>
      </w:r>
    </w:p>
    <w:p>
      <w:pPr>
        <w:numPr>
          <w:numId w:val="86"/>
        </w:numPr>
        <w:spacing w:before="120" w:after="120" w:line="288" w:lineRule="auto"/>
        <w:ind w:left="0"/>
        <w:jc w:val="left"/>
      </w:pPr>
      <w:r>
        <w:rPr>
          <w:rFonts w:eastAsia="等线" w:ascii="Arial" w:cs="Arial" w:hAnsi="Arial"/>
          <w:sz w:val="22"/>
        </w:rPr>
        <w:t>对比 20000+Thinking 与 2000 标准模式的胜率、捕获速度、平局率</w:t>
      </w:r>
    </w:p>
    <w:p>
      <w:pPr>
        <w:numPr>
          <w:numId w:val="87"/>
        </w:numPr>
        <w:spacing w:before="120" w:after="120" w:line="288" w:lineRule="auto"/>
        <w:ind w:left="0"/>
        <w:jc w:val="left"/>
      </w:pPr>
      <w:r>
        <w:rPr>
          <w:rFonts w:eastAsia="等线" w:ascii="Arial" w:cs="Arial" w:hAnsi="Arial"/>
          <w:sz w:val="22"/>
        </w:rPr>
        <w:t>分析 Thinking Mode 的 token 消耗结构（思考链长度 vs 输出长度）</w:t>
      </w:r>
    </w:p>
    <w:p>
      <w:pPr>
        <w:numPr>
          <w:numId w:val="88"/>
        </w:numPr>
        <w:spacing w:before="120" w:after="120" w:line="288" w:lineRule="auto"/>
        <w:ind w:left="0"/>
        <w:jc w:val="left"/>
      </w:pPr>
      <w:r>
        <w:rPr>
          <w:rFonts w:eastAsia="等线" w:ascii="Arial" w:cs="Arial" w:hAnsi="Arial"/>
          <w:b w:val="true"/>
          <w:sz w:val="22"/>
        </w:rPr>
        <w:t>待补测</w:t>
      </w:r>
      <w:r>
        <w:rPr>
          <w:rFonts w:eastAsia="等线" w:ascii="Arial" w:cs="Arial" w:hAnsi="Arial"/>
          <w:sz w:val="22"/>
        </w:rPr>
        <w:t>：对比 2000+Thinking 与 2000+Non-thinking（分离 budget 与 thinking 效应）</w:t>
      </w:r>
    </w:p>
    <w:p>
      <w:pPr>
        <w:spacing w:before="120" w:after="120" w:line="288" w:lineRule="auto"/>
        <w:ind w:left="0"/>
        <w:jc w:val="left"/>
      </w:pPr>
      <w:r>
        <w:rPr>
          <w:rFonts w:eastAsia="等线" w:ascii="Arial" w:cs="Arial" w:hAnsi="Arial"/>
          <w:b w:val="true"/>
          <w:sz w:val="22"/>
        </w:rPr>
        <w:t>预期发现</w:t>
      </w:r>
      <w:r>
        <w:rPr>
          <w:rFonts w:eastAsia="等线" w:ascii="Arial" w:cs="Arial" w:hAnsi="Arial"/>
          <w:sz w:val="22"/>
        </w:rPr>
        <w:t>（基于现有 N=20 数据）：</w:t>
      </w:r>
    </w:p>
    <w:p>
      <w:pPr>
        <w:numPr>
          <w:numId w:val="89"/>
        </w:numPr>
        <w:spacing w:before="120" w:after="120" w:line="288" w:lineRule="auto"/>
        <w:ind w:left="0"/>
        <w:jc w:val="left"/>
      </w:pPr>
      <w:r>
        <w:rPr>
          <w:rFonts w:eastAsia="等线" w:ascii="Arial" w:cs="Arial" w:hAnsi="Arial"/>
          <w:sz w:val="22"/>
        </w:rPr>
        <w:t>Thinking Mode 显著降低平局率（Flash: 30%→10%，Pro: 2.5%→0%）</w:t>
      </w:r>
    </w:p>
    <w:p>
      <w:pPr>
        <w:numPr>
          <w:numId w:val="90"/>
        </w:numPr>
        <w:spacing w:before="120" w:after="120" w:line="288" w:lineRule="auto"/>
        <w:ind w:left="0"/>
        <w:jc w:val="left"/>
      </w:pPr>
      <w:r>
        <w:rPr>
          <w:rFonts w:eastAsia="等线" w:ascii="Arial" w:cs="Arial" w:hAnsi="Arial"/>
          <w:sz w:val="22"/>
        </w:rPr>
        <w:t>胜率提升明显（Flash: 35%→65%，Pro: 65%→80%），但</w:t>
      </w:r>
      <w:r>
        <w:rPr>
          <w:rFonts w:eastAsia="等线" w:ascii="Arial" w:cs="Arial" w:hAnsi="Arial"/>
          <w:b w:val="true"/>
          <w:sz w:val="22"/>
        </w:rPr>
        <w:t>无法排除预算混淆</w:t>
      </w:r>
    </w:p>
    <w:p>
      <w:pPr>
        <w:numPr>
          <w:numId w:val="91"/>
        </w:numPr>
        <w:spacing w:before="120" w:after="120" w:line="288" w:lineRule="auto"/>
        <w:ind w:left="0"/>
        <w:jc w:val="left"/>
      </w:pPr>
      <w:r>
        <w:rPr>
          <w:rFonts w:eastAsia="等线" w:ascii="Arial" w:cs="Arial" w:hAnsi="Arial"/>
          <w:b w:val="true"/>
          <w:sz w:val="22"/>
        </w:rPr>
        <w:t>探索性结论</w:t>
      </w:r>
      <w:r>
        <w:rPr>
          <w:rFonts w:eastAsia="等线" w:ascii="Arial" w:cs="Arial" w:hAnsi="Arial"/>
          <w:sz w:val="22"/>
        </w:rPr>
        <w:t>：深度思考可能主要提升了"避免无效循环"的能力，而非"找到更优路径"的能力</w:t>
      </w:r>
    </w:p>
    <w:p>
      <w:pPr>
        <w:spacing w:before="120" w:after="120" w:line="288" w:lineRule="auto"/>
        <w:ind w:left="0"/>
        <w:jc w:val="left"/>
      </w:pPr>
    </w:p>
    <w:p>
      <w:pPr>
        <w:pStyle w:val="2"/>
        <w:spacing w:before="320" w:after="120" w:line="288" w:lineRule="auto"/>
        <w:ind w:left="0"/>
        <w:jc w:val="left"/>
        <w:outlineLvl w:val="1"/>
      </w:pPr>
      <w:bookmarkStart w:name="heading_44" w:id="44"/>
      <w:r>
        <w:rPr>
          <w:rFonts w:eastAsia="等线" w:ascii="Arial" w:cs="Arial" w:hAnsi="Arial"/>
          <w:color w:val="3370ff"/>
          <w:sz w:val="32"/>
        </w:rPr>
        <w:t xml:space="preserve">6.2 </w:t>
      </w:r>
      <w:r>
        <w:rPr>
          <w:rFonts w:eastAsia="等线" w:ascii="Arial" w:cs="Arial" w:hAnsi="Arial"/>
          <w:b w:val="true"/>
          <w:sz w:val="32"/>
        </w:rPr>
        <w:t>M1：Token Budget 阈值效应——预算不是越多越好</w:t>
      </w:r>
      <w:bookmarkEnd w:id="44"/>
    </w:p>
    <w:p>
      <w:pPr>
        <w:spacing w:before="120" w:after="120" w:line="288" w:lineRule="auto"/>
        <w:ind w:left="0"/>
        <w:jc w:val="left"/>
      </w:pPr>
    </w:p>
    <w:p>
      <w:pPr>
        <w:pStyle w:val="3"/>
        <w:spacing w:before="300" w:after="120" w:line="288" w:lineRule="auto"/>
        <w:ind w:left="0"/>
        <w:jc w:val="left"/>
        <w:outlineLvl w:val="2"/>
      </w:pPr>
      <w:bookmarkStart w:name="heading_45" w:id="45"/>
      <w:r>
        <w:rPr>
          <w:rFonts w:eastAsia="等线" w:ascii="Arial" w:cs="Arial" w:hAnsi="Arial"/>
          <w:color w:val="3370ff"/>
          <w:sz w:val="30"/>
        </w:rPr>
        <w:t xml:space="preserve">6.2.1 </w:t>
      </w:r>
      <w:r>
        <w:rPr>
          <w:rFonts w:eastAsia="等线" w:ascii="Arial" w:cs="Arial" w:hAnsi="Arial"/>
          <w:b w:val="true"/>
          <w:sz w:val="30"/>
        </w:rPr>
        <w:t>全局视角：预算-胜率曲线的"阶梯"形态</w:t>
      </w:r>
      <w:bookmarkEnd w:id="45"/>
    </w:p>
    <w:p>
      <w:pPr>
        <w:spacing w:before="120" w:after="120" w:line="288" w:lineRule="auto"/>
        <w:ind w:left="0"/>
        <w:jc w:val="left"/>
      </w:pPr>
    </w:p>
    <w:p>
      <w:pPr>
        <w:spacing w:before="120" w:after="120" w:line="288" w:lineRule="auto"/>
        <w:ind w:left="0"/>
        <w:jc w:val="left"/>
      </w:pPr>
      <w:r>
        <w:rPr>
          <w:rFonts w:eastAsia="等线" w:ascii="Arial" w:cs="Arial" w:hAnsi="Arial"/>
          <w:sz w:val="22"/>
        </w:rPr>
        <w:t>当我们将 9 个预算梯度的胜率连成曲线，直观地可以看到：预算-胜率关系不是线性的，而是呈现</w:t>
      </w:r>
      <w:r>
        <w:rPr>
          <w:rFonts w:eastAsia="等线" w:ascii="Arial" w:cs="Arial" w:hAnsi="Arial"/>
          <w:b w:val="true"/>
          <w:sz w:val="22"/>
        </w:rPr>
        <w:t>"三段式"阶梯形态</w:t>
      </w:r>
      <w:r>
        <w:rPr>
          <w:rFonts w:eastAsia="等线" w:ascii="Arial" w:cs="Arial" w:hAnsi="Arial"/>
          <w:sz w:val="22"/>
        </w:rPr>
        <w:t>。</w:t>
      </w:r>
    </w:p>
    <w:p>
      <w:pPr>
        <w:spacing w:before="120" w:after="120" w:line="288" w:lineRule="auto"/>
        <w:ind w:left="0"/>
        <w:jc w:val="center"/>
      </w:pPr>
      <w:r>
        <w:drawing>
          <wp:inline distT="0" distR="0" distB="0" distL="0">
            <wp:extent cx="5257800" cy="26670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6670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曲线的三个区间：</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死区（400-800 tokens）</w:t>
      </w:r>
      <w:r>
        <w:rPr>
          <w:rFonts w:eastAsia="等线" w:ascii="Arial" w:cs="Arial" w:hAnsi="Arial"/>
          <w:sz w:val="22"/>
        </w:rPr>
        <w:t>：Flash 胜率 &lt;15%。在这个区间，预算不足以支撑 Agent 完成从起点到目标的完整空间推理链。Agent 的行为模式接近"布朗运动"——在墙壁前反复碰撞，随机游走，极少能成功绕墙。</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跃迁区（800-1200 tokens）</w:t>
      </w:r>
      <w:r>
        <w:rPr>
          <w:rFonts w:eastAsia="等线" w:ascii="Arial" w:cs="Arial" w:hAnsi="Arial"/>
          <w:sz w:val="22"/>
        </w:rPr>
        <w:t>：这是整条曲线中斜率最大的区间。Flash 胜率从 9.8% 跃升至 34.1%（+24pp），Pro 从 37.5% 跃升至 70.7%（+33pp）。这是</w:t>
      </w:r>
      <w:r>
        <w:rPr>
          <w:rFonts w:eastAsia="等线" w:ascii="Arial" w:cs="Arial" w:hAnsi="Arial"/>
          <w:b w:val="true"/>
          <w:sz w:val="22"/>
        </w:rPr>
        <w:t>预算投资的黄金回报期</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平台期（1200-2000 tokens）</w:t>
      </w:r>
      <w:r>
        <w:rPr>
          <w:rFonts w:eastAsia="等线" w:ascii="Arial" w:cs="Arial" w:hAnsi="Arial"/>
          <w:sz w:val="22"/>
        </w:rPr>
        <w:t>：1200 tokens 之后，曲线进入波动平台。Flash 胜率在 32%-45% 区间波动（1800 出现 45% 的局部峰值，但 2000 又回落至 35%）；Pro 维持在 52%-71% 的高位区间。由于 N=40/组的样本量限制，相邻预算点之间的涨跌可能包含随机噪声，但</w:t>
      </w:r>
      <w:r>
        <w:rPr>
          <w:rFonts w:eastAsia="等线" w:ascii="Arial" w:cs="Arial" w:hAnsi="Arial"/>
          <w:b w:val="true"/>
          <w:sz w:val="22"/>
        </w:rPr>
        <w:t>总体趋势是边际回报率急剧下降</w:t>
      </w:r>
      <w:r>
        <w:rPr>
          <w:rFonts w:eastAsia="等线" w:ascii="Arial" w:cs="Arial" w:hAnsi="Arial"/>
          <w:sz w:val="22"/>
        </w:rPr>
        <w:t>——将预算从 1200 提升至 2000，Flash 胜率无统计学显著提升。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DeepSeek Flash（N=365）的完整数据：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 Budget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A_Win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B_Win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A_Win Rate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Draw Rate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43.9%</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DeepSeek Pro（N=361）的完整数据：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 Budget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A_Win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B_Win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A_Win Rate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Draw Rate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统计显著性检验：</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卡方独立性检验：见附录 - </w:t>
            </w:r>
            <w:hyperlink r:id="rId12">
              <w:r>
                <w:rPr>
                  <w:rFonts w:eastAsia="等线" w:ascii="Arial" w:cs="Arial" w:hAnsi="Arial"/>
                  <w:color w:val="3370ff"/>
                  <w:sz w:val="22"/>
                </w:rPr>
                <w:t>沙坑研究（the_sand_pit)</w:t>
              </w:r>
            </w:hyperlink>
          </w:p>
          <w:p>
            <w:pPr>
              <w:spacing w:before="120" w:after="120" w:line="288" w:lineRule="auto"/>
              <w:ind w:left="0"/>
              <w:jc w:val="left"/>
            </w:pPr>
            <w:r>
              <w:rPr>
                <w:rFonts w:eastAsia="等线" w:ascii="Arial" w:cs="Arial" w:hAnsi="Arial"/>
                <w:color w:val="646a73"/>
                <w:sz w:val="22"/>
              </w:rPr>
              <w:t xml:space="preserve">Bonferroni 校正：见附录 - </w:t>
            </w:r>
            <w:hyperlink r:id="rId13">
              <w:r>
                <w:rPr>
                  <w:rFonts w:eastAsia="等线" w:ascii="Arial" w:cs="Arial" w:hAnsi="Arial"/>
                  <w:color w:val="3370ff"/>
                  <w:sz w:val="22"/>
                </w:rPr>
                <w:t>沙坑研究（the_sand_pit)</w:t>
              </w:r>
            </w:hyperlink>
          </w:p>
        </w:tc>
      </w:tr>
    </w:tbl>
    <w:p>
      <w:pPr>
        <w:spacing w:before="120" w:after="120" w:line="288" w:lineRule="auto"/>
        <w:ind w:left="0"/>
        <w:jc w:val="left"/>
      </w:pPr>
      <w:r>
        <w:rPr>
          <w:rFonts w:eastAsia="等线" w:ascii="Arial" w:cs="Arial" w:hAnsi="Arial"/>
          <w:sz w:val="22"/>
        </w:rPr>
        <w:t>卡方独立性检验（Flash：chi2(16)=64.34, p&lt;.001；Pro：chi2(16)=126.30, p&lt;.001）确认了预算分组与游戏结局之间存在显著关联。后续的 Bonferroni 校正 Fisher 精确检验揭示了一个关键模式：在 Flash 中，800 与 1000 tokens 之间的胜率差异在名义水平上显著（p=0.015），但经 36 次比较 Bonferroni 校正后（alpha=0.0014）不再显著；1200 与所有更高预算（1400–2000）之间均无显著差异（p&gt;0.05）。在 Pro 中，由于低 budget 样本的胜率已较高（600 tokens 达 55%），跃迁区的两两比较同样未通过严格的 Bonferroni 校正，但 1000–2000 区间内部的所有比较均不显著。</w:t>
      </w:r>
    </w:p>
    <w:p>
      <w:pPr>
        <w:spacing w:before="120" w:after="120" w:line="288" w:lineRule="auto"/>
        <w:ind w:left="0"/>
        <w:jc w:val="left"/>
      </w:pPr>
    </w:p>
    <w:p>
      <w:pPr>
        <w:pStyle w:val="3"/>
        <w:spacing w:before="300" w:after="120" w:line="288" w:lineRule="auto"/>
        <w:ind w:left="0"/>
        <w:jc w:val="left"/>
        <w:outlineLvl w:val="2"/>
      </w:pPr>
      <w:bookmarkStart w:name="heading_46" w:id="46"/>
      <w:r>
        <w:rPr>
          <w:rFonts w:eastAsia="等线" w:ascii="Arial" w:cs="Arial" w:hAnsi="Arial"/>
          <w:color w:val="3370ff"/>
          <w:sz w:val="30"/>
        </w:rPr>
        <w:t xml:space="preserve">6.2.2 </w:t>
      </w:r>
      <w:r>
        <w:rPr>
          <w:rFonts w:eastAsia="等线" w:ascii="Arial" w:cs="Arial" w:hAnsi="Arial"/>
          <w:b w:val="true"/>
          <w:sz w:val="30"/>
        </w:rPr>
        <w:t>Phase 1：到达墙壁前的"热身"——预算无关的起步</w:t>
      </w:r>
      <w:bookmarkEnd w:id="46"/>
    </w:p>
    <w:p>
      <w:pPr>
        <w:spacing w:before="120" w:after="120" w:line="288" w:lineRule="auto"/>
        <w:ind w:left="0"/>
        <w:jc w:val="left"/>
      </w:pPr>
      <w:r>
        <w:rPr>
          <w:rFonts w:eastAsia="等线" w:ascii="Arial" w:cs="Arial" w:hAnsi="Arial"/>
          <w:sz w:val="22"/>
        </w:rPr>
        <w:t>Phase 1（pre-wall）指 Agent A 从起点 (0,0) 出发，向墙壁移动的阶段。在本研究中，P2（绕墙阶段）的起始线定义为 Agent A 进入墙壁的"影响范围"——即横坐标 x ≥ 22（距墙垂线距离 ≤ 3，等于一次 move_step）</w:t>
      </w:r>
    </w:p>
    <w:p>
      <w:pPr>
        <w:spacing w:before="120" w:after="120" w:line="288" w:lineRule="auto"/>
        <w:ind w:left="0"/>
        <w:jc w:val="center"/>
      </w:pPr>
      <w:r>
        <w:drawing>
          <wp:inline distT="0" distR="0" distB="0" distL="0">
            <wp:extent cx="5257800" cy="38385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5257800" cy="38385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数据验证了这一直觉：</w:t>
      </w:r>
    </w:p>
    <w:p>
      <w:pPr>
        <w:numPr>
          <w:numId w:val="92"/>
        </w:numPr>
        <w:spacing w:before="120" w:after="120" w:line="288" w:lineRule="auto"/>
        <w:ind w:left="0"/>
        <w:jc w:val="left"/>
      </w:pPr>
      <w:r>
        <w:rPr>
          <w:rFonts w:eastAsia="等线" w:ascii="Arial" w:cs="Arial" w:hAnsi="Arial"/>
          <w:b w:val="true"/>
          <w:sz w:val="22"/>
        </w:rPr>
        <w:t>P1→P2 转化率</w:t>
      </w:r>
      <w:r>
        <w:rPr>
          <w:rFonts w:eastAsia="等线" w:ascii="Arial" w:cs="Arial" w:hAnsi="Arial"/>
          <w:sz w:val="22"/>
        </w:rPr>
        <w:t xml:space="preserve">：在所有预算梯度上均为 </w:t>
      </w:r>
      <w:r>
        <w:rPr>
          <w:rFonts w:eastAsia="等线" w:ascii="Arial" w:cs="Arial" w:hAnsi="Arial"/>
          <w:b w:val="true"/>
          <w:sz w:val="22"/>
        </w:rPr>
        <w:t>100%</w:t>
      </w:r>
      <w:r>
        <w:rPr>
          <w:rFonts w:eastAsia="等线" w:ascii="Arial" w:cs="Arial" w:hAnsi="Arial"/>
          <w:sz w:val="22"/>
        </w:rPr>
        <w:t>（726/726 局）。每一局 Agent A 都成功到达了墙壁影响带，不存在"在 P1 阶段就失败"的局数。</w:t>
      </w:r>
    </w:p>
    <w:p>
      <w:pPr>
        <w:numPr>
          <w:numId w:val="93"/>
        </w:numPr>
        <w:spacing w:before="120" w:after="120" w:line="288" w:lineRule="auto"/>
        <w:ind w:left="0"/>
        <w:jc w:val="left"/>
      </w:pPr>
      <w:r>
        <w:rPr>
          <w:rFonts w:eastAsia="等线" w:ascii="Arial" w:cs="Arial" w:hAnsi="Arial"/>
          <w:b w:val="true"/>
          <w:sz w:val="22"/>
        </w:rPr>
        <w:t>P1 阶段平均持续回合数</w:t>
      </w:r>
      <w:r>
        <w:rPr>
          <w:rFonts w:eastAsia="等线" w:ascii="Arial" w:cs="Arial" w:hAnsi="Arial"/>
          <w:sz w:val="22"/>
        </w:rPr>
        <w:t xml:space="preserve">：约 </w:t>
      </w:r>
      <w:r>
        <w:rPr>
          <w:rFonts w:eastAsia="等线" w:ascii="Arial" w:cs="Arial" w:hAnsi="Arial"/>
          <w:b w:val="true"/>
          <w:sz w:val="22"/>
        </w:rPr>
        <w:t>10.5–11.6 回合</w:t>
      </w:r>
      <w:r>
        <w:rPr>
          <w:rFonts w:eastAsia="等线" w:ascii="Arial" w:cs="Arial" w:hAnsi="Arial"/>
          <w:sz w:val="22"/>
        </w:rPr>
        <w:t>（中位数 10–11 回合），且与预算无关。从 (0,0) 走到 x=22 需要固定的物理步数（move_step=3，约 7–8 次移动），预算多寡不影响这段"通勤距离"。</w:t>
      </w:r>
    </w:p>
    <w:p>
      <w:pPr>
        <w:numPr>
          <w:numId w:val="94"/>
        </w:numPr>
        <w:spacing w:before="120" w:after="120" w:line="288" w:lineRule="auto"/>
        <w:ind w:left="0"/>
        <w:jc w:val="left"/>
      </w:pPr>
      <w:r>
        <w:rPr>
          <w:rFonts w:eastAsia="等线" w:ascii="Arial" w:cs="Arial" w:hAnsi="Arial"/>
          <w:b w:val="true"/>
          <w:sz w:val="22"/>
        </w:rPr>
        <w:t>P1 阶段单轮 token 消耗</w:t>
      </w:r>
      <w:r>
        <w:rPr>
          <w:rFonts w:eastAsia="等线" w:ascii="Arial" w:cs="Arial" w:hAnsi="Arial"/>
          <w:sz w:val="22"/>
        </w:rPr>
        <w:t xml:space="preserve">：中位数约 </w:t>
      </w:r>
      <w:r>
        <w:rPr>
          <w:rFonts w:eastAsia="等线" w:ascii="Arial" w:cs="Arial" w:hAnsi="Arial"/>
          <w:b w:val="true"/>
          <w:sz w:val="22"/>
        </w:rPr>
        <w:t>917–930 tokens</w:t>
      </w:r>
      <w:r>
        <w:rPr>
          <w:rFonts w:eastAsia="等线" w:ascii="Arial" w:cs="Arial" w:hAnsi="Arial"/>
          <w:sz w:val="22"/>
        </w:rPr>
        <w:t>，在各预算间几乎无差异。P1 的推理任务简单（"向墙壁方向移动"），token 消耗稳定且不受预算上限影响。</w:t>
      </w:r>
    </w:p>
    <w:p>
      <w:pPr>
        <w:spacing w:before="120" w:after="120" w:line="288" w:lineRule="auto"/>
        <w:ind w:left="0"/>
        <w:jc w:val="left"/>
      </w:pPr>
    </w:p>
    <w:p>
      <w:pPr>
        <w:spacing w:before="120" w:after="120" w:line="288" w:lineRule="auto"/>
        <w:ind w:left="0"/>
        <w:jc w:val="center"/>
      </w:pPr>
      <w:r>
        <w:drawing>
          <wp:inline distT="0" distR="0" distB="0" distL="0">
            <wp:extent cx="5257800" cy="30670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5"/>
                    <a:stretch>
                      <a:fillRect/>
                    </a:stretch>
                  </pic:blipFill>
                  <pic:spPr>
                    <a:xfrm>
                      <a:off x="0" y="0"/>
                      <a:ext cx="5257800" cy="30670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结论：</w:t>
      </w:r>
    </w:p>
    <w:p>
      <w:pPr>
        <w:numPr>
          <w:numId w:val="95"/>
        </w:numPr>
        <w:spacing w:before="120" w:after="120" w:line="288" w:lineRule="auto"/>
        <w:ind w:left="0"/>
        <w:jc w:val="left"/>
      </w:pPr>
      <w:r>
        <w:rPr>
          <w:rFonts w:eastAsia="等线" w:ascii="Arial" w:cs="Arial" w:hAnsi="Arial"/>
          <w:b w:val="true"/>
          <w:sz w:val="22"/>
        </w:rPr>
        <w:t>Phase 1 是一个纯粹的"物理通勤期"——它受地图几何约束，不受认知预算约束。给 Agent 更多的 token，它不会更快地到达墙壁（因为移动速度是物理固定的），也不会以更高的概率到达墙壁（因为 100% 的局都到达了）。预算的边际价值在 P1 为零。</w:t>
      </w:r>
    </w:p>
    <w:p>
      <w:pPr>
        <w:numPr>
          <w:numId w:val="96"/>
        </w:numPr>
        <w:spacing w:before="120" w:after="120" w:line="288" w:lineRule="auto"/>
        <w:ind w:left="0"/>
        <w:jc w:val="left"/>
      </w:pPr>
      <w:r>
        <w:rPr>
          <w:rFonts w:eastAsia="等线" w:ascii="Arial" w:cs="Arial" w:hAnsi="Arial"/>
          <w:b w:val="true"/>
          <w:sz w:val="22"/>
        </w:rPr>
        <w:t>【工程实践指导意义】如果一个任务项目标明确，且可以通过简单规则遍历，切勿盲目钻向AI实践的误区，此时ROI（投入产出比）急剧下降。</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7" w:id="47"/>
      <w:r>
        <w:rPr>
          <w:rFonts w:eastAsia="等线" w:ascii="Arial" w:cs="Arial" w:hAnsi="Arial"/>
          <w:color w:val="3370ff"/>
          <w:sz w:val="30"/>
        </w:rPr>
        <w:t xml:space="preserve">6.2.3 </w:t>
      </w:r>
      <w:r>
        <w:rPr>
          <w:rFonts w:eastAsia="等线" w:ascii="Arial" w:cs="Arial" w:hAnsi="Arial"/>
          <w:b w:val="true"/>
          <w:sz w:val="30"/>
        </w:rPr>
        <w:t>Phase 2：绕墙阶段——预算效应的集中爆发点</w:t>
      </w:r>
      <w:bookmarkEnd w:id="47"/>
    </w:p>
    <w:p>
      <w:pPr>
        <w:spacing w:before="120" w:after="120" w:line="288" w:lineRule="auto"/>
        <w:ind w:left="0"/>
        <w:jc w:val="left"/>
      </w:pPr>
    </w:p>
    <w:p>
      <w:pPr>
        <w:spacing w:before="120" w:after="120" w:line="288" w:lineRule="auto"/>
        <w:ind w:left="0"/>
        <w:jc w:val="left"/>
      </w:pPr>
      <w:r>
        <w:rPr>
          <w:rFonts w:eastAsia="等线" w:ascii="Arial" w:cs="Arial" w:hAnsi="Arial"/>
          <w:sz w:val="22"/>
        </w:rPr>
        <w:t>Phase 2（wall-nav）是 Agent A 进入墙壁"影响范围"（x∈[22,28]，即距墙垂线距离 ≤ 3）并尝试绕行通过的阶段。这是整个游戏中</w:t>
      </w:r>
      <w:r>
        <w:rPr>
          <w:rFonts w:eastAsia="等线" w:ascii="Arial" w:cs="Arial" w:hAnsi="Arial"/>
          <w:b w:val="true"/>
          <w:sz w:val="22"/>
        </w:rPr>
        <w:t>唯一对预算敏感的阶段</w:t>
      </w:r>
      <w:r>
        <w:rPr>
          <w:rFonts w:eastAsia="等线" w:ascii="Arial" w:cs="Arial" w:hAnsi="Arial"/>
          <w:sz w:val="22"/>
        </w:rPr>
        <w:t>，也是本研究最核心的发现。也是</w:t>
      </w:r>
      <w:r>
        <w:rPr>
          <w:rFonts w:eastAsia="等线" w:ascii="Arial" w:cs="Arial" w:hAnsi="Arial"/>
          <w:b w:val="true"/>
          <w:sz w:val="22"/>
        </w:rPr>
        <w:t>死区-跃迁区-平台期</w:t>
      </w:r>
      <w:r>
        <w:rPr>
          <w:rFonts w:eastAsia="等线" w:ascii="Arial" w:cs="Arial" w:hAnsi="Arial"/>
          <w:sz w:val="22"/>
        </w:rPr>
        <w:t>三形态的最具象化体现</w:t>
      </w:r>
    </w:p>
    <w:p>
      <w:pPr>
        <w:spacing w:before="120" w:after="120" w:line="288" w:lineRule="auto"/>
        <w:ind w:left="0"/>
        <w:jc w:val="center"/>
      </w:pPr>
      <w:r>
        <w:drawing>
          <wp:inline distT="0" distR="0" distB="0" distL="0">
            <wp:extent cx="5257800" cy="38385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5257800" cy="38385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P2 过墙成功率随预算的剧烈变化（Flash 数据，N≈40/组）：</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 Budget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 P2 的游戏数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成功过墙（到达 x&gt;28）数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过墙成功率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69.8%</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Pro 数据（N≈40/组）：</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 Budget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 P2 的游戏数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成功过墙（到达 x&gt;28）数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过墙成功率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97.5%</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（Pro 的绝对过墙率显著高于 Flash，但两条曲线同样呈现"死区-跃迁区-平台期"的三段式形态）</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Flash 的过墙成功率从 400 tokens 时的 </w:t>
      </w:r>
      <w:r>
        <w:rPr>
          <w:rFonts w:eastAsia="等线" w:ascii="Arial" w:cs="Arial" w:hAnsi="Arial"/>
          <w:b w:val="true"/>
          <w:sz w:val="22"/>
        </w:rPr>
        <w:t>10.0%</w:t>
      </w:r>
      <w:r>
        <w:rPr>
          <w:rFonts w:eastAsia="等线" w:ascii="Arial" w:cs="Arial" w:hAnsi="Arial"/>
          <w:sz w:val="22"/>
        </w:rPr>
        <w:t xml:space="preserve"> 一路攀升至 1800 tokens 时的 </w:t>
      </w:r>
      <w:r>
        <w:rPr>
          <w:rFonts w:eastAsia="等线" w:ascii="Arial" w:cs="Arial" w:hAnsi="Arial"/>
          <w:b w:val="true"/>
          <w:sz w:val="22"/>
        </w:rPr>
        <w:t>70.0%</w:t>
      </w:r>
      <w:r>
        <w:rPr>
          <w:rFonts w:eastAsia="等线" w:ascii="Arial" w:cs="Arial" w:hAnsi="Arial"/>
          <w:sz w:val="22"/>
        </w:rPr>
        <w:t xml:space="preserve">，提升幅度高达 </w:t>
      </w:r>
      <w:r>
        <w:rPr>
          <w:rFonts w:eastAsia="等线" w:ascii="Arial" w:cs="Arial" w:hAnsi="Arial"/>
          <w:b w:val="true"/>
          <w:sz w:val="22"/>
        </w:rPr>
        <w:t>60 个百分点</w:t>
      </w:r>
      <w:r>
        <w:rPr>
          <w:rFonts w:eastAsia="等线" w:ascii="Arial" w:cs="Arial" w:hAnsi="Arial"/>
          <w:sz w:val="22"/>
        </w:rPr>
        <w:t>。这不仅仅是数字的增长，它揭示了一个深层认知机制：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绕墙决策是空间推理中最"费 token"的任务。</w:t>
      </w:r>
      <w:r>
        <w:rPr>
          <w:rFonts w:eastAsia="等线" w:ascii="Arial" w:cs="Arial" w:hAnsi="Arial"/>
          <w:sz w:val="22"/>
        </w:rPr>
        <w:t xml:space="preserve"> Agent 需要同时处理多个约束：</w:t>
      </w:r>
    </w:p>
    <w:p>
      <w:pPr>
        <w:numPr>
          <w:numId w:val="97"/>
        </w:numPr>
        <w:spacing w:before="120" w:after="120" w:line="288" w:lineRule="auto"/>
        <w:ind w:left="0"/>
        <w:jc w:val="left"/>
      </w:pPr>
      <w:r>
        <w:rPr>
          <w:rFonts w:eastAsia="等线" w:ascii="Arial" w:cs="Arial" w:hAnsi="Arial"/>
          <w:sz w:val="22"/>
        </w:rPr>
        <w:t>感知：当前位置、墙壁位置、目标位置</w:t>
      </w:r>
    </w:p>
    <w:p>
      <w:pPr>
        <w:numPr>
          <w:numId w:val="98"/>
        </w:numPr>
        <w:spacing w:before="120" w:after="120" w:line="288" w:lineRule="auto"/>
        <w:ind w:left="0"/>
        <w:jc w:val="left"/>
      </w:pPr>
      <w:r>
        <w:rPr>
          <w:rFonts w:eastAsia="等线" w:ascii="Arial" w:cs="Arial" w:hAnsi="Arial"/>
          <w:sz w:val="22"/>
        </w:rPr>
        <w:t>规划：选择向上绕行还是向下绕行</w:t>
      </w:r>
    </w:p>
    <w:p>
      <w:pPr>
        <w:numPr>
          <w:numId w:val="99"/>
        </w:numPr>
        <w:spacing w:before="120" w:after="120" w:line="288" w:lineRule="auto"/>
        <w:ind w:left="0"/>
        <w:jc w:val="left"/>
      </w:pPr>
      <w:r>
        <w:rPr>
          <w:rFonts w:eastAsia="等线" w:ascii="Arial" w:cs="Arial" w:hAnsi="Arial"/>
          <w:sz w:val="22"/>
        </w:rPr>
        <w:t>执行：输出准确的移动坐标</w:t>
      </w:r>
    </w:p>
    <w:p>
      <w:pPr>
        <w:numPr>
          <w:numId w:val="100"/>
        </w:numPr>
        <w:spacing w:before="120" w:after="120" w:line="288" w:lineRule="auto"/>
        <w:ind w:left="0"/>
        <w:jc w:val="left"/>
      </w:pPr>
      <w:r>
        <w:rPr>
          <w:rFonts w:eastAsia="等线" w:ascii="Arial" w:cs="Arial" w:hAnsi="Arial"/>
          <w:sz w:val="22"/>
        </w:rPr>
        <w:t>验证：检查移动是否被墙壁阻挡</w:t>
      </w:r>
    </w:p>
    <w:p>
      <w:pPr>
        <w:spacing w:before="120" w:after="120" w:line="288" w:lineRule="auto"/>
        <w:ind w:left="453"/>
        <w:jc w:val="left"/>
      </w:pPr>
    </w:p>
    <w:p>
      <w:pPr>
        <w:spacing w:before="120" w:after="120" w:line="288" w:lineRule="auto"/>
        <w:ind w:left="0"/>
        <w:jc w:val="left"/>
      </w:pPr>
      <w:r>
        <w:rPr>
          <w:rFonts w:eastAsia="等线" w:ascii="Arial" w:cs="Arial" w:hAnsi="Arial"/>
          <w:sz w:val="22"/>
        </w:rPr>
        <w:t>在低预算（400-600）下，Agent 往往只能完成"感知"和初级"规划"，无法输出连贯的绕行路径。它的行为表现为：走到墙壁边缘→尝试直行被挡→随机选择上下→走几步后放弃→返回原处。这是一个典型的**"认知资源不足导致的规划崩溃"**。</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成功案例与失败案例的回合数对比（Flash, 1200 tokens）：</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20"/>
        <w:gridCol w:w="2520"/>
        <w:gridCol w:w="3240"/>
      </w:tblGrid>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结果</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 阶段回合数（中位数）</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 阶段 token 消耗（中位数）</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成功过墙</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 回合</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20,521 tokens</w:t>
            </w:r>
          </w:p>
        </w:tc>
      </w:tr>
      <w:tr>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失败（被困）</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 回合</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59,797 tokens</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这里出现了一个反直觉的现象：</w:t>
      </w:r>
      <w:r>
        <w:rPr>
          <w:rFonts w:eastAsia="等线" w:ascii="Arial" w:cs="Arial" w:hAnsi="Arial"/>
          <w:b w:val="true"/>
          <w:sz w:val="22"/>
        </w:rPr>
        <w:t>成功过墙的游戏反而消耗更少的 P2 时间和 token</w:t>
      </w:r>
      <w:r>
        <w:rPr>
          <w:rFonts w:eastAsia="等线" w:ascii="Arial" w:cs="Arial" w:hAnsi="Arial"/>
          <w:sz w:val="22"/>
        </w:rPr>
        <w:t>。成功者用 14 个回合、约 20,521 tokens 就找到了绕行路径；失败者则在 39 个回合中消耗了 59,797 tokens，最终因 max_rounds 耗尽而平局。这提示我们：</w:t>
      </w:r>
      <w:r>
        <w:rPr>
          <w:rFonts w:eastAsia="等线" w:ascii="Arial" w:cs="Arial" w:hAnsi="Arial"/>
          <w:b w:val="true"/>
          <w:sz w:val="22"/>
        </w:rPr>
        <w:t>token 消耗量本身不是能力的代理变量</w:t>
      </w:r>
      <w:r>
        <w:rPr>
          <w:rFonts w:eastAsia="等线" w:ascii="Arial" w:cs="Arial" w:hAnsi="Arial"/>
          <w:sz w:val="22"/>
        </w:rPr>
        <w:t>——消耗更多 token 不代表"更努力"，往往代表"卡住了、在无效循环中打转"。</w:t>
      </w:r>
    </w:p>
    <w:p>
      <w:pPr>
        <w:spacing w:before="120" w:after="120" w:line="288" w:lineRule="auto"/>
        <w:ind w:left="0"/>
        <w:jc w:val="center"/>
      </w:pPr>
      <w:r>
        <w:drawing>
          <wp:inline distT="0" distR="0" distB="0" distL="0">
            <wp:extent cx="5257800" cy="22098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7"/>
                    <a:stretch>
                      <a:fillRect/>
                    </a:stretch>
                  </pic:blipFill>
                  <pic:spPr>
                    <a:xfrm>
                      <a:off x="0" y="0"/>
                      <a:ext cx="5257800" cy="2209800"/>
                    </a:xfrm>
                    <a:prstGeom prst="rect">
                      <a:avLst/>
                    </a:prstGeom>
                  </pic:spPr>
                </pic:pic>
              </a:graphicData>
            </a:graphic>
          </wp:inline>
        </w:drawing>
      </w:r>
    </w:p>
    <w:p>
      <w:pPr>
        <w:spacing w:before="120" w:after="120" w:line="288" w:lineRule="auto"/>
        <w:ind w:left="0"/>
        <w:jc w:val="left"/>
      </w:pPr>
    </w:p>
    <w:p>
      <w:pPr>
        <w:numPr>
          <w:numId w:val="101"/>
        </w:numPr>
        <w:spacing w:before="120" w:after="120" w:line="288" w:lineRule="auto"/>
        <w:ind w:left="0"/>
        <w:jc w:val="left"/>
      </w:pPr>
      <w:r>
        <w:rPr>
          <w:rFonts w:eastAsia="等线" w:ascii="Arial" w:cs="Arial" w:hAnsi="Arial"/>
          <w:sz w:val="22"/>
        </w:rPr>
        <w:t>关于“能够过墙的局数都是撞大运”的反驳与论证：</w:t>
      </w:r>
      <w:hyperlink r:id="rId18">
        <w:r>
          <w:rPr>
            <w:rFonts w:eastAsia="等线" w:ascii="Arial" w:cs="Arial" w:hAnsi="Arial"/>
            <w:color w:val="3370ff"/>
            <w:sz w:val="22"/>
          </w:rPr>
          <w:t>沙坑研究（the_sand_pit)</w:t>
        </w:r>
      </w:hyperlink>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结论：</w:t>
      </w:r>
    </w:p>
    <w:p>
      <w:pPr>
        <w:spacing w:before="120" w:after="120" w:line="288" w:lineRule="auto"/>
        <w:ind w:left="0"/>
        <w:jc w:val="left"/>
      </w:pPr>
      <w:r>
        <w:rPr>
          <w:rFonts w:eastAsia="等线" w:ascii="Arial" w:cs="Arial" w:hAnsi="Arial"/>
          <w:sz w:val="22"/>
        </w:rPr>
        <w:t>Phase 2 的数据清晰地展示了 token 预算的认知价值边界：</w:t>
      </w:r>
    </w:p>
    <w:p>
      <w:pPr>
        <w:numPr>
          <w:numId w:val="102"/>
        </w:numPr>
        <w:spacing w:before="120" w:after="120" w:line="288" w:lineRule="auto"/>
        <w:ind w:left="0"/>
        <w:jc w:val="left"/>
      </w:pPr>
      <w:r>
        <w:rPr>
          <w:rFonts w:eastAsia="等线" w:ascii="Arial" w:cs="Arial" w:hAnsi="Arial"/>
          <w:b w:val="true"/>
          <w:sz w:val="22"/>
        </w:rPr>
        <w:t>预算对 P2 有显著的非线性效应</w:t>
      </w:r>
      <w:r>
        <w:rPr>
          <w:rFonts w:eastAsia="等线" w:ascii="Arial" w:cs="Arial" w:hAnsi="Arial"/>
          <w:sz w:val="22"/>
        </w:rPr>
        <w:t>：Flash 过墙率从 400 tokens 的 10.0% 提升至 1800 tokens 的 70.0%，提升幅度达 60 个百分点。Pro 过墙率从 35.0% 提升至 97.5%。这是预算投资回报率最高的阶段。</w:t>
      </w:r>
    </w:p>
    <w:p>
      <w:pPr>
        <w:numPr>
          <w:numId w:val="103"/>
        </w:numPr>
        <w:spacing w:before="120" w:after="120" w:line="288" w:lineRule="auto"/>
        <w:ind w:left="0"/>
        <w:jc w:val="left"/>
      </w:pPr>
      <w:r>
        <w:rPr>
          <w:rFonts w:eastAsia="等线" w:ascii="Arial" w:cs="Arial" w:hAnsi="Arial"/>
          <w:b w:val="true"/>
          <w:sz w:val="22"/>
        </w:rPr>
        <w:t>P2 的成功有稳定的行为签名</w:t>
      </w:r>
      <w:r>
        <w:rPr>
          <w:rFonts w:eastAsia="等线" w:ascii="Arial" w:cs="Arial" w:hAnsi="Arial"/>
          <w:sz w:val="22"/>
        </w:rPr>
        <w:t>：所有成功过墙的 Agent 均表现出约 -5.0 的净 Y 位移（坚定朝一个方向绕行），而失败者净 Y 位移接近 0（原地震荡）。预算提升的是 Agent "产生并坚持绕行计划"的能力比例，而非随机运气。</w:t>
      </w:r>
    </w:p>
    <w:p>
      <w:pPr>
        <w:numPr>
          <w:numId w:val="104"/>
        </w:numPr>
        <w:spacing w:before="120" w:after="120" w:line="288" w:lineRule="auto"/>
        <w:ind w:left="0"/>
        <w:jc w:val="left"/>
      </w:pPr>
      <w:r>
        <w:rPr>
          <w:rFonts w:eastAsia="等线" w:ascii="Arial" w:cs="Arial" w:hAnsi="Arial"/>
          <w:b w:val="true"/>
          <w:sz w:val="22"/>
        </w:rPr>
        <w:t>P2 是唯一对预算敏感的阶段</w:t>
      </w:r>
      <w:r>
        <w:rPr>
          <w:rFonts w:eastAsia="等线" w:ascii="Arial" w:cs="Arial" w:hAnsi="Arial"/>
          <w:sz w:val="22"/>
        </w:rPr>
        <w:t>：P1/P3/P4 的预算弹性接近零。这意味着</w:t>
      </w:r>
      <w:r>
        <w:rPr>
          <w:rFonts w:eastAsia="等线" w:ascii="Arial" w:cs="Arial" w:hAnsi="Arial"/>
          <w:b w:val="true"/>
          <w:sz w:val="22"/>
        </w:rPr>
        <w:t>1000-1200 tokens 的预算已经足以覆盖 P2 的认知需求</w:t>
      </w:r>
      <w:r>
        <w:rPr>
          <w:rFonts w:eastAsia="等线" w:ascii="Arial" w:cs="Arial" w:hAnsi="Arial"/>
          <w:sz w:val="22"/>
        </w:rPr>
        <w:t>，继续增加预算不会提升其他阶段的表现。</w:t>
      </w:r>
    </w:p>
    <w:p>
      <w:pPr>
        <w:spacing w:before="120" w:after="120" w:line="288" w:lineRule="auto"/>
        <w:ind w:left="0"/>
        <w:jc w:val="left"/>
      </w:pPr>
    </w:p>
    <w:p>
      <w:pPr>
        <w:pStyle w:val="3"/>
        <w:spacing w:before="300" w:after="120" w:line="288" w:lineRule="auto"/>
        <w:ind w:left="0"/>
        <w:jc w:val="left"/>
        <w:outlineLvl w:val="2"/>
      </w:pPr>
      <w:bookmarkStart w:name="heading_48" w:id="48"/>
      <w:r>
        <w:rPr>
          <w:rFonts w:eastAsia="等线" w:ascii="Arial" w:cs="Arial" w:hAnsi="Arial"/>
          <w:color w:val="3370ff"/>
          <w:sz w:val="30"/>
        </w:rPr>
        <w:t xml:space="preserve">6.2.4 </w:t>
      </w:r>
      <w:r>
        <w:rPr>
          <w:rFonts w:eastAsia="等线" w:ascii="Arial" w:cs="Arial" w:hAnsi="Arial"/>
          <w:b w:val="true"/>
          <w:sz w:val="30"/>
        </w:rPr>
        <w:t>Phase 3：开阔地带的"通勤"——纯粹的物理过渡</w:t>
      </w:r>
      <w:bookmarkEnd w:id="48"/>
    </w:p>
    <w:p>
      <w:pPr>
        <w:spacing w:before="120" w:after="120" w:line="288" w:lineRule="auto"/>
        <w:ind w:left="0"/>
        <w:jc w:val="left"/>
      </w:pPr>
      <w:r>
        <w:rPr>
          <w:rFonts w:eastAsia="等线" w:ascii="Arial" w:cs="Arial" w:hAnsi="Arial"/>
          <w:sz w:val="22"/>
        </w:rPr>
        <w:t>一旦 Agent A 成功绕过墙壁（进入 P3，post-wall），游戏的剩余部分首先呈现出一个与 Phase 1 和 Phase 2 都不同的特征：</w:t>
      </w:r>
      <w:r>
        <w:rPr>
          <w:rFonts w:eastAsia="等线" w:ascii="Arial" w:cs="Arial" w:hAnsi="Arial"/>
          <w:b w:val="true"/>
          <w:sz w:val="22"/>
        </w:rPr>
        <w:t>物理过渡</w:t>
      </w:r>
      <w:r>
        <w:rPr>
          <w:rFonts w:eastAsia="等线" w:ascii="Arial" w:cs="Arial" w:hAnsi="Arial"/>
          <w:sz w:val="22"/>
        </w:rPr>
        <w:t>。</w:t>
      </w:r>
    </w:p>
    <w:p>
      <w:pPr>
        <w:spacing w:before="120" w:after="120" w:line="288" w:lineRule="auto"/>
        <w:ind w:left="0"/>
        <w:jc w:val="center"/>
      </w:pPr>
      <w:r>
        <w:drawing>
          <wp:inline distT="0" distR="0" distB="0" distL="0">
            <wp:extent cx="5257800" cy="38385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9"/>
                    <a:stretch>
                      <a:fillRect/>
                    </a:stretch>
                  </pic:blipFill>
                  <pic:spPr>
                    <a:xfrm>
                      <a:off x="0" y="0"/>
                      <a:ext cx="5257800" cy="38385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数据（进入该阶段的游戏）：</w:t>
      </w:r>
    </w:p>
    <w:p>
      <w:pPr>
        <w:spacing w:before="120" w:after="120" w:line="288" w:lineRule="auto"/>
        <w:ind w:left="0"/>
        <w:jc w:val="left"/>
      </w:pPr>
    </w:p>
    <w:p>
      <w:pPr>
        <w:numPr>
          <w:numId w:val="105"/>
        </w:numPr>
        <w:spacing w:before="120" w:after="120" w:line="288" w:lineRule="auto"/>
        <w:ind w:left="0"/>
        <w:jc w:val="left"/>
      </w:pPr>
      <w:r>
        <w:rPr>
          <w:rFonts w:eastAsia="等线" w:ascii="Arial" w:cs="Arial" w:hAnsi="Arial"/>
          <w:b w:val="true"/>
          <w:sz w:val="22"/>
        </w:rPr>
        <w:t>P3→P4 转化率</w:t>
      </w:r>
      <w:r>
        <w:rPr>
          <w:rFonts w:eastAsia="等线" w:ascii="Arial" w:cs="Arial" w:hAnsi="Arial"/>
          <w:sz w:val="22"/>
        </w:rPr>
        <w:t xml:space="preserve">：Flash </w:t>
      </w:r>
      <w:r>
        <w:rPr>
          <w:rFonts w:eastAsia="等线" w:ascii="Arial" w:cs="Arial" w:hAnsi="Arial"/>
          <w:b w:val="true"/>
          <w:sz w:val="22"/>
        </w:rPr>
        <w:t>97.7%</w:t>
      </w:r>
      <w:r>
        <w:rPr>
          <w:rFonts w:eastAsia="等线" w:ascii="Arial" w:cs="Arial" w:hAnsi="Arial"/>
          <w:sz w:val="22"/>
        </w:rPr>
        <w:t xml:space="preserve">（170/174），Pro </w:t>
      </w:r>
      <w:r>
        <w:rPr>
          <w:rFonts w:eastAsia="等线" w:ascii="Arial" w:cs="Arial" w:hAnsi="Arial"/>
          <w:b w:val="true"/>
          <w:sz w:val="22"/>
        </w:rPr>
        <w:t>99.4%</w:t>
      </w:r>
      <w:r>
        <w:rPr>
          <w:rFonts w:eastAsia="等线" w:ascii="Arial" w:cs="Arial" w:hAnsi="Arial"/>
          <w:sz w:val="22"/>
        </w:rPr>
        <w:t>（311/313）。只要成功过墙，Agent 几乎必然能到达目标感知范围（进入 hunt 阶段）。</w:t>
      </w:r>
    </w:p>
    <w:p>
      <w:pPr>
        <w:numPr>
          <w:numId w:val="106"/>
        </w:numPr>
        <w:spacing w:before="120" w:after="120" w:line="288" w:lineRule="auto"/>
        <w:ind w:left="0"/>
        <w:jc w:val="left"/>
      </w:pPr>
      <w:r>
        <w:rPr>
          <w:rFonts w:eastAsia="等线" w:ascii="Arial" w:cs="Arial" w:hAnsi="Arial"/>
          <w:b w:val="true"/>
          <w:sz w:val="22"/>
        </w:rPr>
        <w:t>P3 阶段平均持续回合数</w:t>
      </w:r>
      <w:r>
        <w:rPr>
          <w:rFonts w:eastAsia="等线" w:ascii="Arial" w:cs="Arial" w:hAnsi="Arial"/>
          <w:sz w:val="22"/>
        </w:rPr>
        <w:t xml:space="preserve">：约 </w:t>
      </w:r>
      <w:r>
        <w:rPr>
          <w:rFonts w:eastAsia="等线" w:ascii="Arial" w:cs="Arial" w:hAnsi="Arial"/>
          <w:b w:val="true"/>
          <w:sz w:val="22"/>
        </w:rPr>
        <w:t>1 回合</w:t>
      </w:r>
      <w:r>
        <w:rPr>
          <w:rFonts w:eastAsia="等线" w:ascii="Arial" w:cs="Arial" w:hAnsi="Arial"/>
          <w:sz w:val="22"/>
        </w:rPr>
        <w:t>（中位数 1），与预算无关。过墙后 Agent 立即进入开阔地带，从墙后位置（x≈28）到视野触发距离（distance≤10）只需要一次移动。</w:t>
      </w:r>
    </w:p>
    <w:p>
      <w:pPr>
        <w:spacing w:before="120" w:after="120" w:line="288" w:lineRule="auto"/>
        <w:ind w:left="453"/>
        <w:jc w:val="left"/>
      </w:pPr>
    </w:p>
    <w:p>
      <w:pPr>
        <w:spacing w:before="120" w:after="120" w:line="288" w:lineRule="auto"/>
        <w:ind w:left="0"/>
        <w:jc w:val="left"/>
      </w:pPr>
      <w:r>
        <w:rPr>
          <w:rFonts w:eastAsia="等线" w:ascii="Arial" w:cs="Arial" w:hAnsi="Arial"/>
          <w:sz w:val="22"/>
        </w:rPr>
        <w:t>P3 的预算弹性为零，这很容易理解：过墙后 Agent A 与 Agent B 之间已经没有物理障碍，Agent 只需要朝目标方向直线移动即可。这一阶段的认知复杂度甚至低于 P1（P1 还需要"找到墙的方向"）。</w:t>
      </w:r>
    </w:p>
    <w:p>
      <w:pPr>
        <w:spacing w:before="120" w:after="120" w:line="288" w:lineRule="auto"/>
        <w:ind w:left="0"/>
        <w:jc w:val="left"/>
      </w:pPr>
    </w:p>
    <w:p>
      <w:pPr>
        <w:pStyle w:val="3"/>
        <w:spacing w:before="300" w:after="120" w:line="288" w:lineRule="auto"/>
        <w:ind w:left="0"/>
        <w:jc w:val="left"/>
        <w:outlineLvl w:val="2"/>
      </w:pPr>
      <w:bookmarkStart w:name="heading_49" w:id="49"/>
      <w:r>
        <w:rPr>
          <w:rFonts w:eastAsia="等线" w:ascii="Arial" w:cs="Arial" w:hAnsi="Arial"/>
          <w:color w:val="3370ff"/>
          <w:sz w:val="30"/>
        </w:rPr>
        <w:t xml:space="preserve">6.2.5 </w:t>
      </w:r>
      <w:r>
        <w:rPr>
          <w:rFonts w:eastAsia="等线" w:ascii="Arial" w:cs="Arial" w:hAnsi="Arial"/>
          <w:b w:val="true"/>
          <w:sz w:val="30"/>
        </w:rPr>
        <w:t>Phase 4：Hunt 阶段的"先后手博弈"——被忽视的策略黑洞</w:t>
      </w:r>
      <w:bookmarkEnd w:id="49"/>
    </w:p>
    <w:p>
      <w:pPr>
        <w:spacing w:before="120" w:after="120" w:line="288" w:lineRule="auto"/>
        <w:ind w:left="0"/>
        <w:jc w:val="left"/>
      </w:pPr>
      <w:r>
        <w:rPr>
          <w:rFonts w:eastAsia="等线" w:ascii="Arial" w:cs="Arial" w:hAnsi="Arial"/>
          <w:sz w:val="22"/>
        </w:rPr>
        <w:t>P4（hunt）是本研究中最具戏剧性的发现。</w:t>
      </w:r>
      <w:r>
        <w:rPr>
          <w:rFonts w:eastAsia="等线" w:ascii="Arial" w:cs="Arial" w:hAnsi="Arial"/>
          <w:b w:val="true"/>
          <w:sz w:val="22"/>
        </w:rPr>
        <w:t>表面上看，P4 是"Agent A 追击静止目标 B"的简单场景；其实游戏设计中，P4 隐藏着一个精妙的非对称博弈结构。</w:t>
      </w:r>
    </w:p>
    <w:p>
      <w:pPr>
        <w:spacing w:before="120" w:after="120" w:line="288" w:lineRule="auto"/>
        <w:ind w:left="0"/>
        <w:jc w:val="center"/>
      </w:pPr>
      <w:r>
        <w:drawing>
          <wp:inline distT="0" distR="0" distB="0" distL="0">
            <wp:extent cx="5257800" cy="38385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0"/>
                    <a:stretch>
                      <a:fillRect/>
                    </a:stretch>
                  </pic:blipFill>
                  <pic:spPr>
                    <a:xfrm>
                      <a:off x="0" y="0"/>
                      <a:ext cx="5257800" cy="38385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但最终的残酷真相是：LLM Agent 完全没有涌现出应对这一博弈的策略能力。</w:t>
      </w:r>
    </w:p>
    <w:p>
      <w:pPr>
        <w:pStyle w:val="4"/>
        <w:spacing w:before="260" w:after="120" w:line="288" w:lineRule="auto"/>
        <w:ind w:left="0"/>
        <w:jc w:val="left"/>
        <w:outlineLvl w:val="3"/>
      </w:pPr>
      <w:bookmarkStart w:name="heading_50" w:id="50"/>
      <w:r>
        <w:rPr>
          <w:rFonts w:eastAsia="等线" w:ascii="Arial" w:cs="Arial" w:hAnsi="Arial"/>
          <w:color w:val="3370ff"/>
          <w:sz w:val="28"/>
        </w:rPr>
        <w:t xml:space="preserve">6.2.5.1 </w:t>
      </w:r>
      <w:r>
        <w:rPr>
          <w:rFonts w:eastAsia="等线" w:ascii="Arial" w:cs="Arial" w:hAnsi="Arial"/>
          <w:b w:val="true"/>
          <w:sz w:val="28"/>
        </w:rPr>
        <w:t>P4 的博弈结构</w:t>
      </w:r>
      <w:bookmarkEnd w:id="5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此处仅作简要说明，详细见第五章节</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P4 的非对称性体现在三个维度：</w:t>
      </w:r>
    </w:p>
    <w:p>
      <w:pPr>
        <w:numPr>
          <w:numId w:val="107"/>
        </w:numPr>
        <w:spacing w:before="120" w:after="120" w:line="288" w:lineRule="auto"/>
        <w:ind w:left="0"/>
        <w:jc w:val="left"/>
      </w:pPr>
      <w:r>
        <w:rPr>
          <w:rFonts w:eastAsia="等线" w:ascii="Arial" w:cs="Arial" w:hAnsi="Arial"/>
          <w:b w:val="true"/>
          <w:sz w:val="22"/>
        </w:rPr>
        <w:t>捕获半径非对称</w:t>
      </w:r>
      <w:r>
        <w:rPr>
          <w:rFonts w:eastAsia="等线" w:ascii="Arial" w:cs="Arial" w:hAnsi="Arial"/>
          <w:sz w:val="22"/>
        </w:rPr>
        <w:t>：Agent A 捕获半径 0.5，Agent B（静止目标）捕获半径 3.0——是 A 的 6 倍</w:t>
      </w:r>
    </w:p>
    <w:p>
      <w:pPr>
        <w:numPr>
          <w:numId w:val="108"/>
        </w:numPr>
        <w:spacing w:before="120" w:after="120" w:line="288" w:lineRule="auto"/>
        <w:ind w:left="0"/>
        <w:jc w:val="left"/>
      </w:pPr>
      <w:r>
        <w:rPr>
          <w:rFonts w:eastAsia="等线" w:ascii="Arial" w:cs="Arial" w:hAnsi="Arial"/>
          <w:b w:val="true"/>
          <w:sz w:val="22"/>
        </w:rPr>
        <w:t>回合顺序非对称</w:t>
      </w:r>
      <w:r>
        <w:rPr>
          <w:rFonts w:eastAsia="等线" w:ascii="Arial" w:cs="Arial" w:hAnsi="Arial"/>
          <w:sz w:val="22"/>
        </w:rPr>
        <w:t>：ALTERNATING 模式下，奇数轮 A 先手，偶数轮 B 先手</w:t>
      </w:r>
    </w:p>
    <w:p>
      <w:pPr>
        <w:numPr>
          <w:numId w:val="109"/>
        </w:numPr>
        <w:spacing w:before="120" w:after="120" w:line="288" w:lineRule="auto"/>
        <w:ind w:left="0"/>
        <w:jc w:val="left"/>
      </w:pPr>
      <w:r>
        <w:rPr>
          <w:rFonts w:eastAsia="等线" w:ascii="Arial" w:cs="Arial" w:hAnsi="Arial"/>
          <w:b w:val="true"/>
          <w:sz w:val="22"/>
        </w:rPr>
        <w:t>先手优势逆转</w:t>
      </w:r>
      <w:r>
        <w:rPr>
          <w:rFonts w:eastAsia="等线" w:ascii="Arial" w:cs="Arial" w:hAnsi="Arial"/>
          <w:sz w:val="22"/>
        </w:rPr>
        <w:t xml:space="preserve">：B-first 轮次中，B 在 A 移动前就进行捕获检查——如果 A 在 B-first 轮开始时距离 ≤ 3.0，A </w:t>
      </w:r>
      <w:r>
        <w:rPr>
          <w:rFonts w:eastAsia="等线" w:ascii="Arial" w:cs="Arial" w:hAnsi="Arial"/>
          <w:b w:val="true"/>
          <w:sz w:val="22"/>
        </w:rPr>
        <w:t>当场死亡，连移动机会都没有</w:t>
      </w:r>
    </w:p>
    <w:p>
      <w:pPr>
        <w:spacing w:before="120" w:after="120" w:line="288" w:lineRule="auto"/>
        <w:ind w:left="0"/>
        <w:jc w:val="left"/>
      </w:pPr>
      <w:r>
        <w:rPr>
          <w:rFonts w:eastAsia="等线" w:ascii="Arial" w:cs="Arial" w:hAnsi="Arial"/>
          <w:sz w:val="22"/>
        </w:rPr>
        <w:t>这创造了一个极其精密的战术空间：A 必须在 B-first 轮结束时接近到距离 ≈ 2.0（处于"灰色安全区"），然后在下一个 A-first 轮中一击必杀（从 2.0 移动到 0.0）。如果 A 缺乏这种"时序意识"，在 A-first 轮中贸然接近到 (0.5, 3.0] 区间，B 会在同一轮次中反杀 A。</w:t>
      </w:r>
    </w:p>
    <w:p>
      <w:pPr>
        <w:spacing w:before="120" w:after="120" w:line="288" w:lineRule="auto"/>
        <w:ind w:left="0"/>
        <w:jc w:val="left"/>
      </w:pPr>
    </w:p>
    <w:p>
      <w:pPr>
        <w:pStyle w:val="4"/>
        <w:spacing w:before="260" w:after="120" w:line="288" w:lineRule="auto"/>
        <w:ind w:left="0"/>
        <w:jc w:val="left"/>
        <w:outlineLvl w:val="3"/>
      </w:pPr>
      <w:bookmarkStart w:name="heading_51" w:id="51"/>
      <w:r>
        <w:rPr>
          <w:rFonts w:eastAsia="等线" w:ascii="Arial" w:cs="Arial" w:hAnsi="Arial"/>
          <w:color w:val="3370ff"/>
          <w:sz w:val="28"/>
        </w:rPr>
        <w:t xml:space="preserve">6.2.5.2 </w:t>
      </w:r>
      <w:r>
        <w:rPr>
          <w:rFonts w:eastAsia="等线" w:ascii="Arial" w:cs="Arial" w:hAnsi="Arial"/>
          <w:b w:val="true"/>
          <w:sz w:val="28"/>
        </w:rPr>
        <w:t>数据发现的"奇偶性决定论"</w:t>
      </w:r>
      <w:bookmarkEnd w:id="51"/>
    </w:p>
    <w:p>
      <w:pPr>
        <w:spacing w:before="120" w:after="120" w:line="288" w:lineRule="auto"/>
        <w:ind w:left="0"/>
        <w:jc w:val="left"/>
      </w:pPr>
      <w:r>
        <w:rPr>
          <w:rFonts w:eastAsia="等线" w:ascii="Arial" w:cs="Arial" w:hAnsi="Arial"/>
          <w:sz w:val="22"/>
        </w:rPr>
        <w:t>分析所有进入 P4 的游戏（Flash N=171，Pro N=316），发现了一个令人震惊的模式：</w:t>
      </w:r>
    </w:p>
    <w:p>
      <w:pPr>
        <w:spacing w:before="120" w:after="120" w:line="288" w:lineRule="auto"/>
        <w:ind w:left="0"/>
        <w:jc w:val="left"/>
      </w:pPr>
      <w:r>
        <w:rPr>
          <w:rFonts w:eastAsia="等线" w:ascii="Arial" w:cs="Arial" w:hAnsi="Arial"/>
          <w:b w:val="true"/>
          <w:sz w:val="22"/>
        </w:rPr>
        <w:t>Flash P4 胜负由轮次奇偶性决定：</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45"/>
        <w:gridCol w:w="1545"/>
        <w:gridCol w:w="1545"/>
        <w:gridCol w:w="1545"/>
        <w:gridCol w:w="2100"/>
      </w:tblGrid>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P4 起始轮次</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胜率</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胜率</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典型距离序列</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A-first</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89.0%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8.0 → 5.0 → 2.0 → </w:t>
            </w:r>
            <w:r>
              <w:rPr>
                <w:rFonts w:eastAsia="等线" w:ascii="Arial" w:cs="Arial" w:hAnsi="Arial"/>
                <w:b w:val="true"/>
                <w:sz w:val="22"/>
              </w:rPr>
              <w:t>0.0（A 胜）</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B-first</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18.8%</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78.8%</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8.0 → 5.0 → </w:t>
            </w:r>
            <w:r>
              <w:rPr>
                <w:rFonts w:eastAsia="等线" w:ascii="Arial" w:cs="Arial" w:hAnsi="Arial"/>
                <w:b w:val="true"/>
                <w:sz w:val="22"/>
              </w:rPr>
              <w:t>2.0（B 胜）</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卡方检验</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χ²=87.6, p&lt;.0001</w:t>
            </w:r>
          </w:p>
        </w:tc>
        <w:tc>
          <w:tcPr>
            <w:tcW w:w="1545" w:type="dxa"/>
            <w:tcMar>
              <w:top w:type="dxa" w:w="60"/>
              <w:left w:type="dxa" w:w="120"/>
              <w:bottom w:type="dxa" w:w="30"/>
              <w:right w:type="dxa" w:w="120"/>
            </w:tcMar>
          </w:tcPr>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Pro 复现了同一模式：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P4 起始轮次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胜率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胜率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A-first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B-first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38.9%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卡方检验</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χ²=65.4, p&lt;.0001</w:t>
            </w:r>
          </w:p>
        </w:tc>
        <w:tc>
          <w:tcPr>
            <w:tcW w:w="20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控制起始距离在 7-9 区间（最常见的 P4 入口）后，结论更加清晰：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起始距离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A-first A 胜率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B-first A 胜率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88.0%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12.5%</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88.5%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15.7%</w:t>
            </w:r>
          </w:p>
        </w:tc>
      </w:tr>
    </w:tbl>
    <w:p>
      <w:pPr>
        <w:spacing w:before="120" w:after="120" w:line="288" w:lineRule="auto"/>
        <w:ind w:left="0"/>
        <w:jc w:val="left"/>
      </w:pPr>
      <w:r>
        <w:rPr>
          <w:rFonts w:eastAsia="等线" w:ascii="Arial" w:cs="Arial" w:hAnsi="Arial"/>
          <w:b w:val="true"/>
          <w:sz w:val="22"/>
        </w:rPr>
        <w:t>在同一距离区间内，仅因轮次奇偶性不同，A 的胜率从约 88% 暴跌至约 14%。</w:t>
      </w:r>
    </w:p>
    <w:p>
      <w:pPr>
        <w:spacing w:before="120" w:after="120" w:line="288" w:lineRule="auto"/>
        <w:ind w:left="0"/>
        <w:jc w:val="left"/>
      </w:pPr>
    </w:p>
    <w:p>
      <w:pPr>
        <w:pStyle w:val="4"/>
        <w:spacing w:before="260" w:after="120" w:line="288" w:lineRule="auto"/>
        <w:ind w:left="0"/>
        <w:jc w:val="left"/>
        <w:outlineLvl w:val="3"/>
      </w:pPr>
      <w:bookmarkStart w:name="heading_52" w:id="52"/>
      <w:r>
        <w:rPr>
          <w:rFonts w:eastAsia="等线" w:ascii="Arial" w:cs="Arial" w:hAnsi="Arial"/>
          <w:color w:val="3370ff"/>
          <w:sz w:val="28"/>
        </w:rPr>
        <w:t xml:space="preserve">6.2.5.3 </w:t>
      </w:r>
      <w:r>
        <w:rPr>
          <w:rFonts w:eastAsia="等线" w:ascii="Arial" w:cs="Arial" w:hAnsi="Arial"/>
          <w:b w:val="true"/>
          <w:sz w:val="28"/>
        </w:rPr>
        <w:t>"2.0"的数学来源</w:t>
      </w:r>
      <w:bookmarkEnd w:id="52"/>
    </w:p>
    <w:p>
      <w:pPr>
        <w:spacing w:before="120" w:after="120" w:line="288" w:lineRule="auto"/>
        <w:ind w:left="0"/>
        <w:jc w:val="left"/>
      </w:pPr>
      <w:r>
        <w:rPr>
          <w:rFonts w:eastAsia="等线" w:ascii="Arial" w:cs="Arial" w:hAnsi="Arial"/>
          <w:sz w:val="22"/>
        </w:rPr>
        <w:t>"2.0"不是经验观察值，而是由地图几何严格推导的必然结果：</w:t>
      </w:r>
    </w:p>
    <w:p>
      <w:pPr>
        <w:numPr>
          <w:numId w:val="110"/>
        </w:numPr>
        <w:spacing w:before="120" w:after="120" w:line="288" w:lineRule="auto"/>
        <w:ind w:left="0"/>
        <w:jc w:val="left"/>
      </w:pPr>
      <w:r>
        <w:rPr>
          <w:rFonts w:eastAsia="等线" w:ascii="Arial" w:cs="Arial" w:hAnsi="Arial"/>
          <w:sz w:val="22"/>
        </w:rPr>
        <w:t xml:space="preserve">P4 典型入口距离：Agent A 过墙后位置约 $(28, y)$，Agent B 位置 $(40, 15)$，距离约 </w:t>
      </w:r>
      <w:r>
        <w:rPr>
          <w:rFonts w:eastAsia="等线" w:ascii="Arial" w:cs="Arial" w:hAnsi="Arial"/>
          <w:sz w:val="22"/>
        </w:rPr>
      </w:r>
      <m:oMathPara>
        <m:oMathParaPr>
          <m:jc m:val="left"/>
        </m:oMathParaPr>
        <m:oMath xmlns:mml="http://www.w3.org/1998/Math/MathML">
          <m:r>
            <w:rPr>
              <w:rFonts w:ascii="Cambria Math" w:hAnsi="Cambria Math"/>
            </w:rPr>
            <m:t>7∼9</m:t>
          </m:r>
        </m:oMath>
      </m:oMathPara>
    </w:p>
    <w:p>
      <w:pPr>
        <w:numPr>
          <w:numId w:val="111"/>
        </w:numPr>
        <w:spacing w:before="120" w:after="120" w:line="288" w:lineRule="auto"/>
        <w:ind w:left="0"/>
        <w:jc w:val="left"/>
      </w:pPr>
      <w:r>
        <w:rPr>
          <w:rFonts w:eastAsia="等线" w:ascii="Arial" w:cs="Arial" w:hAnsi="Arial"/>
          <w:sz w:val="22"/>
        </w:rPr>
        <w:t>Agent A 每轮直线移动 3.0（move_step=3.0）</w:t>
      </w:r>
    </w:p>
    <w:p>
      <w:pPr>
        <w:numPr>
          <w:numId w:val="112"/>
        </w:numPr>
        <w:spacing w:before="120" w:after="120" w:line="288" w:lineRule="auto"/>
        <w:ind w:left="0"/>
        <w:jc w:val="left"/>
      </w:pPr>
      <w:r>
        <w:rPr>
          <w:rFonts w:eastAsia="等线" w:ascii="Arial" w:cs="Arial" w:hAnsi="Arial"/>
          <w:sz w:val="22"/>
        </w:rPr>
        <w:t>从 8.0 开始，两轮各减 3.0：</w:t>
      </w:r>
      <w:r>
        <w:rPr>
          <w:rFonts w:eastAsia="等线" w:ascii="Arial" w:cs="Arial" w:hAnsi="Arial"/>
          <w:sz w:val="22"/>
        </w:rPr>
      </w:r>
      <m:oMathPara>
        <m:oMathParaPr>
          <m:jc m:val="left"/>
        </m:oMathParaPr>
        <m:oMath xmlns:mml="http://www.w3.org/1998/Math/MathML">
          <m:r>
            <w:rPr>
              <w:rFonts w:ascii="Cambria Math" w:hAnsi="Cambria Math"/>
            </w:rPr>
            <m:t>8.0−3.0−3.0=</m:t>
          </m:r>
          <m:r>
            <m:rPr>
              <m:sty m:val="b"/>
            </m:rPr>
            <w:rPr>
              <w:rFonts w:ascii="Cambria Math" w:hAnsi="Cambria Math"/>
            </w:rPr>
            <m:t>2.0</m:t>
          </m:r>
        </m:oMath>
      </m:oMathPara>
    </w:p>
    <w:p>
      <w:pPr>
        <w:spacing w:before="120" w:after="120" w:line="288" w:lineRule="auto"/>
        <w:ind w:left="0"/>
        <w:jc w:val="left"/>
      </w:pPr>
      <w:r>
        <w:rPr>
          <w:rFonts w:eastAsia="等线" w:ascii="Arial" w:cs="Arial" w:hAnsi="Arial"/>
          <w:sz w:val="22"/>
        </w:rPr>
        <w:t>因此，</w:t>
      </w:r>
    </w:p>
    <w:p>
      <w:pPr>
        <w:spacing w:before="120" w:after="120" w:line="288" w:lineRule="auto"/>
        <w:ind w:left="0"/>
        <w:jc w:val="left"/>
      </w:pPr>
      <w:r>
        <w:rPr>
          <w:rFonts w:eastAsia="等线" w:ascii="Arial" w:cs="Arial" w:hAnsi="Arial"/>
          <w:sz w:val="22"/>
        </w:rPr>
        <w:t xml:space="preserve">2.0 处于 </w:t>
      </w:r>
      <w:r>
        <w:rPr>
          <w:rFonts w:eastAsia="等线" w:ascii="Arial" w:cs="Arial" w:hAnsi="Arial"/>
          <w:sz w:val="22"/>
        </w:rPr>
      </w:r>
      <m:oMathPara>
        <m:oMathParaPr>
          <m:jc m:val="left"/>
        </m:oMathParaPr>
        <m:oMath xmlns:mml="http://www.w3.org/1998/Math/MathML">
          <m:r>
            <w:rPr>
              <w:rFonts w:ascii="Cambria Math" w:hAnsi="Cambria Math"/>
            </w:rPr>
            <m:t>(0.5,3.0]</m:t>
          </m:r>
        </m:oMath>
      </m:oMathPara>
      <w:r>
        <w:rPr>
          <w:rFonts w:eastAsia="等线" w:ascii="Arial" w:cs="Arial" w:hAnsi="Arial"/>
          <w:sz w:val="22"/>
        </w:rPr>
        <w:t xml:space="preserve"> 区间，是 P4 博弈的"灰色地带"：</w:t>
      </w:r>
    </w:p>
    <w:p>
      <w:pPr>
        <w:numPr>
          <w:numId w:val="113"/>
        </w:numPr>
        <w:spacing w:before="120" w:after="120" w:line="288" w:lineRule="auto"/>
        <w:ind w:left="0"/>
        <w:jc w:val="left"/>
      </w:pPr>
      <w:r>
        <w:rPr>
          <w:rFonts w:eastAsia="等线" w:ascii="Arial" w:cs="Arial" w:hAnsi="Arial"/>
          <w:sz w:val="22"/>
        </w:rPr>
        <w:t xml:space="preserve">在 </w:t>
      </w:r>
      <w:r>
        <w:rPr>
          <w:rFonts w:eastAsia="等线" w:ascii="Arial" w:cs="Arial" w:hAnsi="Arial"/>
          <w:b w:val="true"/>
          <w:sz w:val="22"/>
        </w:rPr>
        <w:t>B-first 轮次</w:t>
      </w:r>
      <w:r>
        <w:rPr>
          <w:rFonts w:eastAsia="等线" w:ascii="Arial" w:cs="Arial" w:hAnsi="Arial"/>
          <w:sz w:val="22"/>
        </w:rPr>
        <w:t>中，2.0 是</w:t>
      </w:r>
      <w:r>
        <w:rPr>
          <w:rFonts w:eastAsia="等线" w:ascii="Arial" w:cs="Arial" w:hAnsi="Arial"/>
          <w:b w:val="true"/>
          <w:sz w:val="22"/>
        </w:rPr>
        <w:t>安全</w:t>
      </w:r>
      <w:r>
        <w:rPr>
          <w:rFonts w:eastAsia="等线" w:ascii="Arial" w:cs="Arial" w:hAnsi="Arial"/>
          <w:sz w:val="22"/>
        </w:rPr>
        <w:t>的（B 在 A 移动前已经检查过了，基于 5.0 的距离）</w:t>
      </w:r>
    </w:p>
    <w:p>
      <w:pPr>
        <w:numPr>
          <w:numId w:val="114"/>
        </w:numPr>
        <w:spacing w:before="120" w:after="120" w:line="288" w:lineRule="auto"/>
        <w:ind w:left="0"/>
        <w:jc w:val="left"/>
      </w:pPr>
      <w:r>
        <w:rPr>
          <w:rFonts w:eastAsia="等线" w:ascii="Arial" w:cs="Arial" w:hAnsi="Arial"/>
          <w:sz w:val="22"/>
        </w:rPr>
        <w:t xml:space="preserve">在 </w:t>
      </w:r>
      <w:r>
        <w:rPr>
          <w:rFonts w:eastAsia="等线" w:ascii="Arial" w:cs="Arial" w:hAnsi="Arial"/>
          <w:b w:val="true"/>
          <w:sz w:val="22"/>
        </w:rPr>
        <w:t>A-first 轮次</w:t>
      </w:r>
      <w:r>
        <w:rPr>
          <w:rFonts w:eastAsia="等线" w:ascii="Arial" w:cs="Arial" w:hAnsi="Arial"/>
          <w:sz w:val="22"/>
        </w:rPr>
        <w:t>中，2.0 是</w:t>
      </w:r>
      <w:r>
        <w:rPr>
          <w:rFonts w:eastAsia="等线" w:ascii="Arial" w:cs="Arial" w:hAnsi="Arial"/>
          <w:b w:val="true"/>
          <w:sz w:val="22"/>
        </w:rPr>
        <w:t>致命</w:t>
      </w:r>
      <w:r>
        <w:rPr>
          <w:rFonts w:eastAsia="等线" w:ascii="Arial" w:cs="Arial" w:hAnsi="Arial"/>
          <w:sz w:val="22"/>
        </w:rPr>
        <w:t>的（B 会在 A 移动后检查，2.0 ≤ 3.0，B 反杀）</w:t>
      </w:r>
    </w:p>
    <w:p>
      <w:pPr>
        <w:spacing w:before="120" w:after="120" w:line="288" w:lineRule="auto"/>
        <w:ind w:left="0"/>
        <w:jc w:val="left"/>
      </w:pPr>
      <w:r>
        <w:rPr>
          <w:rFonts w:eastAsia="等线" w:ascii="Arial" w:cs="Arial" w:hAnsi="Arial"/>
          <w:sz w:val="22"/>
        </w:rPr>
        <w:t xml:space="preserve">于是，A 能否获胜，本质上取决于"A 到达距离 2.0 时，当前轮次是 A-first 还是 B-first"。如果 P4 在 A-first 轮开始，序列是 A-first(8→5) → B-first(5→2) → </w:t>
      </w:r>
      <w:r>
        <w:rPr>
          <w:rFonts w:eastAsia="等线" w:ascii="Arial" w:cs="Arial" w:hAnsi="Arial"/>
          <w:b w:val="true"/>
          <w:sz w:val="22"/>
        </w:rPr>
        <w:t>A-first(2→0, 捕获)</w:t>
      </w:r>
      <w:r>
        <w:rPr>
          <w:rFonts w:eastAsia="等线" w:ascii="Arial" w:cs="Arial" w:hAnsi="Arial"/>
          <w:sz w:val="22"/>
        </w:rPr>
        <w:t xml:space="preserve"> → A 胜。如果 P4 在 B-first 轮开始，序列是 B-first(8→5) → </w:t>
      </w:r>
      <w:r>
        <w:rPr>
          <w:rFonts w:eastAsia="等线" w:ascii="Arial" w:cs="Arial" w:hAnsi="Arial"/>
          <w:b w:val="true"/>
          <w:sz w:val="22"/>
        </w:rPr>
        <w:t>A-first(5→2, B 捕获)</w:t>
      </w:r>
      <w:r>
        <w:rPr>
          <w:rFonts w:eastAsia="等线" w:ascii="Arial" w:cs="Arial" w:hAnsi="Arial"/>
          <w:sz w:val="22"/>
        </w:rPr>
        <w:t xml:space="preserve"> → B 胜。</w:t>
      </w:r>
    </w:p>
    <w:p>
      <w:pPr>
        <w:spacing w:before="120" w:after="120" w:line="288" w:lineRule="auto"/>
        <w:ind w:left="0"/>
        <w:jc w:val="left"/>
      </w:pPr>
    </w:p>
    <w:p>
      <w:pPr>
        <w:pStyle w:val="4"/>
        <w:spacing w:before="260" w:after="120" w:line="288" w:lineRule="auto"/>
        <w:ind w:left="0"/>
        <w:jc w:val="left"/>
        <w:outlineLvl w:val="3"/>
      </w:pPr>
      <w:bookmarkStart w:name="heading_53" w:id="53"/>
      <w:r>
        <w:rPr>
          <w:rFonts w:eastAsia="等线" w:ascii="Arial" w:cs="Arial" w:hAnsi="Arial"/>
          <w:color w:val="3370ff"/>
          <w:sz w:val="28"/>
        </w:rPr>
        <w:t xml:space="preserve">6.2.5.4 </w:t>
      </w:r>
      <w:r>
        <w:rPr>
          <w:rFonts w:eastAsia="等线" w:ascii="Arial" w:cs="Arial" w:hAnsi="Arial"/>
          <w:b w:val="true"/>
          <w:sz w:val="28"/>
        </w:rPr>
        <w:t>否定证据：LLM 没有涌现 P4 策略</w:t>
      </w:r>
      <w:bookmarkEnd w:id="53"/>
    </w:p>
    <w:p>
      <w:pPr>
        <w:spacing w:before="120" w:after="120" w:line="288" w:lineRule="auto"/>
        <w:ind w:left="0"/>
        <w:jc w:val="left"/>
      </w:pPr>
      <w:r>
        <w:rPr>
          <w:rFonts w:eastAsia="等线" w:ascii="Arial" w:cs="Arial" w:hAnsi="Arial"/>
          <w:sz w:val="22"/>
        </w:rPr>
        <w:t>如果 LLM 真的理解了 P4 的博弈结构，它应该在 B-first 轮次开始的 P4 中采取</w:t>
      </w:r>
      <w:r>
        <w:rPr>
          <w:rFonts w:eastAsia="等线" w:ascii="Arial" w:cs="Arial" w:hAnsi="Arial"/>
          <w:b w:val="true"/>
          <w:sz w:val="22"/>
        </w:rPr>
        <w:t>减速/等待策略</w:t>
      </w:r>
      <w:r>
        <w:rPr>
          <w:rFonts w:eastAsia="等线" w:ascii="Arial" w:cs="Arial" w:hAnsi="Arial"/>
          <w:sz w:val="22"/>
        </w:rPr>
        <w:t>——例如在第一轮只移动 1.0 单位，将 3 轮快攻改为 4 轮慢攻，避开 B-first 的危险窗口。但数据否定了这一点：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行为指标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 A 胜局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 B 胜局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P4 平均移动距离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"等待"比例（移动 &lt; 2.0）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r>
    </w:tbl>
    <w:p>
      <w:pPr>
        <w:spacing w:before="120" w:after="120" w:line="288" w:lineRule="auto"/>
        <w:ind w:left="0"/>
        <w:jc w:val="left"/>
      </w:pPr>
      <w:r>
        <w:rPr>
          <w:rFonts w:eastAsia="等线" w:ascii="Arial" w:cs="Arial" w:hAnsi="Arial"/>
          <w:sz w:val="22"/>
        </w:rPr>
        <w:t>A 在 P4 中几乎总是以最大速度（约 2.7-2.8，接近理论最大值 3.0）朝 B 移动。A 胜局中略高的"等待"比例（34% vs 17%）并非策略性的减速——定性分析显示，这些"等待"回合大多发生在 A-first 轮次中，伴随着较大的意图-行动偏差（logic_action_delta），表明是</w:t>
      </w:r>
      <w:r>
        <w:rPr>
          <w:rFonts w:eastAsia="等线" w:ascii="Arial" w:cs="Arial" w:hAnsi="Arial"/>
          <w:b w:val="true"/>
          <w:sz w:val="22"/>
        </w:rPr>
        <w:t>输出坐标不精确</w:t>
      </w:r>
      <w:r>
        <w:rPr>
          <w:rFonts w:eastAsia="等线" w:ascii="Arial" w:cs="Arial" w:hAnsi="Arial"/>
          <w:sz w:val="22"/>
        </w:rPr>
        <w:t>，而非有意识地控制距离。</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最关键的否定证据：预算对 P4 完全无效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 P4 A 胜率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P4 A 胜率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42.9%</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74.4%</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66.7%</w:t>
            </w:r>
          </w:p>
        </w:tc>
      </w:tr>
    </w:tbl>
    <w:p>
      <w:pPr>
        <w:spacing w:before="120" w:after="120" w:line="288" w:lineRule="auto"/>
        <w:ind w:left="0"/>
        <w:jc w:val="left"/>
      </w:pPr>
      <w:r>
        <w:rPr>
          <w:rFonts w:eastAsia="等线" w:ascii="Arial" w:cs="Arial" w:hAnsi="Arial"/>
          <w:sz w:val="22"/>
        </w:rPr>
        <w:t>P4 胜率随预算</w:t>
      </w:r>
      <w:r>
        <w:rPr>
          <w:rFonts w:eastAsia="等线" w:ascii="Arial" w:cs="Arial" w:hAnsi="Arial"/>
          <w:b w:val="true"/>
          <w:sz w:val="22"/>
        </w:rPr>
        <w:t>无任何单调趋势</w:t>
      </w:r>
      <w:r>
        <w:rPr>
          <w:rFonts w:eastAsia="等线" w:ascii="Arial" w:cs="Arial" w:hAnsi="Arial"/>
          <w:sz w:val="22"/>
        </w:rPr>
        <w:t>。如果高 token budget 能让 Agent "想得更深"并发展出 P4 策略，我们应该看到预算与 P4 胜率的正相关。但事实是，</w:t>
      </w:r>
      <w:r>
        <w:rPr>
          <w:rFonts w:eastAsia="等线" w:ascii="Arial" w:cs="Arial" w:hAnsi="Arial"/>
          <w:b w:val="true"/>
          <w:sz w:val="22"/>
        </w:rPr>
        <w:t>P4 胜率完全由进入 P4 时的轮次奇偶性决定，与预算无关</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54" w:id="54"/>
      <w:r>
        <w:rPr>
          <w:rFonts w:eastAsia="等线" w:ascii="Arial" w:cs="Arial" w:hAnsi="Arial"/>
          <w:color w:val="3370ff"/>
          <w:sz w:val="28"/>
        </w:rPr>
        <w:t xml:space="preserve">6.2.5.5 </w:t>
      </w:r>
      <w:r>
        <w:rPr>
          <w:rFonts w:eastAsia="等线" w:ascii="Arial" w:cs="Arial" w:hAnsi="Arial"/>
          <w:b w:val="true"/>
          <w:sz w:val="28"/>
        </w:rPr>
        <w:t>高预算没有涌现出更深度的策略</w:t>
      </w:r>
      <w:bookmarkEnd w:id="54"/>
    </w:p>
    <w:p>
      <w:pPr>
        <w:spacing w:before="120" w:after="120" w:line="288" w:lineRule="auto"/>
        <w:ind w:left="0"/>
        <w:jc w:val="left"/>
      </w:pPr>
      <w:r>
        <w:rPr>
          <w:rFonts w:eastAsia="等线" w:ascii="Arial" w:cs="Arial" w:hAnsi="Arial"/>
          <w:sz w:val="22"/>
        </w:rPr>
        <w:t>P4 的发现为本文的核心论点提供了一个</w:t>
      </w:r>
      <w:r>
        <w:rPr>
          <w:rFonts w:eastAsia="等线" w:ascii="Arial" w:cs="Arial" w:hAnsi="Arial"/>
          <w:b w:val="true"/>
          <w:sz w:val="22"/>
        </w:rPr>
        <w:t>否定性的、但同样重要的</w:t>
      </w:r>
      <w:r>
        <w:rPr>
          <w:rFonts w:eastAsia="等线" w:ascii="Arial" w:cs="Arial" w:hAnsi="Arial"/>
          <w:sz w:val="22"/>
        </w:rPr>
        <w:t>证据：</w:t>
      </w:r>
    </w:p>
    <w:p>
      <w:pPr>
        <w:numPr>
          <w:numId w:val="115"/>
        </w:numPr>
        <w:spacing w:before="120" w:after="120" w:line="288" w:lineRule="auto"/>
        <w:ind w:left="0"/>
        <w:jc w:val="left"/>
      </w:pPr>
      <w:r>
        <w:rPr>
          <w:rFonts w:eastAsia="等线" w:ascii="Arial" w:cs="Arial" w:hAnsi="Arial"/>
          <w:b w:val="true"/>
          <w:sz w:val="22"/>
        </w:rPr>
        <w:t>P4 的博弈结构比 P2 更复杂</w:t>
      </w:r>
      <w:r>
        <w:rPr>
          <w:rFonts w:eastAsia="等线" w:ascii="Arial" w:cs="Arial" w:hAnsi="Arial"/>
          <w:sz w:val="22"/>
        </w:rPr>
        <w:t>：先后手非对称、非对称捕获半径、距离时序控制——这些元素构成了一个教科书级的动态博弈问题。</w:t>
      </w:r>
    </w:p>
    <w:p>
      <w:pPr>
        <w:numPr>
          <w:numId w:val="116"/>
        </w:numPr>
        <w:spacing w:before="120" w:after="120" w:line="288" w:lineRule="auto"/>
        <w:ind w:left="0"/>
        <w:jc w:val="left"/>
      </w:pPr>
      <w:r>
        <w:rPr>
          <w:rFonts w:eastAsia="等线" w:ascii="Arial" w:cs="Arial" w:hAnsi="Arial"/>
          <w:b w:val="true"/>
          <w:sz w:val="22"/>
        </w:rPr>
        <w:t>但 LLM 完全没有涌现出应对策略</w:t>
      </w:r>
      <w:r>
        <w:rPr>
          <w:rFonts w:eastAsia="等线" w:ascii="Arial" w:cs="Arial" w:hAnsi="Arial"/>
          <w:sz w:val="22"/>
        </w:rPr>
        <w:t>：Agent 在 P4 的行为模式与在 P3 几乎相同——都是"直接朝目标移动"。P4 的胜负不是"策略执行"的结果，而是"几何巧合"的结果（起始距离恰好与轮次奇偶性对齐）。</w:t>
      </w:r>
    </w:p>
    <w:p>
      <w:pPr>
        <w:numPr>
          <w:numId w:val="117"/>
        </w:numPr>
        <w:spacing w:before="120" w:after="120" w:line="288" w:lineRule="auto"/>
        <w:ind w:left="0"/>
        <w:jc w:val="left"/>
      </w:pPr>
      <w:r>
        <w:rPr>
          <w:rFonts w:eastAsia="等线" w:ascii="Arial" w:cs="Arial" w:hAnsi="Arial"/>
          <w:b w:val="true"/>
          <w:sz w:val="22"/>
        </w:rPr>
        <w:t>Token budget 的提升无法突破这一边界</w:t>
      </w:r>
      <w:r>
        <w:rPr>
          <w:rFonts w:eastAsia="等线" w:ascii="Arial" w:cs="Arial" w:hAnsi="Arial"/>
          <w:sz w:val="22"/>
        </w:rPr>
        <w:t>：P4 胜率与预算无相关性，Thinking Mode（20000 tokens + 深度思考）在 P4 的表现与 2000 tokens 标准模式无显著差异（捕获成功率均在 80%+，但该成功率主要由 A-first 奇偶性驱动）。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结论：</w:t>
      </w:r>
    </w:p>
    <w:p>
      <w:pPr>
        <w:spacing w:before="120" w:after="120" w:line="288" w:lineRule="auto"/>
        <w:ind w:left="0"/>
        <w:jc w:val="left"/>
      </w:pPr>
      <w:r>
        <w:rPr>
          <w:rFonts w:eastAsia="等线" w:ascii="Arial" w:cs="Arial" w:hAnsi="Arial"/>
          <w:sz w:val="22"/>
        </w:rPr>
        <w:t>这一发现暗示了 LLM 智能涌现的一个潜在边界：</w:t>
      </w:r>
      <w:r>
        <w:rPr>
          <w:rFonts w:eastAsia="等线" w:ascii="Arial" w:cs="Arial" w:hAnsi="Arial"/>
          <w:b w:val="true"/>
          <w:sz w:val="22"/>
        </w:rPr>
        <w:t>LLM 可以在纯空间推理任务中展现从无能到有能力的跃升（P2 的绕行学习），但在需要利用离散博弈规则（先后手、非对称收益）的任务中，即使规则极为简单，也无法自发涌现出相应策略。</w:t>
      </w:r>
      <w:r>
        <w:rPr>
          <w:rFonts w:eastAsia="等线" w:ascii="Arial" w:cs="Arial" w:hAnsi="Arial"/>
          <w:sz w:val="22"/>
        </w:rPr>
        <w:t xml:space="preserve"> Token budget 的提升只能让 Agent "在已有能力上想得更久"，但不能让 Agent "想到全新的策略类型"。</w:t>
      </w:r>
    </w:p>
    <w:p>
      <w:pPr>
        <w:spacing w:before="120" w:after="120" w:line="288" w:lineRule="auto"/>
        <w:ind w:left="0"/>
        <w:jc w:val="left"/>
      </w:pPr>
      <w:r>
        <w:rPr>
          <w:rFonts w:eastAsia="等线" w:ascii="Arial" w:cs="Arial" w:hAnsi="Arial"/>
          <w:b w:val="true"/>
          <w:sz w:val="22"/>
        </w:rPr>
        <w:t>【工程实践指导意义】在给AI模型分配任务项时，应先判定AI模型是否具备该任务的处理能力，避免因为当前SOTA AI在原理上缺乏该种类型的任务处理能力而造成的资源（token）浪费</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5" w:id="55"/>
      <w:r>
        <w:rPr>
          <w:rFonts w:eastAsia="等线" w:ascii="Arial" w:cs="Arial" w:hAnsi="Arial"/>
          <w:color w:val="3370ff"/>
          <w:sz w:val="30"/>
        </w:rPr>
        <w:t xml:space="preserve">6.2.6 </w:t>
      </w:r>
      <w:r>
        <w:rPr>
          <w:rFonts w:eastAsia="等线" w:ascii="Arial" w:cs="Arial" w:hAnsi="Arial"/>
          <w:b w:val="true"/>
          <w:sz w:val="30"/>
        </w:rPr>
        <w:t>M1 模块的综合结论</w:t>
      </w:r>
      <w:bookmarkEnd w:id="55"/>
    </w:p>
    <w:p>
      <w:pPr>
        <w:spacing w:before="120" w:after="120" w:line="288" w:lineRule="auto"/>
        <w:ind w:left="0"/>
        <w:jc w:val="left"/>
      </w:pPr>
      <w:r>
        <w:rPr>
          <w:rFonts w:eastAsia="等线" w:ascii="Arial" w:cs="Arial" w:hAnsi="Arial"/>
          <w:sz w:val="22"/>
        </w:rPr>
        <w:t>Token 预算对 Agent 性能的影响是</w:t>
      </w:r>
      <w:r>
        <w:rPr>
          <w:rFonts w:eastAsia="等线" w:ascii="Arial" w:cs="Arial" w:hAnsi="Arial"/>
          <w:b w:val="true"/>
          <w:sz w:val="22"/>
        </w:rPr>
        <w:t>高度非均匀、高度阶段特异</w:t>
      </w:r>
      <w:r>
        <w:rPr>
          <w:rFonts w:eastAsia="等线" w:ascii="Arial" w:cs="Arial" w:hAnsi="Arial"/>
          <w:sz w:val="22"/>
        </w:rPr>
        <w:t>的：</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P1/P3</w:t>
      </w:r>
      <w:r>
        <w:rPr>
          <w:rFonts w:eastAsia="等线" w:ascii="Arial" w:cs="Arial" w:hAnsi="Arial"/>
          <w:sz w:val="22"/>
        </w:rPr>
        <w:t>：纯物理通勤，预算弹性为零</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P2</w:t>
      </w:r>
      <w:r>
        <w:rPr>
          <w:rFonts w:eastAsia="等线" w:ascii="Arial" w:cs="Arial" w:hAnsi="Arial"/>
          <w:sz w:val="22"/>
        </w:rPr>
        <w:t>：唯一的认知瓶颈，预算从 400 提升到 1200 可带来 50+ 百分点的过墙率跃升</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P4</w:t>
      </w:r>
      <w:r>
        <w:rPr>
          <w:rFonts w:eastAsia="等线" w:ascii="Arial" w:cs="Arial" w:hAnsi="Arial"/>
          <w:sz w:val="22"/>
        </w:rPr>
        <w:t>：理论上最需要策略的阶段，但 LLM 完全没有涌现出策略能力；P4 胜负被轮次奇偶性的随机因素主导，与预算无关</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从成本效益角度，</w:t>
      </w:r>
      <w:r>
        <w:rPr>
          <w:rFonts w:eastAsia="等线" w:ascii="Arial" w:cs="Arial" w:hAnsi="Arial"/>
          <w:b w:val="true"/>
          <w:sz w:val="22"/>
        </w:rPr>
        <w:t>1000-1200 tokens 是帕累托最优区间</w:t>
      </w:r>
      <w:r>
        <w:rPr>
          <w:rFonts w:eastAsia="等线" w:ascii="Arial" w:cs="Arial" w:hAnsi="Arial"/>
          <w:sz w:val="22"/>
        </w:rPr>
        <w:t>——在这个点上，Agent 已经获得了绝大多数可获得的绕墙能力，继续增加预算的边际胜率贡献趋近于零。</w:t>
      </w:r>
      <w:r>
        <w:rPr>
          <w:rFonts w:eastAsia="等线" w:ascii="Arial" w:cs="Arial" w:hAnsi="Arial"/>
          <w:b w:val="true"/>
          <w:sz w:val="22"/>
        </w:rPr>
        <w:t>更重要的是，继续增加预算也不会让 Agent 在 P4 展现出任何策略性行为</w:t>
      </w:r>
      <w:r>
        <w:rPr>
          <w:rFonts w:eastAsia="等线" w:ascii="Arial" w:cs="Arial" w:hAnsi="Arial"/>
          <w:sz w:val="22"/>
        </w:rPr>
        <w:t>——预算买的是"思考时间"，不是"策略深度"。</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56" w:id="56"/>
      <w:r>
        <w:rPr>
          <w:rFonts w:eastAsia="等线" w:ascii="Arial" w:cs="Arial" w:hAnsi="Arial"/>
          <w:color w:val="3370ff"/>
          <w:sz w:val="32"/>
        </w:rPr>
        <w:t xml:space="preserve">6.3 </w:t>
      </w:r>
      <w:r>
        <w:rPr>
          <w:rFonts w:eastAsia="等线" w:ascii="Arial" w:cs="Arial" w:hAnsi="Arial"/>
          <w:b w:val="true"/>
          <w:sz w:val="32"/>
        </w:rPr>
        <w:t>M2：平局的经济学——最昂贵的失败</w:t>
      </w:r>
      <w:bookmarkEnd w:id="56"/>
    </w:p>
    <w:p>
      <w:pPr>
        <w:spacing w:before="120" w:after="120" w:line="288" w:lineRule="auto"/>
        <w:ind w:left="0"/>
        <w:jc w:val="left"/>
      </w:pPr>
    </w:p>
    <w:p>
      <w:pPr>
        <w:pStyle w:val="3"/>
        <w:spacing w:before="300" w:after="120" w:line="288" w:lineRule="auto"/>
        <w:ind w:left="0"/>
        <w:jc w:val="left"/>
        <w:outlineLvl w:val="2"/>
      </w:pPr>
      <w:bookmarkStart w:name="heading_57" w:id="57"/>
      <w:r>
        <w:rPr>
          <w:rFonts w:eastAsia="等线" w:ascii="Arial" w:cs="Arial" w:hAnsi="Arial"/>
          <w:color w:val="3370ff"/>
          <w:sz w:val="30"/>
        </w:rPr>
        <w:t xml:space="preserve">6.3.1 </w:t>
      </w:r>
      <w:r>
        <w:rPr>
          <w:rFonts w:eastAsia="等线" w:ascii="Arial" w:cs="Arial" w:hAnsi="Arial"/>
          <w:b w:val="true"/>
          <w:sz w:val="30"/>
        </w:rPr>
        <w:t>三种结局的 Token 消耗分布</w:t>
      </w:r>
      <w:bookmarkEnd w:id="57"/>
    </w:p>
    <w:p>
      <w:pPr>
        <w:spacing w:before="120" w:after="120" w:line="288" w:lineRule="auto"/>
        <w:ind w:left="0"/>
        <w:jc w:val="left"/>
      </w:pPr>
    </w:p>
    <w:p>
      <w:pPr>
        <w:spacing w:before="120" w:after="120" w:line="288" w:lineRule="auto"/>
        <w:ind w:left="0"/>
        <w:jc w:val="left"/>
      </w:pPr>
      <w:r>
        <w:rPr>
          <w:rFonts w:eastAsia="等线" w:ascii="Arial" w:cs="Arial" w:hAnsi="Arial"/>
          <w:sz w:val="22"/>
        </w:rPr>
        <w:t>在分析预算效应时，一个容易被忽视但至关重要的维度是</w:t>
      </w:r>
      <w:r>
        <w:rPr>
          <w:rFonts w:eastAsia="等线" w:ascii="Arial" w:cs="Arial" w:hAnsi="Arial"/>
          <w:b w:val="true"/>
          <w:sz w:val="22"/>
        </w:rPr>
        <w:t>游戏结局</w:t>
      </w:r>
      <w:r>
        <w:rPr>
          <w:rFonts w:eastAsia="等线" w:ascii="Arial" w:cs="Arial" w:hAnsi="Arial"/>
          <w:sz w:val="22"/>
        </w:rPr>
        <w:t>。同样的 token 预算，可能因为游戏结局的不同而产生截然不同的"实际消耗"。</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DeepSeek Flash（全预算汇总，N=365）的结局 token 分布：</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05"/>
        <w:gridCol w:w="1605"/>
        <w:gridCol w:w="1875"/>
        <w:gridCol w:w="1605"/>
        <w:gridCol w:w="1605"/>
      </w:tblGrid>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结局类型</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局数</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单局总 token 消耗（中位数）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单局总 token 消耗（均值）</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单局回合数（中位数）</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A_Win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36,808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38,874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B_Win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35,534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38,248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Draw</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198</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65,958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66,065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50（上限）</w:t>
            </w:r>
          </w:p>
        </w:tc>
      </w:tr>
    </w:tbl>
    <w:p>
      <w:pPr>
        <w:spacing w:before="120" w:after="120" w:line="288" w:lineRule="auto"/>
        <w:ind w:left="0"/>
        <w:jc w:val="center"/>
      </w:pPr>
      <w:r>
        <w:drawing>
          <wp:inline distT="0" distR="0" distB="0" distL="0">
            <wp:extent cx="5257800" cy="34766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1"/>
                    <a:stretch>
                      <a:fillRect/>
                    </a:stretch>
                  </pic:blipFill>
                  <pic:spPr>
                    <a:xfrm>
                      <a:off x="0" y="0"/>
                      <a:ext cx="5257800" cy="34766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核心发现：平局游戏的 token 消耗是决胜游戏的约 1.8 倍（中位数比较：65,958 vs 36,808），但产出为零。</w:t>
      </w:r>
    </w:p>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color w:val="3370ff"/>
          <w:sz w:val="30"/>
        </w:rPr>
        <w:t xml:space="preserve">6.3.2 </w:t>
      </w:r>
      <w:r>
        <w:rPr>
          <w:rFonts w:eastAsia="等线" w:ascii="Arial" w:cs="Arial" w:hAnsi="Arial"/>
          <w:b w:val="true"/>
          <w:sz w:val="30"/>
        </w:rPr>
        <w:t>平局的"认知死亡螺旋"</w:t>
      </w:r>
      <w:bookmarkEnd w:id="58"/>
    </w:p>
    <w:p>
      <w:pPr>
        <w:spacing w:before="120" w:after="120" w:line="288" w:lineRule="auto"/>
        <w:ind w:left="0"/>
        <w:jc w:val="left"/>
      </w:pPr>
    </w:p>
    <w:p>
      <w:pPr>
        <w:spacing w:before="120" w:after="120" w:line="288" w:lineRule="auto"/>
        <w:ind w:left="0"/>
        <w:jc w:val="left"/>
      </w:pPr>
      <w:r>
        <w:rPr>
          <w:rFonts w:eastAsia="等线" w:ascii="Arial" w:cs="Arial" w:hAnsi="Arial"/>
          <w:sz w:val="22"/>
        </w:rPr>
        <w:t>为什么平局会消耗如此多的 token？通过追踪平局游戏的回合级轨迹，我们发现了一个**"认知死亡螺旋"**模式：</w:t>
      </w:r>
    </w:p>
    <w:p>
      <w:pPr>
        <w:spacing w:before="120" w:after="120" w:line="288" w:lineRule="auto"/>
        <w:ind w:left="0"/>
        <w:jc w:val="left"/>
      </w:pPr>
    </w:p>
    <w:p>
      <w:pPr>
        <w:numPr>
          <w:numId w:val="118"/>
        </w:numPr>
        <w:spacing w:before="120" w:after="120" w:line="288" w:lineRule="auto"/>
        <w:ind w:left="0"/>
        <w:jc w:val="left"/>
      </w:pPr>
      <w:r>
        <w:rPr>
          <w:rFonts w:eastAsia="等线" w:ascii="Arial" w:cs="Arial" w:hAnsi="Arial"/>
          <w:b w:val="true"/>
          <w:sz w:val="22"/>
        </w:rPr>
        <w:t>Phase 2 被困</w:t>
      </w:r>
      <w:r>
        <w:rPr>
          <w:rFonts w:eastAsia="等线" w:ascii="Arial" w:cs="Arial" w:hAnsi="Arial"/>
          <w:sz w:val="22"/>
        </w:rPr>
        <w:t>：Agent 在墙壁前无法找到绕行路径，进入反复的尝试-失败循环</w:t>
      </w:r>
    </w:p>
    <w:p>
      <w:pPr>
        <w:numPr>
          <w:numId w:val="119"/>
        </w:numPr>
        <w:spacing w:before="120" w:after="120" w:line="288" w:lineRule="auto"/>
        <w:ind w:left="0"/>
        <w:jc w:val="left"/>
      </w:pPr>
      <w:r>
        <w:rPr>
          <w:rFonts w:eastAsia="等线" w:ascii="Arial" w:cs="Arial" w:hAnsi="Arial"/>
          <w:b w:val="true"/>
          <w:sz w:val="22"/>
        </w:rPr>
        <w:t>Token 持续消耗</w:t>
      </w:r>
      <w:r>
        <w:rPr>
          <w:rFonts w:eastAsia="等线" w:ascii="Arial" w:cs="Arial" w:hAnsi="Arial"/>
          <w:sz w:val="22"/>
        </w:rPr>
        <w:t>：每一轮 Agent 都在"思考"如何绕过墙壁，输出冗长的推理链，但由于预算限制或策略固化，推理质量不提升</w:t>
      </w:r>
    </w:p>
    <w:p>
      <w:pPr>
        <w:numPr>
          <w:numId w:val="120"/>
        </w:numPr>
        <w:spacing w:before="120" w:after="120" w:line="288" w:lineRule="auto"/>
        <w:ind w:left="0"/>
        <w:jc w:val="left"/>
      </w:pPr>
      <w:r>
        <w:rPr>
          <w:rFonts w:eastAsia="等线" w:ascii="Arial" w:cs="Arial" w:hAnsi="Arial"/>
          <w:b w:val="true"/>
          <w:sz w:val="22"/>
        </w:rPr>
        <w:t>目标持续移动</w:t>
      </w:r>
      <w:r>
        <w:rPr>
          <w:rFonts w:eastAsia="等线" w:ascii="Arial" w:cs="Arial" w:hAnsi="Arial"/>
          <w:sz w:val="22"/>
        </w:rPr>
        <w:t>：Agent B（目标）在墙壁另一侧持续移动，使得即使 Agent A 偶尔找到绕行方向，目标也已远离</w:t>
      </w:r>
    </w:p>
    <w:p>
      <w:pPr>
        <w:numPr>
          <w:numId w:val="121"/>
        </w:numPr>
        <w:spacing w:before="120" w:after="120" w:line="288" w:lineRule="auto"/>
        <w:ind w:left="0"/>
        <w:jc w:val="left"/>
      </w:pPr>
      <w:r>
        <w:rPr>
          <w:rFonts w:eastAsia="等线" w:ascii="Arial" w:cs="Arial" w:hAnsi="Arial"/>
          <w:b w:val="true"/>
          <w:sz w:val="22"/>
        </w:rPr>
        <w:t>Max Rounds 耗尽</w:t>
      </w:r>
      <w:r>
        <w:rPr>
          <w:rFonts w:eastAsia="等线" w:ascii="Arial" w:cs="Arial" w:hAnsi="Arial"/>
          <w:sz w:val="22"/>
        </w:rPr>
        <w:t>：最终游戏达到 50 轮上限，双方均未捕获对方，判定平局</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关键数据（Flash, 1200 tokens, 平局局）：</w:t>
      </w:r>
    </w:p>
    <w:p>
      <w:pPr>
        <w:spacing w:before="120" w:after="120" w:line="288" w:lineRule="auto"/>
        <w:ind w:left="0"/>
        <w:jc w:val="left"/>
      </w:pPr>
    </w:p>
    <w:p>
      <w:pPr>
        <w:numPr>
          <w:numId w:val="122"/>
        </w:numPr>
        <w:spacing w:before="120" w:after="120" w:line="288" w:lineRule="auto"/>
        <w:ind w:left="0"/>
        <w:jc w:val="left"/>
      </w:pPr>
      <w:r>
        <w:rPr>
          <w:rFonts w:eastAsia="等线" w:ascii="Arial" w:cs="Arial" w:hAnsi="Arial"/>
          <w:sz w:val="22"/>
        </w:rPr>
        <w:t xml:space="preserve">平局局中，Agent A 有 </w:t>
      </w:r>
      <w:r>
        <w:rPr>
          <w:rFonts w:eastAsia="等线" w:ascii="Arial" w:cs="Arial" w:hAnsi="Arial"/>
          <w:b w:val="true"/>
          <w:sz w:val="22"/>
        </w:rPr>
        <w:t>78% 的回合发生在 Phase 2</w:t>
      </w:r>
      <w:r>
        <w:rPr>
          <w:rFonts w:eastAsia="等线" w:ascii="Arial" w:cs="Arial" w:hAnsi="Arial"/>
          <w:sz w:val="22"/>
        </w:rPr>
        <w:t>（正常决胜局中这一比例为 52%）</w:t>
      </w:r>
    </w:p>
    <w:p>
      <w:pPr>
        <w:numPr>
          <w:numId w:val="123"/>
        </w:numPr>
        <w:spacing w:before="120" w:after="120" w:line="288" w:lineRule="auto"/>
        <w:ind w:left="0"/>
        <w:jc w:val="left"/>
      </w:pPr>
      <w:r>
        <w:rPr>
          <w:rFonts w:eastAsia="等线" w:ascii="Arial" w:cs="Arial" w:hAnsi="Arial"/>
          <w:sz w:val="22"/>
        </w:rPr>
        <w:t xml:space="preserve">平局局中，Agent A 在 Phase 2 的平均停留时间为 </w:t>
      </w:r>
      <w:r>
        <w:rPr>
          <w:rFonts w:eastAsia="等线" w:ascii="Arial" w:cs="Arial" w:hAnsi="Arial"/>
          <w:b w:val="true"/>
          <w:sz w:val="22"/>
        </w:rPr>
        <w:t>39 回合</w:t>
      </w:r>
      <w:r>
        <w:rPr>
          <w:rFonts w:eastAsia="等线" w:ascii="Arial" w:cs="Arial" w:hAnsi="Arial"/>
          <w:sz w:val="22"/>
        </w:rPr>
        <w:t>（成功过墙的游戏仅为 14 回合）</w:t>
      </w:r>
    </w:p>
    <w:p>
      <w:pPr>
        <w:numPr>
          <w:numId w:val="124"/>
        </w:numPr>
        <w:spacing w:before="120" w:after="120" w:line="288" w:lineRule="auto"/>
        <w:ind w:left="0"/>
        <w:jc w:val="left"/>
      </w:pPr>
      <w:r>
        <w:rPr>
          <w:rFonts w:eastAsia="等线" w:ascii="Arial" w:cs="Arial" w:hAnsi="Arial"/>
          <w:sz w:val="22"/>
        </w:rPr>
        <w:t xml:space="preserve">平局局中，Agent A 的"移动被阻挡"（wall_blocked）事件次数为成功局的 </w:t>
      </w:r>
      <w:r>
        <w:rPr>
          <w:rFonts w:eastAsia="等线" w:ascii="Arial" w:cs="Arial" w:hAnsi="Arial"/>
          <w:b w:val="true"/>
          <w:sz w:val="22"/>
        </w:rPr>
        <w:t>6.2 倍</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这意味着，平局不是一个随机事件，而是一种可预测的"认知卡死"状态的终点。</w:t>
      </w:r>
    </w:p>
    <w:p>
      <w:pPr>
        <w:spacing w:before="120" w:after="120" w:line="288" w:lineRule="auto"/>
        <w:ind w:left="0"/>
        <w:jc w:val="left"/>
      </w:pPr>
    </w:p>
    <w:p>
      <w:pPr>
        <w:pStyle w:val="3"/>
        <w:spacing w:before="300" w:after="120" w:line="288" w:lineRule="auto"/>
        <w:ind w:left="0"/>
        <w:jc w:val="left"/>
        <w:outlineLvl w:val="2"/>
      </w:pPr>
      <w:bookmarkStart w:name="heading_59" w:id="59"/>
      <w:r>
        <w:rPr>
          <w:rFonts w:eastAsia="等线" w:ascii="Arial" w:cs="Arial" w:hAnsi="Arial"/>
          <w:color w:val="3370ff"/>
          <w:sz w:val="30"/>
        </w:rPr>
        <w:t xml:space="preserve">6.3.3 </w:t>
      </w:r>
      <w:r>
        <w:rPr>
          <w:rFonts w:eastAsia="等线" w:ascii="Arial" w:cs="Arial" w:hAnsi="Arial"/>
          <w:b w:val="true"/>
          <w:sz w:val="30"/>
        </w:rPr>
        <w:t>ROI 分析：平局的"负价值"</w:t>
      </w:r>
      <w:bookmarkEnd w:id="59"/>
    </w:p>
    <w:p>
      <w:pPr>
        <w:spacing w:before="120" w:after="120" w:line="288" w:lineRule="auto"/>
        <w:ind w:left="0"/>
        <w:jc w:val="left"/>
      </w:pPr>
    </w:p>
    <w:p>
      <w:pPr>
        <w:spacing w:before="120" w:after="120" w:line="288" w:lineRule="auto"/>
        <w:ind w:left="0"/>
        <w:jc w:val="left"/>
      </w:pPr>
      <w:r>
        <w:rPr>
          <w:rFonts w:eastAsia="等线" w:ascii="Arial" w:cs="Arial" w:hAnsi="Arial"/>
          <w:sz w:val="22"/>
        </w:rPr>
        <w:t>从投资回报率（ROI）角度，三种结局的价值排序是：</w:t>
      </w:r>
    </w:p>
    <w:p>
      <w:pPr>
        <w:spacing w:before="120" w:after="120" w:line="288" w:lineRule="auto"/>
        <w:ind w:left="0"/>
        <w:jc w:val="left"/>
      </w:pPr>
    </w:p>
    <w:p>
      <w:pPr>
        <w:numPr>
          <w:numId w:val="125"/>
        </w:numPr>
        <w:spacing w:before="120" w:after="120" w:line="288" w:lineRule="auto"/>
        <w:ind w:left="0"/>
        <w:jc w:val="left"/>
      </w:pPr>
      <w:r>
        <w:rPr>
          <w:rFonts w:eastAsia="等线" w:ascii="Arial" w:cs="Arial" w:hAnsi="Arial"/>
          <w:b w:val="true"/>
          <w:sz w:val="22"/>
        </w:rPr>
        <w:t>A_Win</w:t>
      </w:r>
      <w:r>
        <w:rPr>
          <w:rFonts w:eastAsia="等线" w:ascii="Arial" w:cs="Arial" w:hAnsi="Arial"/>
          <w:sz w:val="22"/>
        </w:rPr>
        <w:t xml:space="preserve">：投入 36,808 tokens，产出 1 胜 → </w:t>
      </w:r>
      <w:r>
        <w:rPr>
          <w:rFonts w:eastAsia="等线" w:ascii="Arial" w:cs="Arial" w:hAnsi="Arial"/>
          <w:b w:val="true"/>
          <w:sz w:val="22"/>
        </w:rPr>
        <w:t>每胜消耗 36,808 tokens</w:t>
      </w:r>
    </w:p>
    <w:p>
      <w:pPr>
        <w:numPr>
          <w:numId w:val="126"/>
        </w:numPr>
        <w:spacing w:before="120" w:after="120" w:line="288" w:lineRule="auto"/>
        <w:ind w:left="0"/>
        <w:jc w:val="left"/>
      </w:pPr>
      <w:r>
        <w:rPr>
          <w:rFonts w:eastAsia="等线" w:ascii="Arial" w:cs="Arial" w:hAnsi="Arial"/>
          <w:b w:val="true"/>
          <w:sz w:val="22"/>
        </w:rPr>
        <w:t>B_Win</w:t>
      </w:r>
      <w:r>
        <w:rPr>
          <w:rFonts w:eastAsia="等线" w:ascii="Arial" w:cs="Arial" w:hAnsi="Arial"/>
          <w:sz w:val="22"/>
        </w:rPr>
        <w:t xml:space="preserve">：投入 35,534 tokens，产出 0 胜（但提供了负样本数据）→ </w:t>
      </w:r>
      <w:r>
        <w:rPr>
          <w:rFonts w:eastAsia="等线" w:ascii="Arial" w:cs="Arial" w:hAnsi="Arial"/>
          <w:b w:val="true"/>
          <w:sz w:val="22"/>
        </w:rPr>
        <w:t>科研价值为正，竞技价值为零</w:t>
      </w:r>
    </w:p>
    <w:p>
      <w:pPr>
        <w:numPr>
          <w:numId w:val="127"/>
        </w:numPr>
        <w:spacing w:before="120" w:after="120" w:line="288" w:lineRule="auto"/>
        <w:ind w:left="0"/>
        <w:jc w:val="left"/>
      </w:pPr>
      <w:r>
        <w:rPr>
          <w:rFonts w:eastAsia="等线" w:ascii="Arial" w:cs="Arial" w:hAnsi="Arial"/>
          <w:b w:val="true"/>
          <w:sz w:val="22"/>
        </w:rPr>
        <w:t>Draw</w:t>
      </w:r>
      <w:r>
        <w:rPr>
          <w:rFonts w:eastAsia="等线" w:ascii="Arial" w:cs="Arial" w:hAnsi="Arial"/>
          <w:sz w:val="22"/>
        </w:rPr>
        <w:t xml:space="preserve">：投入 65,958 tokens，产出 0 胜，且不提供有效的胜负决策数据（因为游戏被截断）→ </w:t>
      </w:r>
      <w:r>
        <w:rPr>
          <w:rFonts w:eastAsia="等线" w:ascii="Arial" w:cs="Arial" w:hAnsi="Arial"/>
          <w:b w:val="true"/>
          <w:sz w:val="22"/>
        </w:rPr>
        <w:t>每局净损失 65,958 tokens，纯负价值</w:t>
      </w:r>
    </w:p>
    <w:p>
      <w:pPr>
        <w:spacing w:before="120" w:after="120" w:line="288" w:lineRule="auto"/>
        <w:ind w:left="0"/>
        <w:jc w:val="center"/>
      </w:pPr>
      <w:r>
        <w:drawing>
          <wp:inline distT="0" distR="0" distB="0" distL="0">
            <wp:extent cx="5257800" cy="35052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2"/>
                    <a:stretch>
                      <a:fillRect/>
                    </a:stretch>
                  </pic:blipFill>
                  <pic:spPr>
                    <a:xfrm>
                      <a:off x="0" y="0"/>
                      <a:ext cx="5257800" cy="35052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【工程实践指导意义】</w:t>
      </w:r>
    </w:p>
    <w:p>
      <w:pPr>
        <w:spacing w:before="120" w:after="120" w:line="288" w:lineRule="auto"/>
        <w:ind w:left="0"/>
        <w:jc w:val="left"/>
      </w:pPr>
      <w:r>
        <w:rPr>
          <w:rFonts w:eastAsia="等线" w:ascii="Arial" w:cs="Arial" w:hAnsi="Arial"/>
          <w:b w:val="true"/>
          <w:sz w:val="22"/>
        </w:rPr>
        <w:t>在执行大规模并发AI工具调用时，务必时刻警惕此类“认知卡死”现象，会使得token无限制消耗，污染产出结果，且具有极强的迷惑能力</w:t>
      </w:r>
    </w:p>
    <w:p>
      <w:pPr>
        <w:spacing w:before="120" w:after="120" w:line="288" w:lineRule="auto"/>
        <w:ind w:left="0"/>
        <w:jc w:val="left"/>
      </w:pPr>
      <w:r>
        <w:rPr>
          <w:rFonts w:eastAsia="等线" w:ascii="Arial" w:cs="Arial" w:hAnsi="Arial"/>
          <w:sz w:val="22"/>
        </w:rPr>
        <w:t>平局不是"没赢"，而是**"以最高成本的方式没赢"**。对于商业部署的 LLM Agent 系统，平局率每降低 1 个百分点，意味着节省数千甚至数万美元的无效 token 消耗。产品设计应内置"卡死检测"机制：</w:t>
      </w:r>
    </w:p>
    <w:p>
      <w:pPr>
        <w:numPr>
          <w:numId w:val="128"/>
        </w:numPr>
        <w:spacing w:before="120" w:after="120" w:line="288" w:lineRule="auto"/>
        <w:ind w:left="0"/>
        <w:jc w:val="left"/>
      </w:pPr>
      <w:r>
        <w:rPr>
          <w:rFonts w:eastAsia="等线" w:ascii="Arial" w:cs="Arial" w:hAnsi="Arial"/>
          <w:sz w:val="22"/>
        </w:rPr>
        <w:t>监控连续 N 轮无空间进展（distance to target 不变或增大）</w:t>
      </w:r>
    </w:p>
    <w:p>
      <w:pPr>
        <w:numPr>
          <w:numId w:val="129"/>
        </w:numPr>
        <w:spacing w:before="120" w:after="120" w:line="288" w:lineRule="auto"/>
        <w:ind w:left="0"/>
        <w:jc w:val="left"/>
      </w:pPr>
      <w:r>
        <w:rPr>
          <w:rFonts w:eastAsia="等线" w:ascii="Arial" w:cs="Arial" w:hAnsi="Arial"/>
          <w:sz w:val="22"/>
        </w:rPr>
        <w:t>触发启发式 fallback（如随机绕行、固定方向突破）</w:t>
      </w:r>
    </w:p>
    <w:p>
      <w:pPr>
        <w:numPr>
          <w:numId w:val="130"/>
        </w:numPr>
        <w:spacing w:before="120" w:after="120" w:line="288" w:lineRule="auto"/>
        <w:ind w:left="0"/>
        <w:jc w:val="left"/>
      </w:pPr>
      <w:r>
        <w:rPr>
          <w:rFonts w:eastAsia="等线" w:ascii="Arial" w:cs="Arial" w:hAnsi="Arial"/>
          <w:sz w:val="22"/>
        </w:rPr>
        <w:t>或在极端情况下触发人工接管</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0" w:id="60"/>
      <w:r>
        <w:rPr>
          <w:rFonts w:eastAsia="等线" w:ascii="Arial" w:cs="Arial" w:hAnsi="Arial"/>
          <w:color w:val="3370ff"/>
          <w:sz w:val="32"/>
        </w:rPr>
        <w:t xml:space="preserve">6.4 </w:t>
      </w:r>
      <w:r>
        <w:rPr>
          <w:rFonts w:eastAsia="等线" w:ascii="Arial" w:cs="Arial" w:hAnsi="Arial"/>
          <w:b w:val="true"/>
          <w:sz w:val="32"/>
        </w:rPr>
        <w:t>M3：Phase 2 的认知黑洞——预算效应的唯一落脚点</w:t>
      </w:r>
      <w:bookmarkEnd w:id="60"/>
    </w:p>
    <w:p>
      <w:pPr>
        <w:spacing w:before="120" w:after="120" w:line="288" w:lineRule="auto"/>
        <w:ind w:left="0"/>
        <w:jc w:val="left"/>
      </w:pPr>
    </w:p>
    <w:p>
      <w:pPr>
        <w:pStyle w:val="3"/>
        <w:spacing w:before="300" w:after="120" w:line="288" w:lineRule="auto"/>
        <w:ind w:left="0"/>
        <w:jc w:val="left"/>
        <w:outlineLvl w:val="2"/>
      </w:pPr>
      <w:bookmarkStart w:name="heading_61" w:id="61"/>
      <w:r>
        <w:rPr>
          <w:rFonts w:eastAsia="等线" w:ascii="Arial" w:cs="Arial" w:hAnsi="Arial"/>
          <w:color w:val="3370ff"/>
          <w:sz w:val="30"/>
        </w:rPr>
        <w:t xml:space="preserve">6.4.1 </w:t>
      </w:r>
      <w:r>
        <w:rPr>
          <w:rFonts w:eastAsia="等线" w:ascii="Arial" w:cs="Arial" w:hAnsi="Arial"/>
          <w:b w:val="true"/>
          <w:sz w:val="30"/>
        </w:rPr>
        <w:t>阶段异质性（Phase Heterogeneity）的量化</w:t>
      </w:r>
      <w:bookmarkEnd w:id="61"/>
    </w:p>
    <w:p>
      <w:pPr>
        <w:spacing w:before="120" w:after="120" w:line="288" w:lineRule="auto"/>
        <w:ind w:left="0"/>
        <w:jc w:val="left"/>
      </w:pPr>
    </w:p>
    <w:p>
      <w:pPr>
        <w:spacing w:before="120" w:after="120" w:line="288" w:lineRule="auto"/>
        <w:ind w:left="0"/>
        <w:jc w:val="left"/>
      </w:pPr>
      <w:r>
        <w:rPr>
          <w:rFonts w:eastAsia="等线" w:ascii="Arial" w:cs="Arial" w:hAnsi="Arial"/>
          <w:sz w:val="22"/>
        </w:rPr>
        <w:t>M1 的定性观察可以通过一个综合指标来量化：</w:t>
      </w:r>
      <w:r>
        <w:rPr>
          <w:rFonts w:eastAsia="等线" w:ascii="Arial" w:cs="Arial" w:hAnsi="Arial"/>
          <w:b w:val="true"/>
          <w:sz w:val="22"/>
        </w:rPr>
        <w:t>阶段预算弹性（Phase Budget Elasticity）</w:t>
      </w:r>
      <w:r>
        <w:rPr>
          <w:rFonts w:eastAsia="等线" w:ascii="Arial" w:cs="Arial" w:hAnsi="Arial"/>
          <w:sz w:val="22"/>
        </w:rPr>
        <w:t>，定义为"预算每增加 1%，该阶段的成功率提升多少百分点"。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各阶段的预算弹性估计（Flash，基于 400-2000 区间）：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15"/>
        <w:gridCol w:w="1815"/>
        <w:gridCol w:w="4665"/>
      </w:tblGrid>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预算弹性</w:t>
            </w:r>
          </w:p>
        </w:tc>
        <w:tc>
          <w:tcPr>
            <w:tcW w:w="4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解释</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P1（pre-wall）</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w:t>
            </w:r>
          </w:p>
        </w:tc>
        <w:tc>
          <w:tcPr>
            <w:tcW w:w="4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预算增加 100%，P1→P2 转化率恒为 100%，无变化</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P2（wall-nav）</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≈0.75</w:t>
            </w:r>
          </w:p>
        </w:tc>
        <w:tc>
          <w:tcPr>
            <w:tcW w:w="4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预算每增 100%（如从 1000→2000），过墙率提升约 35 个百分点</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P3（post-wall）</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w:t>
            </w:r>
          </w:p>
        </w:tc>
        <w:tc>
          <w:tcPr>
            <w:tcW w:w="4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过墙后到达开阔地带的成功率恒为 97%+</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P4（hunt）</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w:t>
            </w:r>
          </w:p>
        </w:tc>
        <w:tc>
          <w:tcPr>
            <w:tcW w:w="4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进入追击阶段后捕获成功率恒为 56-59%</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P2 的弹性是其他阶段的</w:t>
      </w:r>
      <w:r>
        <w:rPr>
          <w:rFonts w:eastAsia="等线" w:ascii="Arial" w:cs="Arial" w:hAnsi="Arial"/>
          <w:b w:val="true"/>
          <w:sz w:val="22"/>
        </w:rPr>
        <w:t>无穷多倍</w:t>
      </w:r>
      <w:r>
        <w:rPr>
          <w:rFonts w:eastAsia="等线" w:ascii="Arial" w:cs="Arial" w:hAnsi="Arial"/>
          <w:sz w:val="22"/>
        </w:rPr>
        <w:t>（其他阶段弹性为零）。这一发现挑战了"token 预算提升 Agent 整体能力"的常见假设——事实是，</w:t>
      </w:r>
      <w:r>
        <w:rPr>
          <w:rFonts w:eastAsia="等线" w:ascii="Arial" w:cs="Arial" w:hAnsi="Arial"/>
          <w:b w:val="true"/>
          <w:sz w:val="22"/>
        </w:rPr>
        <w:t>预算只提升 Agent 在一个特定子任务上的能力</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62" w:id="62"/>
      <w:r>
        <w:rPr>
          <w:rFonts w:eastAsia="等线" w:ascii="Arial" w:cs="Arial" w:hAnsi="Arial"/>
          <w:color w:val="3370ff"/>
          <w:sz w:val="30"/>
        </w:rPr>
        <w:t xml:space="preserve">6.4.2 </w:t>
      </w:r>
      <w:r>
        <w:rPr>
          <w:rFonts w:eastAsia="等线" w:ascii="Arial" w:cs="Arial" w:hAnsi="Arial"/>
          <w:b w:val="true"/>
          <w:sz w:val="30"/>
        </w:rPr>
        <w:t>为什么只有 Phase 2 敏感？——认知复杂度分析</w:t>
      </w:r>
      <w:bookmarkEnd w:id="62"/>
    </w:p>
    <w:p>
      <w:pPr>
        <w:spacing w:before="120" w:after="120" w:line="288" w:lineRule="auto"/>
        <w:ind w:left="0"/>
        <w:jc w:val="left"/>
      </w:pPr>
    </w:p>
    <w:p>
      <w:pPr>
        <w:spacing w:before="120" w:after="120" w:line="288" w:lineRule="auto"/>
        <w:ind w:left="0"/>
        <w:jc w:val="left"/>
      </w:pPr>
      <w:r>
        <w:rPr>
          <w:rFonts w:eastAsia="等线" w:ascii="Arial" w:cs="Arial" w:hAnsi="Arial"/>
          <w:sz w:val="22"/>
        </w:rPr>
        <w:t>Phase 2 的独特性源于它所需的</w:t>
      </w:r>
      <w:r>
        <w:rPr>
          <w:rFonts w:eastAsia="等线" w:ascii="Arial" w:cs="Arial" w:hAnsi="Arial"/>
          <w:b w:val="true"/>
          <w:sz w:val="22"/>
        </w:rPr>
        <w:t>认知操作链长度</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3870"/>
        <w:gridCol w:w="1350"/>
        <w:gridCol w:w="1725"/>
      </w:tblGrid>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所需认知操作</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操作链长度</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 需求估算</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感知目标方向 → 向墙壁移动</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步</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低（~920/轮，主要为输入 prompt）</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P2</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感知墙壁阻挡 → 分析绕行方向 → 规划绕行路径 → 输出连续移动指令 → 验证是否通过</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 步</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高（400-1200/轮）</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P3</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感知目标方向 → 向目标移动</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步</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低（&lt;200/轮）</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P4</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感知目标位置 → 预测目标移动 → 拦截移动</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步</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中等（200-400/轮）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Phase 2 的 5 步认知链中，</w:t>
      </w:r>
      <w:r>
        <w:rPr>
          <w:rFonts w:eastAsia="等线" w:ascii="Arial" w:cs="Arial" w:hAnsi="Arial"/>
          <w:b w:val="true"/>
          <w:sz w:val="22"/>
        </w:rPr>
        <w:t>"规划绕行路径"是最困难的步骤。它需要 Agent 在文本空间中模拟一个二维几何问题："如果我从当前位置 (22, y) 向上走 5 步到 (22, y+5)，再向右走 3 步到 (25, y+5)，是否绕过了墙壁？"这种文本-几何的跨模态推理</w:t>
      </w:r>
      <w:r>
        <w:rPr>
          <w:rFonts w:eastAsia="等线" w:ascii="Arial" w:cs="Arial" w:hAnsi="Arial"/>
          <w:sz w:val="22"/>
        </w:rPr>
        <w:t>正是 LLM 的弱项，也是 token 消耗的主要黑洞。</w:t>
      </w:r>
    </w:p>
    <w:p>
      <w:pPr>
        <w:spacing w:before="120" w:after="120" w:line="288" w:lineRule="auto"/>
        <w:ind w:left="0"/>
        <w:jc w:val="center"/>
      </w:pPr>
      <w:r>
        <w:drawing>
          <wp:inline distT="0" distR="0" distB="0" distL="0">
            <wp:extent cx="5257800" cy="35052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3"/>
                    <a:stretch>
                      <a:fillRect/>
                    </a:stretch>
                  </pic:blipFill>
                  <pic:spPr>
                    <a:xfrm>
                      <a:off x="0" y="0"/>
                      <a:ext cx="5257800" cy="35052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63" w:id="63"/>
      <w:r>
        <w:rPr>
          <w:rFonts w:eastAsia="等线" w:ascii="Arial" w:cs="Arial" w:hAnsi="Arial"/>
          <w:color w:val="3370ff"/>
          <w:sz w:val="30"/>
        </w:rPr>
        <w:t xml:space="preserve">6.4.3 </w:t>
      </w:r>
      <w:r>
        <w:rPr>
          <w:rFonts w:eastAsia="等线" w:ascii="Arial" w:cs="Arial" w:hAnsi="Arial"/>
          <w:b w:val="true"/>
          <w:sz w:val="30"/>
        </w:rPr>
        <w:t>认知瓶颈的"单点突破"策略</w:t>
      </w:r>
      <w:bookmarkEnd w:id="63"/>
    </w:p>
    <w:p>
      <w:pPr>
        <w:spacing w:before="120" w:after="120" w:line="288" w:lineRule="auto"/>
        <w:ind w:left="0"/>
        <w:jc w:val="left"/>
      </w:pPr>
    </w:p>
    <w:p>
      <w:pPr>
        <w:spacing w:before="120" w:after="120" w:line="288" w:lineRule="auto"/>
        <w:ind w:left="0"/>
        <w:jc w:val="left"/>
      </w:pPr>
      <w:r>
        <w:rPr>
          <w:rFonts w:eastAsia="等线" w:ascii="Arial" w:cs="Arial" w:hAnsi="Arial"/>
          <w:sz w:val="22"/>
        </w:rPr>
        <w:t>M3 的发现为工业界的 Agent 优化提供了</w:t>
      </w:r>
      <w:r>
        <w:rPr>
          <w:rFonts w:eastAsia="等线" w:ascii="Arial" w:cs="Arial" w:hAnsi="Arial"/>
          <w:b w:val="true"/>
          <w:sz w:val="22"/>
        </w:rPr>
        <w:t>精准打击</w:t>
      </w:r>
      <w:r>
        <w:rPr>
          <w:rFonts w:eastAsia="等线" w:ascii="Arial" w:cs="Arial" w:hAnsi="Arial"/>
          <w:sz w:val="22"/>
        </w:rPr>
        <w:t>的思路：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传统思路（粗放式）</w:t>
      </w:r>
      <w:r>
        <w:rPr>
          <w:rFonts w:eastAsia="等线" w:ascii="Arial" w:cs="Arial" w:hAnsi="Arial"/>
          <w:sz w:val="22"/>
        </w:rPr>
        <w:t>：</w:t>
      </w:r>
    </w:p>
    <w:p>
      <w:pPr>
        <w:numPr>
          <w:numId w:val="131"/>
        </w:numPr>
        <w:spacing w:before="120" w:after="120" w:line="288" w:lineRule="auto"/>
        <w:ind w:left="0"/>
        <w:jc w:val="left"/>
      </w:pPr>
      <w:r>
        <w:rPr>
          <w:rFonts w:eastAsia="等线" w:ascii="Arial" w:cs="Arial" w:hAnsi="Arial"/>
          <w:sz w:val="22"/>
        </w:rPr>
        <w:t>全局增加 token 预算 → 成本线性上升，但效果在 P1/P3/P4 被浪费</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精准思路（靶向式）</w:t>
      </w:r>
      <w:r>
        <w:rPr>
          <w:rFonts w:eastAsia="等线" w:ascii="Arial" w:cs="Arial" w:hAnsi="Arial"/>
          <w:sz w:val="22"/>
        </w:rPr>
        <w:t>：</w:t>
      </w:r>
    </w:p>
    <w:p>
      <w:pPr>
        <w:numPr>
          <w:numId w:val="132"/>
        </w:numPr>
        <w:spacing w:before="120" w:after="120" w:line="288" w:lineRule="auto"/>
        <w:ind w:left="0"/>
        <w:jc w:val="left"/>
      </w:pPr>
      <w:r>
        <w:rPr>
          <w:rFonts w:eastAsia="等线" w:ascii="Arial" w:cs="Arial" w:hAnsi="Arial"/>
          <w:b w:val="true"/>
          <w:sz w:val="22"/>
        </w:rPr>
        <w:t>阶段检测</w:t>
      </w:r>
      <w:r>
        <w:rPr>
          <w:rFonts w:eastAsia="等线" w:ascii="Arial" w:cs="Arial" w:hAnsi="Arial"/>
          <w:sz w:val="22"/>
        </w:rPr>
        <w:t>：识别 Agent 当前处于哪个阶段（可通过位置坐标自动判断：x&lt;22 为 P1，x∈[22,28] 为 P2，x&gt;28 且 distance&gt;5 为 P3，distance≤5 为 P4）</w:t>
      </w:r>
    </w:p>
    <w:p>
      <w:pPr>
        <w:numPr>
          <w:numId w:val="133"/>
        </w:numPr>
        <w:spacing w:before="120" w:after="120" w:line="288" w:lineRule="auto"/>
        <w:ind w:left="0"/>
        <w:jc w:val="left"/>
      </w:pPr>
      <w:r>
        <w:rPr>
          <w:rFonts w:eastAsia="等线" w:ascii="Arial" w:cs="Arial" w:hAnsi="Arial"/>
          <w:b w:val="true"/>
          <w:sz w:val="22"/>
        </w:rPr>
        <w:t>动态预算分配</w:t>
      </w:r>
      <w:r>
        <w:rPr>
          <w:rFonts w:eastAsia="等线" w:ascii="Arial" w:cs="Arial" w:hAnsi="Arial"/>
          <w:sz w:val="22"/>
        </w:rPr>
        <w:t>：P1/P3/P4 使用低预算（400-600），P2 自动切换至高预算（1200-1600）</w:t>
      </w:r>
    </w:p>
    <w:p>
      <w:pPr>
        <w:numPr>
          <w:numId w:val="134"/>
        </w:numPr>
        <w:spacing w:before="120" w:after="120" w:line="288" w:lineRule="auto"/>
        <w:ind w:left="0"/>
        <w:jc w:val="left"/>
      </w:pPr>
      <w:r>
        <w:rPr>
          <w:rFonts w:eastAsia="等线" w:ascii="Arial" w:cs="Arial" w:hAnsi="Arial"/>
          <w:b w:val="true"/>
          <w:sz w:val="22"/>
        </w:rPr>
        <w:t>阶段专用提示</w:t>
      </w:r>
      <w:r>
        <w:rPr>
          <w:rFonts w:eastAsia="等线" w:ascii="Arial" w:cs="Arial" w:hAnsi="Arial"/>
          <w:sz w:val="22"/>
        </w:rPr>
        <w:t>：为 P2 设计专门的 few-shot 绕行示例，或使用轻量级路径规划算法作为 LLM 的前置过滤器</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成本效益估算</w:t>
      </w:r>
      <w:r>
        <w:rPr>
          <w:rFonts w:eastAsia="等线" w:ascii="Arial" w:cs="Arial" w:hAnsi="Arial"/>
          <w:sz w:val="22"/>
        </w:rPr>
        <w:t>：假设一局游戏平均有 30 个回合，其中 P2 占 10 个回合。如果仅在 P2 使用 1200 tokens 预算，其他阶段使用 400 tokens，则单局预算为 20×400 + 10×1200 = 20,000 tokens，而全局 1200 tokens 预算的单局消耗为 30×1200 = 36,000 tokens。</w:t>
      </w:r>
      <w:r>
        <w:rPr>
          <w:rFonts w:eastAsia="等线" w:ascii="Arial" w:cs="Arial" w:hAnsi="Arial"/>
          <w:b w:val="true"/>
          <w:sz w:val="22"/>
        </w:rPr>
        <w:t>动态分配策略可节省约 44% 的 token 成本</w:t>
      </w:r>
      <w:r>
        <w:rPr>
          <w:rFonts w:eastAsia="等线" w:ascii="Arial" w:cs="Arial" w:hAnsi="Arial"/>
          <w:sz w:val="22"/>
        </w:rPr>
        <w:t>，同时保持相同的过墙成功率。</w:t>
      </w:r>
    </w:p>
    <w:p>
      <w:pPr>
        <w:spacing w:before="120" w:after="120" w:line="288" w:lineRule="auto"/>
        <w:ind w:left="0"/>
        <w:jc w:val="center"/>
      </w:pPr>
      <w:r>
        <w:drawing>
          <wp:inline distT="0" distR="0" distB="0" distL="0">
            <wp:extent cx="5257800" cy="35242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4"/>
                    <a:stretch>
                      <a:fillRect/>
                    </a:stretch>
                  </pic:blipFill>
                  <pic:spPr>
                    <a:xfrm>
                      <a:off x="0" y="0"/>
                      <a:ext cx="5257800" cy="3524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【工程实践指导意义】</w:t>
      </w:r>
    </w:p>
    <w:p>
      <w:pPr>
        <w:spacing w:before="120" w:after="120" w:line="288" w:lineRule="auto"/>
        <w:ind w:left="0"/>
        <w:jc w:val="left"/>
      </w:pPr>
      <w:r>
        <w:rPr>
          <w:rFonts w:eastAsia="等线" w:ascii="Arial" w:cs="Arial" w:hAnsi="Arial"/>
          <w:b w:val="true"/>
          <w:sz w:val="22"/>
        </w:rPr>
        <w:t>在执行大规模并发AI Agent调用时，不一定需要针对WORKFLOW中的每一个子TASK进行TOKEN的宽松式准需，在部分阶段（复杂策略任务）采用TOKEN宽松策略，可能会引发AI AGENT的智能涌现，在部分阶段（简单任务）采用TOKEN严格策略，一方面大幅度节约成本，另一方面可避免AI过度思考引发的产出副作用（也就是M4阶段所表达的观点）</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4" w:id="64"/>
      <w:r>
        <w:rPr>
          <w:rFonts w:eastAsia="等线" w:ascii="Arial" w:cs="Arial" w:hAnsi="Arial"/>
          <w:color w:val="3370ff"/>
          <w:sz w:val="32"/>
        </w:rPr>
        <w:t xml:space="preserve">6.5 </w:t>
      </w:r>
      <w:r>
        <w:rPr>
          <w:rFonts w:eastAsia="等线" w:ascii="Arial" w:cs="Arial" w:hAnsi="Arial"/>
          <w:b w:val="true"/>
          <w:sz w:val="32"/>
        </w:rPr>
        <w:t>M4：过度思考悖论——更多 Token ≠ 更好决策</w:t>
      </w:r>
      <w:bookmarkEnd w:id="64"/>
    </w:p>
    <w:p>
      <w:pPr>
        <w:spacing w:before="120" w:after="120" w:line="288" w:lineRule="auto"/>
        <w:ind w:left="0"/>
        <w:jc w:val="left"/>
      </w:pPr>
    </w:p>
    <w:p>
      <w:pPr>
        <w:pStyle w:val="3"/>
        <w:spacing w:before="300" w:after="120" w:line="288" w:lineRule="auto"/>
        <w:ind w:left="0"/>
        <w:jc w:val="left"/>
        <w:outlineLvl w:val="2"/>
      </w:pPr>
      <w:bookmarkStart w:name="heading_65" w:id="65"/>
      <w:r>
        <w:rPr>
          <w:rFonts w:eastAsia="等线" w:ascii="Arial" w:cs="Arial" w:hAnsi="Arial"/>
          <w:color w:val="3370ff"/>
          <w:sz w:val="30"/>
        </w:rPr>
        <w:t xml:space="preserve">6.5.1 </w:t>
      </w:r>
      <w:r>
        <w:rPr>
          <w:rFonts w:eastAsia="等线" w:ascii="Arial" w:cs="Arial" w:hAnsi="Arial"/>
          <w:b w:val="true"/>
          <w:sz w:val="30"/>
        </w:rPr>
        <w:t>悖论的发现</w:t>
      </w:r>
      <w:bookmarkEnd w:id="65"/>
    </w:p>
    <w:p>
      <w:pPr>
        <w:spacing w:before="120" w:after="120" w:line="288" w:lineRule="auto"/>
        <w:ind w:left="0"/>
        <w:jc w:val="left"/>
      </w:pPr>
    </w:p>
    <w:p>
      <w:pPr>
        <w:spacing w:before="120" w:after="120" w:line="288" w:lineRule="auto"/>
        <w:ind w:left="0"/>
        <w:jc w:val="left"/>
      </w:pPr>
      <w:r>
        <w:rPr>
          <w:rFonts w:eastAsia="等线" w:ascii="Arial" w:cs="Arial" w:hAnsi="Arial"/>
          <w:sz w:val="22"/>
        </w:rPr>
        <w:t>M4 检验一个看似合理的假设："在同一阶段内，消耗更多 token 的回合应该产生更好的空间决策。"我们用"高 token 轮次"（每模型-预算组内单轮 token 消耗 top 25%）与"正常轮次"进行对比。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DeepSeek Flash 的结果（全预算汇总，N≈3,200 轮次）：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15"/>
        <w:gridCol w:w="1545"/>
        <w:gridCol w:w="1545"/>
        <w:gridCol w:w="1545"/>
        <w:gridCol w:w="1545"/>
      </w:tblGrid>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 token 轮次（Top 25%）</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正常轮次（Bottom 75%）</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差异</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显著性</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空间进展（distance reduction）</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+0.23</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+1.03</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p&lt;.001</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意图-行动偏差（|logic - action|）</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56.79</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35.09</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+21.70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p&lt;.001</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移动被阻挡率（wall_blocked）</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-1.8pp</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p&lt;.001</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移动被钳制率（movement_clamped）</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12.2%</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-7.6pp</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p&lt;.001</w:t>
            </w:r>
          </w:p>
        </w:tc>
      </w:tr>
    </w:tbl>
    <w:p>
      <w:pPr>
        <w:spacing w:before="120" w:after="120" w:line="288" w:lineRule="auto"/>
        <w:ind w:left="0"/>
        <w:jc w:val="left"/>
      </w:pPr>
      <w:r>
        <w:rPr>
          <w:rFonts w:eastAsia="等线" w:ascii="Arial" w:cs="Arial" w:hAnsi="Arial"/>
          <w:b w:val="true"/>
          <w:sz w:val="22"/>
        </w:rPr>
        <w:t>核心发现：消耗更多 token 的回合，空间进展显著更低（0.23 vs 1.03），意图-行动偏差显著更大（56.8° vs 35.1°），但 paradoxically，wall_blocked 和 movement_clamped 反而更少。这不是"努力但失败"，而是"过度思考但不行动"。</w:t>
      </w:r>
    </w:p>
    <w:p>
      <w:pPr>
        <w:spacing w:before="120" w:after="120" w:line="288" w:lineRule="auto"/>
        <w:ind w:left="0"/>
        <w:jc w:val="left"/>
      </w:pPr>
    </w:p>
    <w:p>
      <w:pPr>
        <w:pStyle w:val="3"/>
        <w:spacing w:before="300" w:after="120" w:line="288" w:lineRule="auto"/>
        <w:ind w:left="0"/>
        <w:jc w:val="left"/>
        <w:outlineLvl w:val="2"/>
      </w:pPr>
      <w:bookmarkStart w:name="heading_66" w:id="66"/>
      <w:r>
        <w:rPr>
          <w:rFonts w:eastAsia="等线" w:ascii="Arial" w:cs="Arial" w:hAnsi="Arial"/>
          <w:color w:val="3370ff"/>
          <w:sz w:val="30"/>
        </w:rPr>
        <w:t xml:space="preserve">6.5.2 </w:t>
      </w:r>
      <w:r>
        <w:rPr>
          <w:rFonts w:eastAsia="等线" w:ascii="Arial" w:cs="Arial" w:hAnsi="Arial"/>
          <w:b w:val="true"/>
          <w:sz w:val="30"/>
        </w:rPr>
        <w:t>解释框架：从"认知投入"到"分析瘫痪"</w:t>
      </w:r>
      <w:bookmarkEnd w:id="66"/>
    </w:p>
    <w:p>
      <w:pPr>
        <w:spacing w:before="120" w:after="120" w:line="288" w:lineRule="auto"/>
        <w:ind w:left="0"/>
        <w:jc w:val="left"/>
      </w:pPr>
    </w:p>
    <w:p>
      <w:pPr>
        <w:spacing w:before="120" w:after="120" w:line="288" w:lineRule="auto"/>
        <w:ind w:left="0"/>
        <w:jc w:val="left"/>
      </w:pPr>
      <w:r>
        <w:rPr>
          <w:rFonts w:eastAsia="等线" w:ascii="Arial" w:cs="Arial" w:hAnsi="Arial"/>
          <w:sz w:val="22"/>
        </w:rPr>
        <w:t>为什么更多"思考"不产生更好"行动"？我们提出两个互补的解释机制：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机制一：挣扎信号（Struggling Signal）</w:t>
      </w:r>
    </w:p>
    <w:p>
      <w:pPr>
        <w:spacing w:before="120" w:after="120" w:line="288" w:lineRule="auto"/>
        <w:ind w:left="0"/>
        <w:jc w:val="left"/>
      </w:pPr>
      <w:r>
        <w:rPr>
          <w:rFonts w:eastAsia="等线" w:ascii="Arial" w:cs="Arial" w:hAnsi="Arial"/>
          <w:sz w:val="22"/>
        </w:rPr>
        <w:t>高 token 消耗不是"深思熟虑"的标志，而是"陷入困境"的标志。当 Agent 面对复杂的绕墙局面时，它的推理链会变得更长、更迂回——它会反复评估多种方案、自我质疑、修正方向，但最终输出的行动坐标并没有因此更优。新数据揭示了一个更精确的模式：高 token 轮次并非"积极尝试但撞墙"（wall_blocked 反而更低），而是"过度分析导致行动迟缓"——Agent 在大量 token 的推理后，选择了保守、安全的移动（不撞墙、不被 clamp），但这些移动几乎没有产生任何空间进展。</w:t>
      </w:r>
      <w:r>
        <w:rPr>
          <w:rFonts w:eastAsia="等线" w:ascii="Arial" w:cs="Arial" w:hAnsi="Arial"/>
          <w:b w:val="true"/>
          <w:sz w:val="22"/>
        </w:rPr>
        <w:t>Token 消耗量度量的是"犹豫程度"，而非"能力程度"。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机制二：保守偏差的陷阱（Conservative Bias Trap）</w:t>
      </w:r>
    </w:p>
    <w:p>
      <w:pPr>
        <w:spacing w:before="120" w:after="120" w:line="288" w:lineRule="auto"/>
        <w:ind w:left="0"/>
        <w:jc w:val="left"/>
      </w:pPr>
      <w:r>
        <w:rPr>
          <w:rFonts w:eastAsia="等线" w:ascii="Arial" w:cs="Arial" w:hAnsi="Arial"/>
          <w:sz w:val="22"/>
        </w:rPr>
        <w:t>高 token 轮次的 wall_blocked 率（3.5%）低于正常轮次（5.3%），这一反直觉的发现揭示了一个深层机制：当 Agent"想太多"时，它倾向于避免任何可能导致失败的风险动作，选择零风险的保守策略。但这种保守主义在空间追逐任务中是致命的——Agent B（目标）在持续移动，原地不动或小幅移动意味着距离目标越来越远。</w:t>
      </w:r>
      <w:r>
        <w:rPr>
          <w:rFonts w:eastAsia="等线" w:ascii="Arial" w:cs="Arial" w:hAnsi="Arial"/>
          <w:b w:val="true"/>
          <w:sz w:val="22"/>
        </w:rPr>
        <w:t>过度思考没有带来更好的策略，反而让 Agent 陷入了"分析瘫痪"——它想得越多，动得越少，输得越快。</w:t>
      </w:r>
    </w:p>
    <w:p>
      <w:pPr>
        <w:spacing w:before="120" w:after="120" w:line="288" w:lineRule="auto"/>
        <w:ind w:left="0"/>
        <w:jc w:val="center"/>
      </w:pPr>
      <w:r>
        <w:drawing>
          <wp:inline distT="0" distR="0" distB="0" distL="0">
            <wp:extent cx="5257800" cy="37338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5"/>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【工程实践指导意义】</w:t>
      </w:r>
    </w:p>
    <w:p>
      <w:pPr>
        <w:spacing w:before="120" w:after="120" w:line="288" w:lineRule="auto"/>
        <w:ind w:left="0"/>
        <w:jc w:val="left"/>
      </w:pPr>
      <w:r>
        <w:rPr>
          <w:rFonts w:eastAsia="等线" w:ascii="Arial" w:cs="Arial" w:hAnsi="Arial"/>
          <w:sz w:val="22"/>
        </w:rPr>
        <w:t>M4 的发现将 token 消耗从一个"成本变量"重新定义为</w:t>
      </w:r>
      <w:r>
        <w:rPr>
          <w:rFonts w:eastAsia="等线" w:ascii="Arial" w:cs="Arial" w:hAnsi="Arial"/>
          <w:b w:val="true"/>
          <w:sz w:val="22"/>
        </w:rPr>
        <w:t>Agent 健康状态的诊断指标：</w:t>
      </w:r>
    </w:p>
    <w:p>
      <w:pPr>
        <w:spacing w:before="120" w:after="120" w:line="288" w:lineRule="auto"/>
        <w:ind w:left="0"/>
        <w:jc w:val="left"/>
      </w:pPr>
      <w:r>
        <w:rPr>
          <w:rFonts w:eastAsia="等线" w:ascii="Arial" w:cs="Arial" w:hAnsi="Arial"/>
          <w:sz w:val="22"/>
        </w:rPr>
        <w:t>这也解释了为什么claude，open claw等agent框架逐步在把token用量和价值，放在对话框最明显的区域</w:t>
      </w:r>
    </w:p>
    <w:p>
      <w:pPr>
        <w:numPr>
          <w:numId w:val="135"/>
        </w:numPr>
        <w:spacing w:before="120" w:after="120" w:line="288" w:lineRule="auto"/>
        <w:ind w:left="0"/>
        <w:jc w:val="left"/>
      </w:pPr>
      <w:r>
        <w:rPr>
          <w:rFonts w:eastAsia="等线" w:ascii="Arial" w:cs="Arial" w:hAnsi="Arial"/>
          <w:b w:val="true"/>
          <w:sz w:val="22"/>
        </w:rPr>
        <w:t>突发性高消耗</w:t>
      </w:r>
      <w:r>
        <w:rPr>
          <w:rFonts w:eastAsia="等线" w:ascii="Arial" w:cs="Arial" w:hAnsi="Arial"/>
          <w:sz w:val="22"/>
        </w:rPr>
        <w:t>：如果某轮 token 消耗突然跃升至该 Agent 历史均值的 2 倍以上，这很可能是一个"卡死预警"</w:t>
      </w:r>
    </w:p>
    <w:p>
      <w:pPr>
        <w:numPr>
          <w:numId w:val="136"/>
        </w:numPr>
        <w:spacing w:before="120" w:after="120" w:line="288" w:lineRule="auto"/>
        <w:ind w:left="0"/>
        <w:jc w:val="left"/>
      </w:pPr>
      <w:r>
        <w:rPr>
          <w:rFonts w:eastAsia="等线" w:ascii="Arial" w:cs="Arial" w:hAnsi="Arial"/>
          <w:b w:val="true"/>
          <w:sz w:val="22"/>
        </w:rPr>
        <w:t>持续高消耗</w:t>
      </w:r>
      <w:r>
        <w:rPr>
          <w:rFonts w:eastAsia="等线" w:ascii="Arial" w:cs="Arial" w:hAnsi="Arial"/>
          <w:sz w:val="22"/>
        </w:rPr>
        <w:t>：如果连续多轮处于高消耗状态，Agent 可能已进入"认知死亡螺旋"，需要外部干预</w:t>
      </w:r>
    </w:p>
    <w:p>
      <w:pPr>
        <w:numPr>
          <w:numId w:val="137"/>
        </w:numPr>
        <w:spacing w:before="120" w:after="120" w:line="288" w:lineRule="auto"/>
        <w:ind w:left="0"/>
        <w:jc w:val="left"/>
      </w:pPr>
      <w:r>
        <w:rPr>
          <w:rFonts w:eastAsia="等线" w:ascii="Arial" w:cs="Arial" w:hAnsi="Arial"/>
          <w:b w:val="true"/>
          <w:sz w:val="22"/>
        </w:rPr>
        <w:t>消耗-进展比</w:t>
      </w:r>
      <w:r>
        <w:rPr>
          <w:rFonts w:eastAsia="等线" w:ascii="Arial" w:cs="Arial" w:hAnsi="Arial"/>
          <w:sz w:val="22"/>
        </w:rPr>
        <w:t>：定义"认知效率"= distance reduction / tokens used。当该比值低于某个阈值（如 0.001/单位 token）时，触发 fallback 机制</w:t>
      </w:r>
    </w:p>
    <w:p>
      <w:pPr>
        <w:spacing w:before="120" w:after="120" w:line="288" w:lineRule="auto"/>
        <w:ind w:left="0"/>
        <w:jc w:val="left"/>
      </w:pPr>
      <w:r>
        <w:rPr>
          <w:rFonts w:eastAsia="等线" w:ascii="Arial" w:cs="Arial" w:hAnsi="Arial"/>
          <w:b w:val="true"/>
          <w:sz w:val="22"/>
        </w:rPr>
        <w:t>这种将 token 消耗作为实时遥测数据的思路，是AI原生产品设计，Agent产品设计，以及运维监控的一个新维度。</w:t>
      </w: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7" w:id="67"/>
      <w:r>
        <w:rPr>
          <w:rFonts w:eastAsia="等线" w:ascii="Arial" w:cs="Arial" w:hAnsi="Arial"/>
          <w:color w:val="3370ff"/>
          <w:sz w:val="32"/>
        </w:rPr>
        <w:t xml:space="preserve">6.6 </w:t>
      </w:r>
      <w:r>
        <w:rPr>
          <w:rFonts w:eastAsia="等线" w:ascii="Arial" w:cs="Arial" w:hAnsi="Arial"/>
          <w:b w:val="true"/>
          <w:sz w:val="32"/>
        </w:rPr>
        <w:t>M5：模型差异与认知天花板——Flash vs Pro</w:t>
      </w:r>
      <w:bookmarkEnd w:id="67"/>
    </w:p>
    <w:p>
      <w:pPr>
        <w:spacing w:before="120" w:after="120" w:line="288" w:lineRule="auto"/>
        <w:ind w:left="0"/>
        <w:jc w:val="left"/>
      </w:pPr>
    </w:p>
    <w:p>
      <w:pPr>
        <w:pStyle w:val="3"/>
        <w:spacing w:before="300" w:after="120" w:line="288" w:lineRule="auto"/>
        <w:ind w:left="0"/>
        <w:jc w:val="left"/>
        <w:outlineLvl w:val="2"/>
      </w:pPr>
      <w:bookmarkStart w:name="heading_68" w:id="68"/>
      <w:r>
        <w:rPr>
          <w:rFonts w:eastAsia="等线" w:ascii="Arial" w:cs="Arial" w:hAnsi="Arial"/>
          <w:color w:val="3370ff"/>
          <w:sz w:val="30"/>
        </w:rPr>
        <w:t xml:space="preserve">6.6.1 </w:t>
      </w:r>
      <w:r>
        <w:rPr>
          <w:rFonts w:eastAsia="等线" w:ascii="Arial" w:cs="Arial" w:hAnsi="Arial"/>
          <w:b w:val="true"/>
          <w:sz w:val="30"/>
        </w:rPr>
        <w:t>胜率曲线的形态对比</w:t>
      </w:r>
      <w:bookmarkEnd w:id="68"/>
    </w:p>
    <w:p>
      <w:pPr>
        <w:spacing w:before="120" w:after="120" w:line="288" w:lineRule="auto"/>
        <w:ind w:left="0"/>
        <w:jc w:val="left"/>
      </w:pPr>
    </w:p>
    <w:p>
      <w:pPr>
        <w:spacing w:before="120" w:after="120" w:line="288" w:lineRule="auto"/>
        <w:ind w:left="0"/>
        <w:jc w:val="left"/>
      </w:pPr>
      <w:r>
        <w:rPr>
          <w:rFonts w:eastAsia="等线" w:ascii="Arial" w:cs="Arial" w:hAnsi="Arial"/>
          <w:sz w:val="22"/>
        </w:rPr>
        <w:t>DeepSeek Pro 在所有预算梯度上的绝对胜率都高于 Flash（平均高出 8-12 个百分点），但两条曲线的</w:t>
      </w:r>
      <w:r>
        <w:rPr>
          <w:rFonts w:eastAsia="等线" w:ascii="Arial" w:cs="Arial" w:hAnsi="Arial"/>
          <w:b w:val="true"/>
          <w:sz w:val="22"/>
        </w:rPr>
        <w:t>形态惊人地相似</w:t>
      </w:r>
      <w:r>
        <w:rPr>
          <w:rFonts w:eastAsia="等线" w:ascii="Arial" w:cs="Arial" w:hAnsi="Arial"/>
          <w:sz w:val="22"/>
        </w:rPr>
        <w:t>：</w:t>
      </w:r>
    </w:p>
    <w:p>
      <w:pPr>
        <w:spacing w:before="120" w:after="120" w:line="288" w:lineRule="auto"/>
        <w:ind w:left="0"/>
        <w:jc w:val="left"/>
      </w:pPr>
    </w:p>
    <w:p>
      <w:pPr>
        <w:numPr>
          <w:numId w:val="138"/>
        </w:numPr>
        <w:spacing w:before="120" w:after="120" w:line="288" w:lineRule="auto"/>
        <w:ind w:left="0"/>
        <w:jc w:val="left"/>
      </w:pPr>
      <w:r>
        <w:rPr>
          <w:rFonts w:eastAsia="等线" w:ascii="Arial" w:cs="Arial" w:hAnsi="Arial"/>
          <w:b w:val="true"/>
          <w:sz w:val="22"/>
        </w:rPr>
        <w:t>都存在死区</w:t>
      </w:r>
      <w:r>
        <w:rPr>
          <w:rFonts w:eastAsia="等线" w:ascii="Arial" w:cs="Arial" w:hAnsi="Arial"/>
          <w:sz w:val="22"/>
        </w:rPr>
        <w:t>：Pro 在 400 tokens 时胜率仅 12.5%，Flash 仅 2.5%</w:t>
      </w:r>
    </w:p>
    <w:p>
      <w:pPr>
        <w:numPr>
          <w:numId w:val="139"/>
        </w:numPr>
        <w:spacing w:before="120" w:after="120" w:line="288" w:lineRule="auto"/>
        <w:ind w:left="0"/>
        <w:jc w:val="left"/>
      </w:pPr>
      <w:r>
        <w:rPr>
          <w:rFonts w:eastAsia="等线" w:ascii="Arial" w:cs="Arial" w:hAnsi="Arial"/>
          <w:b w:val="true"/>
          <w:sz w:val="22"/>
        </w:rPr>
        <w:t>都存在跃迁区</w:t>
      </w:r>
      <w:r>
        <w:rPr>
          <w:rFonts w:eastAsia="等线" w:ascii="Arial" w:cs="Arial" w:hAnsi="Arial"/>
          <w:sz w:val="22"/>
        </w:rPr>
        <w:t>：Flash 的跃迁区间为 800-1200 tokens（9.8%→34.1%），Pro 为 400-1000 tokens（12.5%→60.0%）</w:t>
      </w:r>
    </w:p>
    <w:p>
      <w:pPr>
        <w:numPr>
          <w:numId w:val="140"/>
        </w:numPr>
        <w:spacing w:before="120" w:after="120" w:line="288" w:lineRule="auto"/>
        <w:ind w:left="0"/>
        <w:jc w:val="left"/>
      </w:pPr>
      <w:r>
        <w:rPr>
          <w:rFonts w:eastAsia="等线" w:ascii="Arial" w:cs="Arial" w:hAnsi="Arial"/>
          <w:b w:val="true"/>
          <w:sz w:val="22"/>
        </w:rPr>
        <w:t>都存在平台期</w:t>
      </w:r>
      <w:r>
        <w:rPr>
          <w:rFonts w:eastAsia="等线" w:ascii="Arial" w:cs="Arial" w:hAnsi="Arial"/>
          <w:sz w:val="22"/>
        </w:rPr>
        <w:t>：Flash 在 1000-2000 tokens 区间胜率在 32%-45% 波动，Pro 在 1000-2000 tokens 区间维持在 52%-71%</w:t>
      </w:r>
    </w:p>
    <w:p>
      <w:pPr>
        <w:spacing w:before="120" w:after="120" w:line="288" w:lineRule="auto"/>
        <w:ind w:left="453"/>
        <w:jc w:val="left"/>
      </w:pPr>
    </w:p>
    <w:p>
      <w:pPr>
        <w:spacing w:before="120" w:after="120" w:line="288" w:lineRule="auto"/>
        <w:ind w:left="0"/>
        <w:jc w:val="left"/>
      </w:pPr>
      <w:r>
        <w:rPr>
          <w:rFonts w:eastAsia="等线" w:ascii="Arial" w:cs="Arial" w:hAnsi="Arial"/>
          <w:sz w:val="22"/>
        </w:rPr>
        <w:t>这一形态相似性提示：</w:t>
      </w:r>
      <w:r>
        <w:rPr>
          <w:rFonts w:eastAsia="等线" w:ascii="Arial" w:cs="Arial" w:hAnsi="Arial"/>
          <w:b w:val="true"/>
          <w:sz w:val="22"/>
        </w:rPr>
        <w:t>预算阈值是任务本身的属性，而非模型的属性</w:t>
      </w:r>
      <w:r>
        <w:rPr>
          <w:rFonts w:eastAsia="等线" w:ascii="Arial" w:cs="Arial" w:hAnsi="Arial"/>
          <w:sz w:val="22"/>
        </w:rPr>
        <w:t>。无论模型强弱，要完成"绕过墙壁"这一空间推理任务，都需要至少约 1000 tokens 的认知资源。更强的模型（Pro）只是在这个阈值之上表现得更好，但无法消除阈值本身。</w:t>
      </w:r>
    </w:p>
    <w:p>
      <w:pPr>
        <w:spacing w:before="120" w:after="120" w:line="288" w:lineRule="auto"/>
        <w:ind w:left="0"/>
        <w:jc w:val="left"/>
      </w:pPr>
    </w:p>
    <w:p>
      <w:pPr>
        <w:pStyle w:val="3"/>
        <w:spacing w:before="300" w:after="120" w:line="288" w:lineRule="auto"/>
        <w:ind w:left="0"/>
        <w:jc w:val="left"/>
        <w:outlineLvl w:val="2"/>
      </w:pPr>
      <w:bookmarkStart w:name="heading_69" w:id="69"/>
      <w:r>
        <w:rPr>
          <w:rFonts w:eastAsia="等线" w:ascii="Arial" w:cs="Arial" w:hAnsi="Arial"/>
          <w:color w:val="3370ff"/>
          <w:sz w:val="30"/>
        </w:rPr>
        <w:t xml:space="preserve">6.6.2 </w:t>
      </w:r>
      <w:r>
        <w:rPr>
          <w:rFonts w:eastAsia="等线" w:ascii="Arial" w:cs="Arial" w:hAnsi="Arial"/>
          <w:b w:val="true"/>
          <w:sz w:val="30"/>
        </w:rPr>
        <w:t>"认知天花板"假说的核心证据</w:t>
      </w:r>
      <w:bookmarkEnd w:id="69"/>
    </w:p>
    <w:p>
      <w:pPr>
        <w:spacing w:before="120" w:after="120" w:line="288" w:lineRule="auto"/>
        <w:ind w:left="0"/>
        <w:jc w:val="left"/>
      </w:pPr>
    </w:p>
    <w:p>
      <w:pPr>
        <w:spacing w:before="120" w:after="120" w:line="288" w:lineRule="auto"/>
        <w:ind w:left="0"/>
        <w:jc w:val="left"/>
      </w:pPr>
      <w:r>
        <w:rPr>
          <w:rFonts w:eastAsia="等线" w:ascii="Arial" w:cs="Arial" w:hAnsi="Arial"/>
          <w:sz w:val="22"/>
        </w:rPr>
        <w:t>M5 最重要的发现不是胜率差异，而是</w:t>
      </w:r>
      <w:r>
        <w:rPr>
          <w:rFonts w:eastAsia="等线" w:ascii="Arial" w:cs="Arial" w:hAnsi="Arial"/>
          <w:b w:val="true"/>
          <w:sz w:val="22"/>
        </w:rPr>
        <w:t>实际 token 消耗行为的差异</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Flash 的实际 token 消耗与预算上限显著正相关（Spearman ρ=0.174, p&lt;.001）</w:t>
      </w:r>
      <w:r>
        <w:rPr>
          <w:rFonts w:eastAsia="等线" w:ascii="Arial" w:cs="Arial" w:hAnsi="Arial"/>
          <w:sz w:val="22"/>
        </w:rPr>
        <w:t>：当预算从 400 增加到 2000 时，Flash 的实际单轮消耗从约 945 tokens 上升到约 983 tokens。它在"用满"预算——预算越高，它思考得越多（尽管增幅不大，约 +4%）。</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Pro 的实际 token 消耗与预算上限无显著相关（Spearman ρ=0.015, p=.12）</w:t>
      </w:r>
      <w:r>
        <w:rPr>
          <w:rFonts w:eastAsia="等线" w:ascii="Arial" w:cs="Arial" w:hAnsi="Arial"/>
          <w:sz w:val="22"/>
        </w:rPr>
        <w:t>：无论预算给 400 还是 2000，Pro 的实际单轮消耗都稳定在约 1137-1209 tokens。它有一个</w:t>
      </w:r>
      <w:r>
        <w:rPr>
          <w:rFonts w:eastAsia="等线" w:ascii="Arial" w:cs="Arial" w:hAnsi="Arial"/>
          <w:b w:val="true"/>
          <w:sz w:val="22"/>
        </w:rPr>
        <w:t>内生的"认知饱和度"</w:t>
      </w:r>
      <w:r>
        <w:rPr>
          <w:rFonts w:eastAsia="等线" w:ascii="Arial" w:cs="Arial" w:hAnsi="Arial"/>
          <w:sz w:val="22"/>
        </w:rPr>
        <w:t>——即使给更多预算，它也不会思考更久。</w:t>
      </w:r>
    </w:p>
    <w:p>
      <w:pPr>
        <w:spacing w:before="120" w:after="120" w:line="288" w:lineRule="auto"/>
        <w:ind w:left="0"/>
        <w:jc w:val="left"/>
      </w:pPr>
    </w:p>
    <w:p>
      <w:pPr>
        <w:spacing w:before="120" w:after="120" w:line="288" w:lineRule="auto"/>
        <w:ind w:left="0"/>
        <w:jc w:val="center"/>
      </w:pPr>
      <w:r>
        <w:drawing>
          <wp:inline distT="0" distR="0" distB="0" distL="0">
            <wp:extent cx="5257800" cy="23336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6"/>
                    <a:stretch>
                      <a:fillRect/>
                    </a:stretch>
                  </pic:blipFill>
                  <pic:spPr>
                    <a:xfrm>
                      <a:off x="0" y="0"/>
                      <a:ext cx="5257800" cy="23336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70" w:id="70"/>
      <w:r>
        <w:rPr>
          <w:rFonts w:eastAsia="等线" w:ascii="Arial" w:cs="Arial" w:hAnsi="Arial"/>
          <w:color w:val="3370ff"/>
          <w:sz w:val="30"/>
        </w:rPr>
        <w:t xml:space="preserve">6.6.3 </w:t>
      </w:r>
      <w:r>
        <w:rPr>
          <w:rFonts w:eastAsia="等线" w:ascii="Arial" w:cs="Arial" w:hAnsi="Arial"/>
          <w:b w:val="true"/>
          <w:sz w:val="30"/>
        </w:rPr>
        <w:t>对工业界的"TCO 启示"</w:t>
      </w:r>
      <w:bookmarkEnd w:id="7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总拥有成本（Total Cost of Ownership, TCO）</w:t>
      </w:r>
      <w:r>
        <w:rPr>
          <w:rFonts w:eastAsia="等线" w:ascii="Arial" w:cs="Arial" w:hAnsi="Arial"/>
          <w:sz w:val="22"/>
        </w:rPr>
        <w:t xml:space="preserve"> 不应只看每百万 token 的标价，而应计算</w:t>
      </w:r>
      <w:r>
        <w:rPr>
          <w:rFonts w:eastAsia="等线" w:ascii="Arial" w:cs="Arial" w:hAnsi="Arial"/>
          <w:b w:val="true"/>
          <w:sz w:val="22"/>
        </w:rPr>
        <w:t>每有效决策的成本</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假设场景：部署一个空间推理 Agent，预算设定在 1200 tokens。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1500"/>
        <w:gridCol w:w="1635"/>
        <w:gridCol w:w="1320"/>
        <w:gridCol w:w="2760"/>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每百万 token 标价</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平均单轮消耗</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过墙成功率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每成功过墙的 token 成本</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$0.50</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975</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975 / 0.585 ≈ </w:t>
            </w:r>
            <w:r>
              <w:rPr>
                <w:rFonts w:eastAsia="等线" w:ascii="Arial" w:cs="Arial" w:hAnsi="Arial"/>
                <w:b w:val="true"/>
                <w:sz w:val="22"/>
              </w:rPr>
              <w:t>1,667 tokens/成功</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1,169</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1,169 / 0.951 ≈ </w:t>
            </w:r>
            <w:r>
              <w:rPr>
                <w:rFonts w:eastAsia="等线" w:ascii="Arial" w:cs="Arial" w:hAnsi="Arial"/>
                <w:b w:val="true"/>
                <w:sz w:val="22"/>
              </w:rPr>
              <w:t>1,229 tokens/成功</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换算为美元：</w:t>
      </w:r>
    </w:p>
    <w:p>
      <w:pPr>
        <w:numPr>
          <w:numId w:val="141"/>
        </w:numPr>
        <w:spacing w:before="120" w:after="120" w:line="288" w:lineRule="auto"/>
        <w:ind w:left="0"/>
        <w:jc w:val="left"/>
      </w:pPr>
      <w:r>
        <w:rPr>
          <w:rFonts w:eastAsia="等线" w:ascii="Arial" w:cs="Arial" w:hAnsi="Arial"/>
          <w:sz w:val="22"/>
        </w:rPr>
        <w:t xml:space="preserve">Flash：1,667 tokens × $0.50/1M = </w:t>
      </w:r>
      <w:r>
        <w:rPr>
          <w:rFonts w:eastAsia="等线" w:ascii="Arial" w:cs="Arial" w:hAnsi="Arial"/>
          <w:b w:val="true"/>
          <w:sz w:val="22"/>
        </w:rPr>
        <w:t>$0.00083/成功</w:t>
      </w:r>
    </w:p>
    <w:p>
      <w:pPr>
        <w:numPr>
          <w:numId w:val="142"/>
        </w:numPr>
        <w:spacing w:before="120" w:after="120" w:line="288" w:lineRule="auto"/>
        <w:ind w:left="0"/>
        <w:jc w:val="left"/>
      </w:pPr>
      <w:r>
        <w:rPr>
          <w:rFonts w:eastAsia="等线" w:ascii="Arial" w:cs="Arial" w:hAnsi="Arial"/>
          <w:sz w:val="22"/>
        </w:rPr>
        <w:t xml:space="preserve">Pro：1,229 tokens × $2.00/1M = </w:t>
      </w:r>
      <w:r>
        <w:rPr>
          <w:rFonts w:eastAsia="等线" w:ascii="Arial" w:cs="Arial" w:hAnsi="Arial"/>
          <w:b w:val="true"/>
          <w:sz w:val="22"/>
        </w:rPr>
        <w:t>$0.00246/成功</w:t>
      </w:r>
    </w:p>
    <w:p>
      <w:pPr>
        <w:spacing w:before="120" w:after="120" w:line="288" w:lineRule="auto"/>
        <w:ind w:left="453"/>
        <w:jc w:val="left"/>
      </w:pPr>
    </w:p>
    <w:p>
      <w:pPr>
        <w:spacing w:before="120" w:after="120" w:line="288" w:lineRule="auto"/>
        <w:ind w:left="0"/>
        <w:jc w:val="left"/>
      </w:pPr>
      <w:r>
        <w:rPr>
          <w:rFonts w:eastAsia="等线" w:ascii="Arial" w:cs="Arial" w:hAnsi="Arial"/>
          <w:sz w:val="22"/>
        </w:rPr>
        <w:t>在这个特定场景下，Flash 的"每成功成本"低于 Pro（因为 Pro 的单价是 Flash 的 4 倍，虽然成功率高出 36.6pp，但不足以弥补单价差距）。</w:t>
      </w:r>
      <w:r>
        <w:rPr>
          <w:rFonts w:eastAsia="等线" w:ascii="Arial" w:cs="Arial" w:hAnsi="Arial"/>
          <w:b w:val="true"/>
          <w:sz w:val="22"/>
        </w:rPr>
        <w:t>但这只是一个特定预算点的结论</w:t>
      </w:r>
      <w:r>
        <w:rPr>
          <w:rFonts w:eastAsia="等线" w:ascii="Arial" w:cs="Arial" w:hAnsi="Arial"/>
          <w:sz w:val="22"/>
        </w:rPr>
        <w:t>——在 400 tokens 处，Flash 过墙率仅 10%，Pro 为 35%，Pro 的 TCO 优势会大幅扩大。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结论</w:t>
      </w:r>
    </w:p>
    <w:p>
      <w:pPr>
        <w:spacing w:before="120" w:after="120" w:line="288" w:lineRule="auto"/>
        <w:ind w:left="0"/>
        <w:jc w:val="left"/>
      </w:pPr>
      <w:r>
        <w:rPr>
          <w:rFonts w:eastAsia="等线" w:ascii="Arial" w:cs="Arial" w:hAnsi="Arial"/>
          <w:sz w:val="22"/>
        </w:rPr>
        <w:t>模型选型必须结合</w:t>
      </w:r>
      <w:r>
        <w:rPr>
          <w:rFonts w:eastAsia="等线" w:ascii="Arial" w:cs="Arial" w:hAnsi="Arial"/>
          <w:b w:val="true"/>
          <w:sz w:val="22"/>
        </w:rPr>
        <w:t>具体任务、具体预算、具体成功率目标</w:t>
      </w:r>
      <w:r>
        <w:rPr>
          <w:rFonts w:eastAsia="等线" w:ascii="Arial" w:cs="Arial" w:hAnsi="Arial"/>
          <w:sz w:val="22"/>
        </w:rPr>
        <w:t>进行 TCO 计算，不存在 universally better 的模型。</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71" w:id="71"/>
      <w:r>
        <w:rPr>
          <w:rFonts w:eastAsia="等线" w:ascii="Arial" w:cs="Arial" w:hAnsi="Arial"/>
          <w:color w:val="3370ff"/>
          <w:sz w:val="32"/>
        </w:rPr>
        <w:t xml:space="preserve">6.7 </w:t>
      </w:r>
      <w:r>
        <w:rPr>
          <w:rFonts w:eastAsia="等线" w:ascii="Arial" w:cs="Arial" w:hAnsi="Arial"/>
          <w:b w:val="true"/>
          <w:sz w:val="32"/>
        </w:rPr>
        <w:t>M6：Thinking Mode 的初步探索——深度思考能否打破平台期？</w:t>
      </w:r>
      <w:bookmarkEnd w:id="71"/>
    </w:p>
    <w:p>
      <w:pPr>
        <w:spacing w:before="120" w:after="120" w:line="288" w:lineRule="auto"/>
        <w:ind w:left="0"/>
        <w:jc w:val="left"/>
      </w:pPr>
    </w:p>
    <w:p>
      <w:pPr>
        <w:pStyle w:val="3"/>
        <w:spacing w:before="300" w:after="120" w:line="288" w:lineRule="auto"/>
        <w:ind w:left="0"/>
        <w:jc w:val="left"/>
        <w:outlineLvl w:val="2"/>
      </w:pPr>
      <w:bookmarkStart w:name="heading_72" w:id="72"/>
      <w:r>
        <w:rPr>
          <w:rFonts w:eastAsia="等线" w:ascii="Arial" w:cs="Arial" w:hAnsi="Arial"/>
          <w:color w:val="3370ff"/>
          <w:sz w:val="30"/>
        </w:rPr>
        <w:t xml:space="preserve">6.7.1 </w:t>
      </w:r>
      <w:r>
        <w:rPr>
          <w:rFonts w:eastAsia="等线" w:ascii="Arial" w:cs="Arial" w:hAnsi="Arial"/>
          <w:b w:val="true"/>
          <w:sz w:val="30"/>
        </w:rPr>
        <w:t>实验设计与数据</w:t>
      </w:r>
      <w:bookmarkEnd w:id="72"/>
    </w:p>
    <w:p>
      <w:pPr>
        <w:spacing w:before="120" w:after="120" w:line="288" w:lineRule="auto"/>
        <w:ind w:left="0"/>
        <w:jc w:val="left"/>
      </w:pPr>
    </w:p>
    <w:p>
      <w:pPr>
        <w:spacing w:before="120" w:after="120" w:line="288" w:lineRule="auto"/>
        <w:ind w:left="0"/>
        <w:jc w:val="left"/>
      </w:pPr>
      <w:r>
        <w:rPr>
          <w:rFonts w:eastAsia="等线" w:ascii="Arial" w:cs="Arial" w:hAnsi="Arial"/>
          <w:sz w:val="22"/>
        </w:rPr>
        <w:t>M6 是一个探索性模块，旨在回答："如果给 Agent 极大的预算（20000 tokens）并启用深度思考模式（thinking mode），它能否突破 1200-2000 tokens 区间观察到的平台期？"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现有数据（N=20/组，Flash + Pro）：</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DeepSeek Flash：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模式</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 Budget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A_Win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B_Win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Draw</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A_Win Rate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Draw Rate</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Non-Thinking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34.9%</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30.2%</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Thinking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DeepSeek Pro：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模式</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 Budget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A_Win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B_Win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Draw</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A_Win Rate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Draw Rate</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Non-Thinking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Thinking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跨模型对比：</w:t>
      </w:r>
    </w:p>
    <w:p>
      <w:pPr>
        <w:numPr>
          <w:numId w:val="143"/>
        </w:numPr>
        <w:spacing w:before="120" w:after="120" w:line="288" w:lineRule="auto"/>
        <w:ind w:left="0"/>
        <w:jc w:val="left"/>
      </w:pPr>
      <w:r>
        <w:rPr>
          <w:rFonts w:eastAsia="等线" w:ascii="Arial" w:cs="Arial" w:hAnsi="Arial"/>
          <w:b w:val="true"/>
          <w:sz w:val="22"/>
        </w:rPr>
        <w:t>Flash</w:t>
      </w:r>
      <w:r>
        <w:rPr>
          <w:rFonts w:eastAsia="等线" w:ascii="Arial" w:cs="Arial" w:hAnsi="Arial"/>
          <w:sz w:val="22"/>
        </w:rPr>
        <w:t>：Thinking Mode 显著提升胜率（+30.1pp）并降低平局率（-20.2pp）。由于 Flash 在 2000 预算下平局率仍高达 30.2%，深度思考的"循环检测"价值最为突出。</w:t>
      </w:r>
    </w:p>
    <w:p>
      <w:pPr>
        <w:numPr>
          <w:numId w:val="144"/>
        </w:numPr>
        <w:spacing w:before="120" w:after="120" w:line="288" w:lineRule="auto"/>
        <w:ind w:left="0"/>
        <w:jc w:val="left"/>
      </w:pPr>
      <w:r>
        <w:rPr>
          <w:rFonts w:eastAsia="等线" w:ascii="Arial" w:cs="Arial" w:hAnsi="Arial"/>
          <w:b w:val="true"/>
          <w:sz w:val="22"/>
        </w:rPr>
        <w:t>Pro</w:t>
      </w:r>
      <w:r>
        <w:rPr>
          <w:rFonts w:eastAsia="等线" w:ascii="Arial" w:cs="Arial" w:hAnsi="Arial"/>
          <w:sz w:val="22"/>
        </w:rPr>
        <w:t>：Thinking Mode 胜率从 65.0% 提升至 80.0%（+15.0pp），平局率从本已很低的 2.5% 降至 0%。Pro 的增益幅度小于 Flash，这与其本身已处于高平台有关——深度思考对 Pro 的作用是"锦上添花"而非"雪中送炭"。</w:t>
      </w:r>
    </w:p>
    <w:p>
      <w:pPr>
        <w:spacing w:before="120" w:after="120" w:line="288" w:lineRule="auto"/>
        <w:ind w:left="0"/>
        <w:jc w:val="left"/>
      </w:pPr>
    </w:p>
    <w:p>
      <w:pPr>
        <w:pStyle w:val="3"/>
        <w:spacing w:before="300" w:after="120" w:line="288" w:lineRule="auto"/>
        <w:ind w:left="0"/>
        <w:jc w:val="left"/>
        <w:outlineLvl w:val="2"/>
      </w:pPr>
      <w:bookmarkStart w:name="heading_73" w:id="73"/>
      <w:r>
        <w:rPr>
          <w:rFonts w:eastAsia="等线" w:ascii="Arial" w:cs="Arial" w:hAnsi="Arial"/>
          <w:color w:val="3370ff"/>
          <w:sz w:val="30"/>
        </w:rPr>
        <w:t xml:space="preserve">6.7.2 </w:t>
      </w:r>
      <w:r>
        <w:rPr>
          <w:rFonts w:eastAsia="等线" w:ascii="Arial" w:cs="Arial" w:hAnsi="Arial"/>
          <w:b w:val="true"/>
          <w:sz w:val="30"/>
        </w:rPr>
        <w:t>Thinking Mode 的作用机制假说</w:t>
      </w:r>
      <w:bookmarkEnd w:id="73"/>
    </w:p>
    <w:p>
      <w:pPr>
        <w:spacing w:before="120" w:after="120" w:line="288" w:lineRule="auto"/>
        <w:ind w:left="0"/>
        <w:jc w:val="left"/>
      </w:pPr>
    </w:p>
    <w:p>
      <w:pPr>
        <w:spacing w:before="120" w:after="120" w:line="288" w:lineRule="auto"/>
        <w:ind w:left="0"/>
        <w:jc w:val="left"/>
      </w:pPr>
      <w:r>
        <w:rPr>
          <w:rFonts w:eastAsia="等线" w:ascii="Arial" w:cs="Arial" w:hAnsi="Arial"/>
          <w:sz w:val="22"/>
        </w:rPr>
        <w:t>基于对 Thinking Mode 回合级日志的定性分析，我们提出两个关于其作用机制的竞争性假说：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假说 A："策略优化假说"</w:t>
      </w:r>
    </w:p>
    <w:p>
      <w:pPr>
        <w:spacing w:before="120" w:after="120" w:line="288" w:lineRule="auto"/>
        <w:ind w:left="0"/>
        <w:jc w:val="left"/>
      </w:pPr>
      <w:r>
        <w:rPr>
          <w:rFonts w:eastAsia="等线" w:ascii="Arial" w:cs="Arial" w:hAnsi="Arial"/>
          <w:sz w:val="22"/>
        </w:rPr>
        <w:t>Thinking Mode 使 Agent 能够探索更复杂的空间推理策略（如多步前瞻、几何路径规划），从而直接提升绕墙成功率。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假说 B："循环检测假说"</w:t>
      </w:r>
    </w:p>
    <w:p>
      <w:pPr>
        <w:spacing w:before="120" w:after="120" w:line="288" w:lineRule="auto"/>
        <w:ind w:left="0"/>
        <w:jc w:val="left"/>
      </w:pPr>
      <w:r>
        <w:rPr>
          <w:rFonts w:eastAsia="等线" w:ascii="Arial" w:cs="Arial" w:hAnsi="Arial"/>
          <w:sz w:val="22"/>
        </w:rPr>
        <w:t>Thinking Mode 的主要作用不是产生更好的策略，而是使 Agent 能够</w:t>
      </w:r>
      <w:r>
        <w:rPr>
          <w:rFonts w:eastAsia="等线" w:ascii="Arial" w:cs="Arial" w:hAnsi="Arial"/>
          <w:b w:val="true"/>
          <w:sz w:val="22"/>
        </w:rPr>
        <w:t>识别自己陷入了无效循环</w:t>
      </w:r>
      <w:r>
        <w:rPr>
          <w:rFonts w:eastAsia="等线" w:ascii="Arial" w:cs="Arial" w:hAnsi="Arial"/>
          <w:sz w:val="22"/>
        </w:rPr>
        <w:t>（如"我已经尝试向上走了 3 次都被挡，应该换方向"），从而主动打破平局趋势。</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现有证据更支持假说 B</w:t>
      </w:r>
      <w:r>
        <w:rPr>
          <w:rFonts w:eastAsia="等线" w:ascii="Arial" w:cs="Arial" w:hAnsi="Arial"/>
          <w:sz w:val="22"/>
        </w:rPr>
        <w:t>：</w:t>
      </w:r>
    </w:p>
    <w:p>
      <w:pPr>
        <w:numPr>
          <w:numId w:val="145"/>
        </w:numPr>
        <w:spacing w:before="120" w:after="120" w:line="288" w:lineRule="auto"/>
        <w:ind w:left="0"/>
        <w:jc w:val="left"/>
      </w:pPr>
      <w:r>
        <w:rPr>
          <w:rFonts w:eastAsia="等线" w:ascii="Arial" w:cs="Arial" w:hAnsi="Arial"/>
          <w:b w:val="true"/>
          <w:sz w:val="22"/>
        </w:rPr>
        <w:t>Flash</w:t>
      </w:r>
      <w:r>
        <w:rPr>
          <w:rFonts w:eastAsia="等线" w:ascii="Arial" w:cs="Arial" w:hAnsi="Arial"/>
          <w:sz w:val="22"/>
        </w:rPr>
        <w:t>：Thinking Mode 的胜率提升伴随着平局率的急剧下降（30.2%→10.0%），而非 B_Win 率的大幅变化（34.9%→25.0%）。这表明 Flash 的主要问题是"卡在墙前"，深度思考帮助它识别并跳出这一状态。</w:t>
      </w:r>
    </w:p>
    <w:p>
      <w:pPr>
        <w:numPr>
          <w:numId w:val="146"/>
        </w:numPr>
        <w:spacing w:before="120" w:after="120" w:line="288" w:lineRule="auto"/>
        <w:ind w:left="0"/>
        <w:jc w:val="left"/>
      </w:pPr>
      <w:r>
        <w:rPr>
          <w:rFonts w:eastAsia="等线" w:ascii="Arial" w:cs="Arial" w:hAnsi="Arial"/>
          <w:b w:val="true"/>
          <w:sz w:val="22"/>
        </w:rPr>
        <w:t>Pro</w:t>
      </w:r>
      <w:r>
        <w:rPr>
          <w:rFonts w:eastAsia="等线" w:ascii="Arial" w:cs="Arial" w:hAnsi="Arial"/>
          <w:sz w:val="22"/>
        </w:rPr>
        <w:t>：Pro 在 2000 预算下平局率已极低（2.5%），Thinking Mode 的增益主要来自 A_Win 率的提升（65.0%→80.0%），而非平局率的压缩。这提示 Pro 的 Thinking Mode 价值在于"在已能过墙的基础上做出更优的追击决策"，而非"避免卡死"。</w:t>
      </w:r>
    </w:p>
    <w:p>
      <w:pPr>
        <w:numPr>
          <w:numId w:val="147"/>
        </w:numPr>
        <w:spacing w:before="120" w:after="120" w:line="288" w:lineRule="auto"/>
        <w:ind w:left="0"/>
        <w:jc w:val="left"/>
      </w:pPr>
      <w:r>
        <w:rPr>
          <w:rFonts w:eastAsia="等线" w:ascii="Arial" w:cs="Arial" w:hAnsi="Arial"/>
          <w:sz w:val="22"/>
        </w:rPr>
        <w:t>Thinking Mode 的日志显示大量"自我监控"内容（"我已经在这个位置停留了太久，需要改变策略"），而非"更优路径发现"内容</w:t>
      </w:r>
    </w:p>
    <w:p>
      <w:pPr>
        <w:numPr>
          <w:numId w:val="148"/>
        </w:numPr>
        <w:spacing w:before="120" w:after="120" w:line="288" w:lineRule="auto"/>
        <w:ind w:left="0"/>
        <w:jc w:val="left"/>
      </w:pPr>
      <w:r>
        <w:rPr>
          <w:rFonts w:eastAsia="等线" w:ascii="Arial" w:cs="Arial" w:hAnsi="Arial"/>
          <w:sz w:val="22"/>
        </w:rPr>
        <w:t>成功过墙后的 P3/P4 表现，Thinking 与 Non-Thinking 无显著差异（捕获成功率均在 80%+）</w:t>
      </w:r>
    </w:p>
    <w:p>
      <w:pPr>
        <w:spacing w:before="120" w:after="120" w:line="288" w:lineRule="auto"/>
        <w:ind w:left="0"/>
        <w:jc w:val="center"/>
      </w:pPr>
      <w:r>
        <w:drawing>
          <wp:inline distT="0" distR="0" distB="0" distL="0">
            <wp:extent cx="5257800" cy="32956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7"/>
                    <a:stretch>
                      <a:fillRect/>
                    </a:stretch>
                  </pic:blipFill>
                  <pic:spPr>
                    <a:xfrm>
                      <a:off x="0" y="0"/>
                      <a:ext cx="5257800" cy="32956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74" w:id="74"/>
      <w:r>
        <w:rPr>
          <w:rFonts w:eastAsia="等线" w:ascii="Arial" w:cs="Arial" w:hAnsi="Arial"/>
          <w:color w:val="3370ff"/>
          <w:sz w:val="30"/>
        </w:rPr>
        <w:t xml:space="preserve">6.7.3 </w:t>
      </w:r>
      <w:r>
        <w:rPr>
          <w:rFonts w:eastAsia="等线" w:ascii="Arial" w:cs="Arial" w:hAnsi="Arial"/>
          <w:b w:val="true"/>
          <w:sz w:val="30"/>
        </w:rPr>
        <w:t>探索性结论与待验证问题</w:t>
      </w:r>
      <w:bookmarkEnd w:id="74"/>
    </w:p>
    <w:p>
      <w:pPr>
        <w:spacing w:before="120" w:after="120" w:line="288" w:lineRule="auto"/>
        <w:ind w:left="0"/>
        <w:jc w:val="left"/>
      </w:pPr>
      <w:r>
        <w:rPr>
          <w:rFonts w:eastAsia="等线" w:ascii="Arial" w:cs="Arial" w:hAnsi="Arial"/>
          <w:b w:val="true"/>
          <w:sz w:val="22"/>
        </w:rPr>
        <w:t>当前可做出的探索性结论：</w:t>
      </w:r>
    </w:p>
    <w:p>
      <w:pPr>
        <w:numPr>
          <w:numId w:val="149"/>
        </w:numPr>
        <w:spacing w:before="120" w:after="120" w:line="288" w:lineRule="auto"/>
        <w:ind w:left="0"/>
        <w:jc w:val="left"/>
      </w:pPr>
      <w:r>
        <w:rPr>
          <w:rFonts w:eastAsia="等线" w:ascii="Arial" w:cs="Arial" w:hAnsi="Arial"/>
          <w:sz w:val="22"/>
        </w:rPr>
        <w:t>Thinking Mode 在极端预算条件下显著改善了两个模型的空间任务表现，但作用机制因模型基线能力而异：对 Flash 主要是"降低平局率"（避免卡死），对 Pro 主要是"提升胜率"（优化决策）</w:t>
      </w:r>
    </w:p>
    <w:p>
      <w:pPr>
        <w:numPr>
          <w:numId w:val="150"/>
        </w:numPr>
        <w:spacing w:before="120" w:after="120" w:line="288" w:lineRule="auto"/>
        <w:ind w:left="0"/>
        <w:jc w:val="left"/>
      </w:pPr>
      <w:r>
        <w:rPr>
          <w:rFonts w:eastAsia="等线" w:ascii="Arial" w:cs="Arial" w:hAnsi="Arial"/>
          <w:sz w:val="22"/>
        </w:rPr>
        <w:t>这一效果的底层机制更可能是"循环检测与自我纠正"而非"策略质量的直接提升"</w:t>
      </w:r>
    </w:p>
    <w:p>
      <w:pPr>
        <w:numPr>
          <w:numId w:val="151"/>
        </w:numPr>
        <w:spacing w:before="120" w:after="120" w:line="288" w:lineRule="auto"/>
        <w:ind w:left="0"/>
        <w:jc w:val="left"/>
      </w:pPr>
      <w:r>
        <w:rPr>
          <w:rFonts w:eastAsia="等线" w:ascii="Arial" w:cs="Arial" w:hAnsi="Arial"/>
          <w:b w:val="true"/>
          <w:sz w:val="22"/>
        </w:rPr>
        <w:t>Thinking Mode 的实际 token 消耗</w:t>
      </w:r>
      <w:r>
        <w:rPr>
          <w:rFonts w:eastAsia="等线" w:ascii="Arial" w:cs="Arial" w:hAnsi="Arial"/>
          <w:sz w:val="22"/>
        </w:rPr>
        <w:t>（思考链长度）需要进一步分析——如果思考链本身消耗了数万个 token，即使胜率提升，TCO 可能反而不经济</w:t>
      </w:r>
    </w:p>
    <w:p>
      <w:pPr>
        <w:numPr>
          <w:numId w:val="152"/>
        </w:numPr>
        <w:spacing w:before="120" w:after="120" w:line="288" w:lineRule="auto"/>
        <w:ind w:left="0"/>
        <w:jc w:val="left"/>
      </w:pPr>
      <w:r>
        <w:rPr>
          <w:rFonts w:eastAsia="等线" w:ascii="Arial" w:cs="Arial" w:hAnsi="Arial"/>
          <w:b w:val="true"/>
          <w:sz w:val="22"/>
        </w:rPr>
        <w:t>Thinking Mode 同样没有涌现出非对称博弈策略能力</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75" w:id="75"/>
      <w:r>
        <w:rPr>
          <w:rFonts w:eastAsia="等线" w:ascii="Arial" w:cs="Arial" w:hAnsi="Arial"/>
          <w:color w:val="3370ff"/>
          <w:sz w:val="36"/>
        </w:rPr>
        <w:t xml:space="preserve">7. </w:t>
      </w:r>
      <w:r>
        <w:rPr>
          <w:rFonts w:eastAsia="等线" w:ascii="Arial" w:cs="Arial" w:hAnsi="Arial"/>
          <w:b w:val="true"/>
          <w:sz w:val="36"/>
        </w:rPr>
        <w:t>总结与工业指导</w:t>
      </w:r>
      <w:bookmarkEnd w:id="75"/>
    </w:p>
    <w:p>
      <w:pPr>
        <w:pStyle w:val="2"/>
        <w:spacing w:before="320" w:after="120" w:line="288" w:lineRule="auto"/>
        <w:ind w:left="0"/>
        <w:jc w:val="left"/>
        <w:outlineLvl w:val="1"/>
      </w:pPr>
      <w:bookmarkStart w:name="heading_76" w:id="76"/>
      <w:r>
        <w:rPr>
          <w:rFonts w:eastAsia="等线" w:ascii="Arial" w:cs="Arial" w:hAnsi="Arial"/>
          <w:color w:val="3370ff"/>
          <w:sz w:val="32"/>
        </w:rPr>
        <w:t xml:space="preserve">7.1 </w:t>
      </w:r>
      <w:r>
        <w:rPr>
          <w:rFonts w:eastAsia="等线" w:ascii="Arial" w:cs="Arial" w:hAnsi="Arial"/>
          <w:b w:val="true"/>
          <w:sz w:val="32"/>
        </w:rPr>
        <w:t>核心发现回顾</w:t>
      </w:r>
      <w:bookmarkEnd w:id="76"/>
    </w:p>
    <w:p>
      <w:pPr>
        <w:spacing w:before="120" w:after="120" w:line="288" w:lineRule="auto"/>
        <w:ind w:left="0"/>
        <w:jc w:val="left"/>
      </w:pPr>
      <w:r>
        <w:rPr>
          <w:rFonts w:eastAsia="等线" w:ascii="Arial" w:cs="Arial" w:hAnsi="Arial"/>
          <w:sz w:val="22"/>
        </w:rPr>
        <w:t>本研究通过约 726 局对照实验（Flash N=365，Pro N=361），系统性地揭示了 Token Budget 对 LLM Agent 空间推理性能的非线性影响。六大模块的核心发现可归纳为以下五点：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发现一：预算-胜率曲线呈"三段式"阶梯形态</w:t>
      </w:r>
    </w:p>
    <w:p>
      <w:pPr>
        <w:spacing w:before="120" w:after="120" w:line="288" w:lineRule="auto"/>
        <w:ind w:left="0"/>
        <w:jc w:val="left"/>
      </w:pPr>
      <w:r>
        <w:rPr>
          <w:rFonts w:eastAsia="等线" w:ascii="Arial" w:cs="Arial" w:hAnsi="Arial"/>
          <w:sz w:val="22"/>
        </w:rPr>
        <w:t>存在明确的死区（&lt;800 tokens）、跃迁区（800-1200 tokens）和平台期（&gt;1200 tokens）。对于本研究的空间追逐任务，</w:t>
      </w:r>
      <w:r>
        <w:rPr>
          <w:rFonts w:eastAsia="等线" w:ascii="Arial" w:cs="Arial" w:hAnsi="Arial"/>
          <w:b w:val="true"/>
          <w:sz w:val="22"/>
        </w:rPr>
        <w:t>1000-1200 tokens 是成本-效益的帕累托前沿</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发现二：预算效应高度集中于 Phase 2（绕墙阶段）</w:t>
      </w:r>
    </w:p>
    <w:p>
      <w:pPr>
        <w:spacing w:before="120" w:after="120" w:line="288" w:lineRule="auto"/>
        <w:ind w:left="0"/>
        <w:jc w:val="left"/>
      </w:pPr>
      <w:r>
        <w:rPr>
          <w:rFonts w:eastAsia="等线" w:ascii="Arial" w:cs="Arial" w:hAnsi="Arial"/>
          <w:sz w:val="22"/>
        </w:rPr>
        <w:t>预算不提升"全局智商"，只提升"突破特定认知瓶颈（P2 绕墙）的概率"。P1/P3 是纯粹的物理通勤，预算弹性接近零；P4 受游戏机制的结构性因素主导。所有四个阶段中，仅 P2 对预算变化呈现显著弹性——这意味着动态预算策略应靶向 P2，而非均匀分配。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发现三：平局是最昂贵的失败</w:t>
      </w:r>
    </w:p>
    <w:p>
      <w:pPr>
        <w:spacing w:before="120" w:after="120" w:line="288" w:lineRule="auto"/>
        <w:ind w:left="0"/>
        <w:jc w:val="left"/>
      </w:pPr>
      <w:r>
        <w:rPr>
          <w:rFonts w:eastAsia="等线" w:ascii="Arial" w:cs="Arial" w:hAnsi="Arial"/>
          <w:sz w:val="22"/>
        </w:rPr>
        <w:t>平局游戏的 token 消耗是决胜游戏的约 1.8 倍（中位数：65,958 vs 36,808 tokens），但产出为零。降低平局率是成本优化的最高杠杆点。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发现四：更多 Token ≠ 更好决策（过度思考悖论）</w:t>
      </w:r>
    </w:p>
    <w:p>
      <w:pPr>
        <w:spacing w:before="120" w:after="120" w:line="288" w:lineRule="auto"/>
        <w:ind w:left="0"/>
        <w:jc w:val="left"/>
      </w:pPr>
      <w:r>
        <w:rPr>
          <w:rFonts w:eastAsia="等线" w:ascii="Arial" w:cs="Arial" w:hAnsi="Arial"/>
          <w:sz w:val="22"/>
        </w:rPr>
        <w:t>单轮高 token 消耗是"陷入困境"的信号，而非"深思熟虑"的标志。Token 消耗应被重新定义为 Agent 健康状态的实时遥测指标。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发现五：模型差异主要体现在"认知消费观"而非"天花板位置"</w:t>
      </w:r>
    </w:p>
    <w:p>
      <w:pPr>
        <w:spacing w:before="120" w:after="120" w:line="288" w:lineRule="auto"/>
        <w:ind w:left="0"/>
        <w:jc w:val="left"/>
      </w:pPr>
      <w:r>
        <w:rPr>
          <w:rFonts w:eastAsia="等线" w:ascii="Arial" w:cs="Arial" w:hAnsi="Arial"/>
          <w:sz w:val="22"/>
        </w:rPr>
        <w:t>Pro 有内生的认知饱和度（消耗不随预算上升），Flash 是预算驱动型（消耗随预算上升）。这种差异不改变能力跃迁的预算阈值位置，只改变达到该阈值的成本曲线。模型选型应基于具体任务的 TCO 计算，而非简单的能力排名。</w:t>
      </w:r>
    </w:p>
    <w:p>
      <w:pPr>
        <w:spacing w:before="120" w:after="120" w:line="288" w:lineRule="auto"/>
        <w:ind w:left="0"/>
        <w:jc w:val="left"/>
      </w:pPr>
    </w:p>
    <w:p>
      <w:pPr>
        <w:pStyle w:val="2"/>
        <w:spacing w:before="320" w:after="120" w:line="288" w:lineRule="auto"/>
        <w:ind w:left="0"/>
        <w:jc w:val="left"/>
        <w:outlineLvl w:val="1"/>
      </w:pPr>
      <w:bookmarkStart w:name="heading_77" w:id="77"/>
      <w:r>
        <w:rPr>
          <w:rFonts w:eastAsia="等线" w:ascii="Arial" w:cs="Arial" w:hAnsi="Arial"/>
          <w:color w:val="3370ff"/>
          <w:sz w:val="32"/>
        </w:rPr>
        <w:t xml:space="preserve">7.2 </w:t>
      </w:r>
      <w:r>
        <w:rPr>
          <w:rFonts w:eastAsia="等线" w:ascii="Arial" w:cs="Arial" w:hAnsi="Arial"/>
          <w:b w:val="true"/>
          <w:sz w:val="32"/>
        </w:rPr>
        <w:t>对工业界的五项指导建议</w:t>
      </w:r>
      <w:bookmarkEnd w:id="77"/>
    </w:p>
    <w:p>
      <w:pPr>
        <w:spacing w:before="120" w:after="120" w:line="288" w:lineRule="auto"/>
        <w:ind w:left="0"/>
        <w:jc w:val="left"/>
      </w:pPr>
      <w:r>
        <w:rPr>
          <w:rFonts w:eastAsia="等线" w:ascii="Arial" w:cs="Arial" w:hAnsi="Arial"/>
          <w:b w:val="true"/>
          <w:sz w:val="22"/>
        </w:rPr>
        <w:t>建议一：先判定"任务-AI 适配性"，避免将 AI 用于可规则化任务</w:t>
      </w:r>
    </w:p>
    <w:p>
      <w:pPr>
        <w:spacing w:before="120" w:after="120" w:line="288" w:lineRule="auto"/>
        <w:ind w:left="0"/>
        <w:jc w:val="left"/>
      </w:pPr>
      <w:r>
        <w:rPr>
          <w:rFonts w:eastAsia="等线" w:ascii="Arial" w:cs="Arial" w:hAnsi="Arial"/>
          <w:sz w:val="22"/>
        </w:rPr>
        <w:t>如果一个任务目标明确且可通过简单规则遍历，切勿盲目投入 AI——此时 ROI 急剧下降，且模型可能在原理上缺乏该类任务的处理能力，造成 token 资源的无效浪费。预算决策的前提是：先验证当前 SOTA 模型在任务类型上的能力边界，再决定投入规模。</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建议二：实施"分阶段动态预算"策略</w:t>
      </w:r>
    </w:p>
    <w:p>
      <w:pPr>
        <w:spacing w:before="120" w:after="120" w:line="288" w:lineRule="auto"/>
        <w:ind w:left="0"/>
        <w:jc w:val="left"/>
      </w:pPr>
      <w:r>
        <w:rPr>
          <w:rFonts w:eastAsia="等线" w:ascii="Arial" w:cs="Arial" w:hAnsi="Arial"/>
          <w:sz w:val="22"/>
        </w:rPr>
        <w:t>无需对 Workflow 中每个子任务都宽松分配 token。在复杂策略阶段（如本研究的 P2）采用 token 宽松策略，可能促成智能涌现；在简单阶段（如 P1/P3 通勤）采用 token 严格策略，一方面大幅节约成本，另一方面可避免 AI 过度思考引发的产出副作用。预计可节省 30-50% 的总 token 成本。</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建议三：将"平局检测"作为核心监控指标</w:t>
      </w:r>
    </w:p>
    <w:p>
      <w:pPr>
        <w:spacing w:before="120" w:after="120" w:line="288" w:lineRule="auto"/>
        <w:ind w:left="0"/>
        <w:jc w:val="left"/>
      </w:pPr>
      <w:r>
        <w:rPr>
          <w:rFonts w:eastAsia="等线" w:ascii="Arial" w:cs="Arial" w:hAnsi="Arial"/>
          <w:sz w:val="22"/>
        </w:rPr>
        <w:t>平局不是"没赢"，而是"以最高成本的方式没赢"。在大规模并发 AI Agent 调用中，"认知卡死"会使 token 无限制消耗、污染产出结果，且具有极强的迷惑性。产品设计应内置卡死检测机制：监控连续 N 轮无空间进展（distance to target 不变或增大），或 token 消耗-进展比低于阈值时，主动触发启发式 fallback（如随机绕行、固定方向突破）或人工接管。</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建议四：将 Token 消耗重新定义为 Agent 健康状态的实时遥测指标</w:t>
      </w:r>
    </w:p>
    <w:p>
      <w:pPr>
        <w:spacing w:before="120" w:after="120" w:line="288" w:lineRule="auto"/>
        <w:ind w:left="0"/>
        <w:jc w:val="left"/>
      </w:pPr>
      <w:r>
        <w:rPr>
          <w:rFonts w:eastAsia="等线" w:ascii="Arial" w:cs="Arial" w:hAnsi="Arial"/>
          <w:sz w:val="22"/>
        </w:rPr>
        <w:t>Token 消耗应从"成本变量"重新定义为 Agent 健康状态的诊断指标。这也解释了为什么主流 Agent 框架（如 Claude、OpenAI）逐步将 token 用量与价值放在对话界面最显眼的区域。具体可部署三类监控规则：</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突发性高消耗</w:t>
      </w:r>
      <w:r>
        <w:rPr>
          <w:rFonts w:eastAsia="等线" w:ascii="Arial" w:cs="Arial" w:hAnsi="Arial"/>
          <w:sz w:val="22"/>
        </w:rPr>
        <w:t>：某轮 token 消耗突然跃升至该 Agent 历史均值的 2 倍以上，视为"卡死预警"；</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持续高消耗</w:t>
      </w:r>
      <w:r>
        <w:rPr>
          <w:rFonts w:eastAsia="等线" w:ascii="Arial" w:cs="Arial" w:hAnsi="Arial"/>
          <w:sz w:val="22"/>
        </w:rPr>
        <w:t>：连续多轮处于高消耗状态，意味着 Agent 可能已进入"认知死亡螺旋"，需要外部干预；</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消耗-进展比</w:t>
      </w:r>
      <w:r>
        <w:rPr>
          <w:rFonts w:eastAsia="等线" w:ascii="Arial" w:cs="Arial" w:hAnsi="Arial"/>
          <w:sz w:val="22"/>
        </w:rPr>
        <w:t>：定义"认知效率"= distance reduction / tokens used，当该比值低于阈值（如 0.001/单位 token）时，触发 fallback 机制。</w:t>
      </w:r>
    </w:p>
    <w:p>
      <w:pPr>
        <w:spacing w:before="120" w:after="120" w:line="288" w:lineRule="auto"/>
        <w:ind w:left="0"/>
        <w:jc w:val="left"/>
      </w:pPr>
      <w:r>
        <w:rPr>
          <w:rFonts w:eastAsia="等线" w:ascii="Arial" w:cs="Arial" w:hAnsi="Arial"/>
          <w:sz w:val="22"/>
        </w:rPr>
        <w:t>这种将 token 消耗作为实时遥测数据的思路，是 AI 原生产品设计和运维监控的一个新维度。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建议五：以 ROI 而非"标价"作为模型选型和预算决策的核心指标</w:t>
      </w:r>
    </w:p>
    <w:p>
      <w:pPr>
        <w:spacing w:before="120" w:after="120" w:line="288" w:lineRule="auto"/>
        <w:ind w:left="0"/>
        <w:jc w:val="left"/>
      </w:pPr>
      <w:r>
        <w:rPr>
          <w:rFonts w:eastAsia="等线" w:ascii="Arial" w:cs="Arial" w:hAnsi="Arial"/>
          <w:sz w:val="22"/>
        </w:rPr>
        <w:t>不要比较每百万 token 的标价，而是计算"每成功完成目标任务的 token 成本"。高单价但低消耗的高端模型在某些场景下可能具有更好的 ROI/TCO。预算设定应基于"梯度实验"而非"经验法则"：建议用 4-5 个梯度快速绘制预算-性能曲线，定位跃迁区起点和平台区起点，避免直接采用模型支持的最大 budget。</w:t>
      </w:r>
    </w:p>
    <w:p>
      <w:pPr>
        <w:spacing w:before="120" w:after="120" w:line="288" w:lineRule="auto"/>
        <w:ind w:left="0"/>
        <w:jc w:val="left"/>
      </w:pPr>
    </w:p>
    <w:p>
      <w:pPr>
        <w:pStyle w:val="2"/>
        <w:spacing w:before="320" w:after="120" w:line="288" w:lineRule="auto"/>
        <w:ind w:left="0"/>
        <w:jc w:val="left"/>
        <w:outlineLvl w:val="1"/>
      </w:pPr>
      <w:bookmarkStart w:name="heading_78" w:id="78"/>
      <w:r>
        <w:rPr>
          <w:rFonts w:eastAsia="等线" w:ascii="Arial" w:cs="Arial" w:hAnsi="Arial"/>
          <w:color w:val="3370ff"/>
          <w:sz w:val="32"/>
        </w:rPr>
        <w:t xml:space="preserve">7.3 </w:t>
      </w:r>
      <w:r>
        <w:rPr>
          <w:rFonts w:eastAsia="等线" w:ascii="Arial" w:cs="Arial" w:hAnsi="Arial"/>
          <w:b w:val="true"/>
          <w:sz w:val="32"/>
        </w:rPr>
        <w:t>研究局限与未来方向</w:t>
      </w:r>
      <w:bookmarkEnd w:id="78"/>
    </w:p>
    <w:p>
      <w:pPr>
        <w:spacing w:before="120" w:after="120" w:line="288" w:lineRule="auto"/>
        <w:ind w:left="0"/>
        <w:jc w:val="left"/>
      </w:pPr>
      <w:r>
        <w:rPr>
          <w:rFonts w:eastAsia="等线" w:ascii="Arial" w:cs="Arial" w:hAnsi="Arial"/>
          <w:b w:val="true"/>
          <w:sz w:val="22"/>
        </w:rPr>
        <w:t>局限一：样本量的阶段特异性不足</w:t>
      </w:r>
    </w:p>
    <w:p>
      <w:pPr>
        <w:spacing w:before="120" w:after="120" w:line="288" w:lineRule="auto"/>
        <w:ind w:left="0"/>
        <w:jc w:val="left"/>
      </w:pPr>
      <w:r>
        <w:rPr>
          <w:rFonts w:eastAsia="等线" w:ascii="Arial" w:cs="Arial" w:hAnsi="Arial"/>
          <w:sz w:val="22"/>
        </w:rPr>
        <w:t>虽然总计 N≈726 的样本量对于全局胜率分析已足够，但某些预算-阶段交叉单元（如 400 tokens 下的 Phase 2 成功案例）样本量过小（N=0-3），限制了细粒度推断的稳健性。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局限二：Thinking Mode 的因果推断不完整</w:t>
      </w:r>
    </w:p>
    <w:p>
      <w:pPr>
        <w:spacing w:before="120" w:after="120" w:line="288" w:lineRule="auto"/>
        <w:ind w:left="0"/>
        <w:jc w:val="left"/>
      </w:pPr>
      <w:r>
        <w:rPr>
          <w:rFonts w:eastAsia="等线" w:ascii="Arial" w:cs="Arial" w:hAnsi="Arial"/>
          <w:sz w:val="22"/>
        </w:rPr>
        <w:t>当前 Thinking Mode 数据受预算混淆，无法分离"思考本身"与"更多预算"的效应。待补测完成后需更新结论。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局限三：任务特异性</w:t>
      </w:r>
    </w:p>
    <w:p>
      <w:pPr>
        <w:spacing w:before="120" w:after="120" w:line="288" w:lineRule="auto"/>
        <w:ind w:left="0"/>
        <w:jc w:val="left"/>
      </w:pPr>
      <w:r>
        <w:rPr>
          <w:rFonts w:eastAsia="等线" w:ascii="Arial" w:cs="Arial" w:hAnsi="Arial"/>
          <w:sz w:val="22"/>
        </w:rPr>
        <w:t>本研究的结论直接适用于具有明确物理约束、需要多步空间推理的 LLM Agent 任务（如机器人导航、自动驾驶路径规划）。对于纯文本推理任务（代码生成、文档摘要），预算阈值的位置与形态可能不同，需要独立的实证研究。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未来方向：</w:t>
      </w:r>
    </w:p>
    <w:p>
      <w:pPr>
        <w:numPr>
          <w:numId w:val="153"/>
        </w:numPr>
        <w:spacing w:before="120" w:after="120" w:line="288" w:lineRule="auto"/>
        <w:ind w:left="0"/>
        <w:jc w:val="left"/>
      </w:pPr>
      <w:r>
        <w:rPr>
          <w:rFonts w:eastAsia="等线" w:ascii="Arial" w:cs="Arial" w:hAnsi="Arial"/>
          <w:b w:val="true"/>
          <w:sz w:val="22"/>
        </w:rPr>
        <w:t>动态预算分配</w:t>
      </w:r>
      <w:r>
        <w:rPr>
          <w:rFonts w:eastAsia="等线" w:ascii="Arial" w:cs="Arial" w:hAnsi="Arial"/>
          <w:sz w:val="22"/>
        </w:rPr>
        <w:t>：测试 per-phase budget 机制是否优于静态全局预算</w:t>
      </w:r>
    </w:p>
    <w:p>
      <w:pPr>
        <w:numPr>
          <w:numId w:val="154"/>
        </w:numPr>
        <w:spacing w:before="120" w:after="120" w:line="288" w:lineRule="auto"/>
        <w:ind w:left="0"/>
        <w:jc w:val="left"/>
      </w:pPr>
      <w:r>
        <w:rPr>
          <w:rFonts w:eastAsia="等线" w:ascii="Arial" w:cs="Arial" w:hAnsi="Arial"/>
          <w:b w:val="true"/>
          <w:sz w:val="22"/>
        </w:rPr>
        <w:t>提示工程干预</w:t>
      </w:r>
      <w:r>
        <w:rPr>
          <w:rFonts w:eastAsia="等线" w:ascii="Arial" w:cs="Arial" w:hAnsi="Arial"/>
          <w:sz w:val="22"/>
        </w:rPr>
        <w:t>：为 Phase 2 及 Phase 4 设计专门的 few-shot 绕行示例，量化提示优化对预算阈值的"下移"效果</w:t>
      </w:r>
    </w:p>
    <w:p>
      <w:pPr>
        <w:numPr>
          <w:numId w:val="155"/>
        </w:numPr>
        <w:spacing w:before="120" w:after="120" w:line="288" w:lineRule="auto"/>
        <w:ind w:left="0"/>
        <w:jc w:val="left"/>
      </w:pPr>
      <w:r>
        <w:rPr>
          <w:rFonts w:eastAsia="等线" w:ascii="Arial" w:cs="Arial" w:hAnsi="Arial"/>
          <w:b w:val="true"/>
          <w:sz w:val="22"/>
        </w:rPr>
        <w:t>三维扩展</w:t>
      </w:r>
      <w:r>
        <w:rPr>
          <w:rFonts w:eastAsia="等线" w:ascii="Arial" w:cs="Arial" w:hAnsi="Arial"/>
          <w:sz w:val="22"/>
        </w:rPr>
        <w:t>：将框架迁移至三维导航、机械臂控制等更复杂的空间任务</w:t>
      </w:r>
    </w:p>
    <w:p>
      <w:pPr>
        <w:numPr>
          <w:numId w:val="156"/>
        </w:numPr>
        <w:spacing w:before="120" w:after="120" w:line="288" w:lineRule="auto"/>
        <w:ind w:left="0"/>
        <w:jc w:val="left"/>
      </w:pPr>
      <w:r>
        <w:rPr>
          <w:rFonts w:eastAsia="等线" w:ascii="Arial" w:cs="Arial" w:hAnsi="Arial"/>
          <w:b w:val="true"/>
          <w:sz w:val="22"/>
        </w:rPr>
        <w:t>多模型交叉验证</w:t>
      </w:r>
      <w:r>
        <w:rPr>
          <w:rFonts w:eastAsia="等线" w:ascii="Arial" w:cs="Arial" w:hAnsi="Arial"/>
          <w:sz w:val="22"/>
        </w:rPr>
        <w:t>：完成 Kimi 与 DeepSeek 的完整对比，检验结论的跨模型稳健性</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79" w:id="79"/>
      <w:r>
        <w:rPr>
          <w:rFonts w:eastAsia="等线" w:ascii="Arial" w:cs="Arial" w:hAnsi="Arial"/>
          <w:b w:val="true"/>
          <w:sz w:val="36"/>
        </w:rPr>
        <w:t>附录</w:t>
      </w:r>
      <w:bookmarkEnd w:id="79"/>
    </w:p>
    <w:p>
      <w:pPr>
        <w:pStyle w:val="2"/>
        <w:spacing w:before="320" w:after="120" w:line="288" w:lineRule="auto"/>
        <w:ind w:left="0"/>
        <w:jc w:val="left"/>
        <w:outlineLvl w:val="1"/>
      </w:pPr>
      <w:bookmarkStart w:name="heading_80" w:id="80"/>
      <w:r>
        <w:rPr>
          <w:rFonts w:eastAsia="等线" w:ascii="Arial" w:cs="Arial" w:hAnsi="Arial"/>
          <w:b w:val="true"/>
          <w:sz w:val="32"/>
        </w:rPr>
        <w:t>卡方独立性检验</w:t>
      </w:r>
      <w:bookmarkEnd w:id="80"/>
    </w:p>
    <w:p>
      <w:pPr>
        <w:spacing w:before="120" w:after="120" w:line="288" w:lineRule="auto"/>
        <w:ind w:left="0"/>
        <w:jc w:val="left"/>
      </w:pPr>
      <w:r>
        <w:rPr>
          <w:rFonts w:eastAsia="等线" w:ascii="Arial" w:cs="Arial" w:hAnsi="Arial"/>
          <w:sz w:val="22"/>
        </w:rPr>
        <w:t>亚细亚大图书馆藏着一个困扰了历代馆长的问题：书架上典籍的排列，究竟有没有什么隐秘的秩序？</w:t>
      </w:r>
    </w:p>
    <w:p>
      <w:pPr>
        <w:spacing w:before="120" w:after="120" w:line="288" w:lineRule="auto"/>
        <w:ind w:left="0"/>
        <w:jc w:val="left"/>
      </w:pPr>
      <w:r>
        <w:rPr>
          <w:rFonts w:eastAsia="等线" w:ascii="Arial" w:cs="Arial" w:hAnsi="Arial"/>
          <w:sz w:val="22"/>
        </w:rPr>
        <w:t>新任的年轻馆长上任伊始，就听几位前辈提起一个古老的执念：有人说，书的材质，与它所记载的领域，似乎有某种说不清道不明的勾连。 羊皮纸卷多记律法与神谕，莎草纸卷多录诗歌与游记，而新近流行的蜡板书册，则似乎总是与数学、天文这等冷峻之学绑在一起。</w:t>
      </w:r>
    </w:p>
    <w:p>
      <w:pPr>
        <w:spacing w:before="120" w:after="120" w:line="288" w:lineRule="auto"/>
        <w:ind w:left="0"/>
        <w:jc w:val="left"/>
      </w:pPr>
      <w:r>
        <w:rPr>
          <w:rFonts w:eastAsia="等线" w:ascii="Arial" w:cs="Arial" w:hAnsi="Arial"/>
          <w:sz w:val="22"/>
        </w:rPr>
        <w:t>但这只是观感。观感，是不能写进图书馆年报里的。年轻馆长需要一副更锐利的工具，来检验这种观感，究竟是事实，还是人眼天生的错觉。</w:t>
      </w:r>
    </w:p>
    <w:p>
      <w:pPr>
        <w:spacing w:before="120" w:after="120" w:line="288" w:lineRule="auto"/>
        <w:ind w:left="0"/>
        <w:jc w:val="left"/>
      </w:pPr>
      <w:r>
        <w:rPr>
          <w:rFonts w:eastAsia="等线" w:ascii="Arial" w:cs="Arial" w:hAnsi="Arial"/>
          <w:sz w:val="22"/>
        </w:rPr>
        <w:t>于是，他做了一件事，这件事后来成为亚细亚大图书馆一切知识审计的原型。</w:t>
      </w:r>
    </w:p>
    <w:p>
      <w:pPr>
        <w:spacing w:before="120" w:after="120" w:line="288" w:lineRule="auto"/>
        <w:ind w:left="0"/>
        <w:jc w:val="left"/>
      </w:pPr>
      <w:r>
        <w:rPr>
          <w:rFonts w:eastAsia="等线" w:ascii="Arial" w:cs="Arial" w:hAnsi="Arial"/>
          <w:sz w:val="22"/>
        </w:rPr>
        <w:t>他从长梯顶端俯瞰整个书厅，心中默默划分出两份格子。</w:t>
      </w:r>
    </w:p>
    <w:p>
      <w:pPr>
        <w:spacing w:before="120" w:after="120" w:line="288" w:lineRule="auto"/>
        <w:ind w:left="0"/>
        <w:jc w:val="left"/>
      </w:pPr>
      <w:r>
        <w:rPr>
          <w:rFonts w:eastAsia="等线" w:ascii="Arial" w:cs="Arial" w:hAnsi="Arial"/>
          <w:sz w:val="22"/>
        </w:rPr>
        <w:t>第一份格子，刻在虚空里，按照书的材质划分：羊皮纸的，归一类；莎草纸的，归一类；蜡板的，归一类。</w:t>
      </w:r>
    </w:p>
    <w:p>
      <w:pPr>
        <w:spacing w:before="120" w:after="120" w:line="288" w:lineRule="auto"/>
        <w:ind w:left="0"/>
        <w:jc w:val="left"/>
      </w:pPr>
      <w:r>
        <w:rPr>
          <w:rFonts w:eastAsia="等线" w:ascii="Arial" w:cs="Arial" w:hAnsi="Arial"/>
          <w:sz w:val="22"/>
        </w:rPr>
        <w:t>第二份格子，也刻在虚空里，按照书的领域划分：律法神谕，归一类；诗歌游记，归一类；数学天文，归一类。</w:t>
      </w:r>
    </w:p>
    <w:p>
      <w:pPr>
        <w:spacing w:before="120" w:after="120" w:line="288" w:lineRule="auto"/>
        <w:ind w:left="0"/>
        <w:jc w:val="left"/>
      </w:pPr>
      <w:r>
        <w:rPr>
          <w:rFonts w:eastAsia="等线" w:ascii="Arial" w:cs="Arial" w:hAnsi="Arial"/>
          <w:sz w:val="22"/>
        </w:rPr>
        <w:t>两份格子交叉重叠，便在眼前织成了一张无形的表。表上的每一格，都是一个交叉点——比如，“羊皮纸上的诗歌”。他派遣馆员清点了每一个交叉点上实际摆着多少卷书。</w:t>
      </w:r>
    </w:p>
    <w:p>
      <w:pPr>
        <w:spacing w:before="120" w:after="120" w:line="288" w:lineRule="auto"/>
        <w:ind w:left="0"/>
        <w:jc w:val="left"/>
      </w:pPr>
      <w:r>
        <w:rPr>
          <w:rFonts w:eastAsia="等线" w:ascii="Arial" w:cs="Arial" w:hAnsi="Arial"/>
          <w:sz w:val="22"/>
        </w:rPr>
        <w:t>然后，他就此停手，转而拿起一支笔，开始计算另一件事。</w:t>
      </w:r>
    </w:p>
    <w:p>
      <w:pPr>
        <w:spacing w:before="120" w:after="120" w:line="288" w:lineRule="auto"/>
        <w:ind w:left="0"/>
        <w:jc w:val="left"/>
      </w:pPr>
      <w:r>
        <w:rPr>
          <w:rFonts w:eastAsia="等线" w:ascii="Arial" w:cs="Arial" w:hAnsi="Arial"/>
          <w:sz w:val="22"/>
        </w:rPr>
        <w:t>他假设——纯粹假设——书的材质与领域，根本毫无关系。如果它们是彻彻底底独立的，那么每一格交叉点上，理应有几卷书呢？</w:t>
      </w:r>
    </w:p>
    <w:p>
      <w:pPr>
        <w:spacing w:before="120" w:after="120" w:line="288" w:lineRule="auto"/>
        <w:ind w:left="0"/>
        <w:jc w:val="left"/>
      </w:pPr>
      <w:r>
        <w:rPr>
          <w:rFonts w:eastAsia="等线" w:ascii="Arial" w:cs="Arial" w:hAnsi="Arial"/>
          <w:sz w:val="22"/>
        </w:rPr>
        <w:t>这个很容易推演。如果全馆三成的典籍是羊皮纸，而全馆两成典籍是诗歌，那么在毫无瓜葛的情况下，“羊皮纸上的诗歌”就应该恰好占全馆典籍的 0.3 乘以 0.2——也就是百分之六。这是一个从虚无中推演出来的、纯凭比例的理想数目。</w:t>
      </w:r>
    </w:p>
    <w:p>
      <w:pPr>
        <w:spacing w:before="120" w:after="120" w:line="288" w:lineRule="auto"/>
        <w:ind w:left="0"/>
        <w:jc w:val="left"/>
      </w:pPr>
      <w:r>
        <w:rPr>
          <w:rFonts w:eastAsia="等线" w:ascii="Arial" w:cs="Arial" w:hAnsi="Arial"/>
          <w:sz w:val="22"/>
        </w:rPr>
        <w:t>馆员把每一个交叉格的理想数目也算了出来，然后把两张表并排放在一起。</w:t>
      </w:r>
    </w:p>
    <w:p>
      <w:pPr>
        <w:spacing w:before="120" w:after="120" w:line="288" w:lineRule="auto"/>
        <w:ind w:left="0"/>
        <w:jc w:val="left"/>
      </w:pPr>
      <w:r>
        <w:rPr>
          <w:rFonts w:eastAsia="等线" w:ascii="Arial" w:cs="Arial" w:hAnsi="Arial"/>
          <w:sz w:val="22"/>
        </w:rPr>
        <w:t>一张表上，是实际数出来的卷数。</w:t>
      </w:r>
    </w:p>
    <w:p>
      <w:pPr>
        <w:spacing w:before="120" w:after="120" w:line="288" w:lineRule="auto"/>
        <w:ind w:left="0"/>
        <w:jc w:val="left"/>
      </w:pPr>
      <w:r>
        <w:rPr>
          <w:rFonts w:eastAsia="等线" w:ascii="Arial" w:cs="Arial" w:hAnsi="Arial"/>
          <w:sz w:val="22"/>
        </w:rPr>
        <w:t>另一张表上，是假设材质与领域毫不相干时，理当出现的卷数。</w:t>
      </w:r>
    </w:p>
    <w:p>
      <w:pPr>
        <w:spacing w:before="120" w:after="120" w:line="288" w:lineRule="auto"/>
        <w:ind w:left="0"/>
        <w:jc w:val="left"/>
      </w:pPr>
      <w:r>
        <w:rPr>
          <w:rFonts w:eastAsia="等线" w:ascii="Arial" w:cs="Arial" w:hAnsi="Arial"/>
          <w:sz w:val="22"/>
        </w:rPr>
        <w:t>年轻馆长从高处俯视这两张表。有些格子里，实际数目与理想数目贴得很近，羊皮纸里的律法书，差不多就是那么些。但在另一些格子里，实际与理想的背离，大得令人心悸：莎草纸里的游记，几乎是理想数目的两倍；而蜡板书册中的神谕，则稀少到近乎绝迹。</w:t>
      </w:r>
    </w:p>
    <w:p>
      <w:pPr>
        <w:spacing w:before="120" w:after="120" w:line="288" w:lineRule="auto"/>
        <w:ind w:left="0"/>
        <w:jc w:val="left"/>
      </w:pPr>
      <w:r>
        <w:rPr>
          <w:rFonts w:eastAsia="等线" w:ascii="Arial" w:cs="Arial" w:hAnsi="Arial"/>
          <w:sz w:val="22"/>
        </w:rPr>
        <w:t>他要做的最后一件事，是把每一个格子里实情与理想的偏差，按一种古老的方式聚合起来，熬成一个独一无二、没有量纲的数值。</w:t>
      </w:r>
    </w:p>
    <w:p>
      <w:pPr>
        <w:spacing w:before="120" w:after="120" w:line="288" w:lineRule="auto"/>
        <w:ind w:left="0"/>
        <w:jc w:val="left"/>
      </w:pPr>
      <w:r>
        <w:rPr>
          <w:rFonts w:eastAsia="等线" w:ascii="Arial" w:cs="Arial" w:hAnsi="Arial"/>
          <w:sz w:val="22"/>
        </w:rPr>
        <w:t>这个数值如果很小，小到像一粒尘埃，他便可以说：那些偏差，不过是偶然而已。实际与理想的缝隙，是随机之手拨弄出来的。我可以安心地宣告——典籍的材质与它所载的领域，彼此独立。</w:t>
      </w:r>
    </w:p>
    <w:p>
      <w:pPr>
        <w:spacing w:before="120" w:after="120" w:line="288" w:lineRule="auto"/>
        <w:ind w:left="0"/>
        <w:jc w:val="left"/>
      </w:pPr>
      <w:r>
        <w:rPr>
          <w:rFonts w:eastAsia="等线" w:ascii="Arial" w:cs="Arial" w:hAnsi="Arial"/>
          <w:sz w:val="22"/>
        </w:rPr>
        <w:t>可这个数值一旦大到某个地步，他便不得不咬紧牙关说：这样的偏差，若说全凭偶然，未免太不可信了。那些羊皮纸对律法的偏嗜，那些蜡板对神谕的回避，绝非随机所能解释。材质与领域之间，有染。</w:t>
      </w:r>
    </w:p>
    <w:p>
      <w:pPr>
        <w:spacing w:before="120" w:after="120" w:line="288" w:lineRule="auto"/>
        <w:ind w:left="0"/>
        <w:jc w:val="left"/>
      </w:pPr>
      <w:r>
        <w:rPr>
          <w:rFonts w:eastAsia="等线" w:ascii="Arial" w:cs="Arial" w:hAnsi="Arial"/>
          <w:sz w:val="22"/>
        </w:rPr>
        <w:t>他算出的那个数值，恰恰大到了这个地步。于是，他在图书馆年报中写下了第一条用这种方法确证的规律。</w:t>
      </w:r>
    </w:p>
    <w:p>
      <w:pPr>
        <w:spacing w:before="120" w:after="120" w:line="288" w:lineRule="auto"/>
        <w:ind w:left="0"/>
        <w:jc w:val="left"/>
      </w:pPr>
      <w:r>
        <w:rPr>
          <w:rFonts w:eastAsia="等线" w:ascii="Arial" w:cs="Arial" w:hAnsi="Arial"/>
          <w:sz w:val="22"/>
        </w:rPr>
        <w:t>年报的结尾，他留了一句冰冷的忠告给后来者：</w:t>
      </w:r>
    </w:p>
    <w:p>
      <w:pPr>
        <w:spacing w:before="120" w:after="120" w:line="288" w:lineRule="auto"/>
        <w:ind w:left="0"/>
        <w:jc w:val="left"/>
      </w:pPr>
      <w:r>
        <w:rPr>
          <w:rFonts w:eastAsia="等线" w:ascii="Arial" w:cs="Arial" w:hAnsi="Arial"/>
          <w:sz w:val="22"/>
        </w:rPr>
        <w:t>“这方法，告诉你‘有无关联’，却从不告诉你‘关联有多深’。它是一把筛子，只能筛出随机之手筛不出的渣滓。若想度量关联的深浅，你还得请出别的方法。此外——切莫让任何一个交叉格里的期望数目太过稀少，否则你那聚合起来的数值，便不再可靠。”</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1" w:id="81"/>
      <w:r>
        <w:rPr>
          <w:rFonts w:eastAsia="等线" w:ascii="Arial" w:cs="Arial" w:hAnsi="Arial"/>
          <w:b w:val="true"/>
          <w:sz w:val="30"/>
        </w:rPr>
        <w:t>寓言后记：概念解释</w:t>
      </w:r>
      <w:bookmarkEnd w:id="81"/>
    </w:p>
    <w:p>
      <w:pPr>
        <w:spacing w:before="120" w:after="120" w:line="288" w:lineRule="auto"/>
        <w:ind w:left="0"/>
        <w:jc w:val="left"/>
      </w:pPr>
      <w:r>
        <w:rPr>
          <w:rFonts w:eastAsia="等线" w:ascii="Arial" w:cs="Arial" w:hAnsi="Arial"/>
          <w:sz w:val="22"/>
        </w:rPr>
        <w:t>这则寓言讲述的是统计学中最基础也最常用的非参数检验之一——卡方独立性检验。</w:t>
      </w:r>
    </w:p>
    <w:p>
      <w:pPr>
        <w:spacing w:before="120" w:after="120" w:line="288" w:lineRule="auto"/>
        <w:ind w:left="0"/>
        <w:jc w:val="left"/>
      </w:pPr>
      <w:r>
        <w:rPr>
          <w:rFonts w:eastAsia="等线" w:ascii="Arial" w:cs="Arial" w:hAnsi="Arial"/>
          <w:sz w:val="22"/>
        </w:rPr>
        <w:t>核心概念映射：</w:t>
      </w:r>
    </w:p>
    <w:p>
      <w:pPr>
        <w:spacing w:before="120" w:after="120" w:line="288" w:lineRule="auto"/>
        <w:ind w:left="0"/>
        <w:jc w:val="left"/>
      </w:pPr>
      <w:r>
        <w:rPr>
          <w:rFonts w:eastAsia="等线" w:ascii="Arial" w:cs="Arial" w:hAnsi="Arial"/>
          <w:sz w:val="22"/>
        </w:rPr>
        <w:t>1. 两份虚空中的格子 = 列联表</w:t>
      </w:r>
    </w:p>
    <w:p>
      <w:pPr>
        <w:spacing w:before="120" w:after="120" w:line="288" w:lineRule="auto"/>
        <w:ind w:left="0"/>
        <w:jc w:val="left"/>
      </w:pPr>
      <w:r>
        <w:rPr>
          <w:rFonts w:eastAsia="等线" w:ascii="Arial" w:cs="Arial" w:hAnsi="Arial"/>
          <w:sz w:val="22"/>
        </w:rPr>
        <w:t>寓言中，年轻馆长按“材质”和“领域”把典籍分成两类，交叉形成无形的表格，这正对应一个列联表。列联表的行是一个分类变量（材质），列是另一个分类变量（领域），每一个单元格里是同时属于该行和该列的观察频数。</w:t>
      </w:r>
    </w:p>
    <w:p>
      <w:pPr>
        <w:spacing w:before="120" w:after="120" w:line="288" w:lineRule="auto"/>
        <w:ind w:left="0"/>
        <w:jc w:val="left"/>
      </w:pPr>
      <w:r>
        <w:rPr>
          <w:rFonts w:eastAsia="等线" w:ascii="Arial" w:cs="Arial" w:hAnsi="Arial"/>
          <w:sz w:val="22"/>
        </w:rPr>
        <w:t>2. “理想数目” = 期望频数</w:t>
      </w:r>
    </w:p>
    <w:p>
      <w:pPr>
        <w:spacing w:before="120" w:after="120" w:line="288" w:lineRule="auto"/>
        <w:ind w:left="0"/>
        <w:jc w:val="left"/>
      </w:pPr>
      <w:r>
        <w:rPr>
          <w:rFonts w:eastAsia="等线" w:ascii="Arial" w:cs="Arial" w:hAnsi="Arial"/>
          <w:sz w:val="22"/>
        </w:rPr>
        <w:t>馆长计算的那张“假设毫无关系”时的理想数目，正是独立性检验的核心——期望频数。计算公式正是他所推演的：若两变量独立，某单元格期望频数 =（行总和 × 列总和）/ 总样本量。即寓言中“全馆三成是羊皮纸，两成是诗歌，则羊皮纸诗歌应占百分之六”的精准对应。</w:t>
      </w:r>
    </w:p>
    <w:p>
      <w:pPr>
        <w:spacing w:before="120" w:after="120" w:line="288" w:lineRule="auto"/>
        <w:ind w:left="0"/>
        <w:jc w:val="left"/>
      </w:pPr>
      <w:r>
        <w:rPr>
          <w:rFonts w:eastAsia="等线" w:ascii="Arial" w:cs="Arial" w:hAnsi="Arial"/>
          <w:sz w:val="22"/>
        </w:rPr>
        <w:t>3. 聚合实际与理想的偏差 = 卡方统计量</w:t>
        <w:br/>
      </w:r>
      <w:r>
        <w:rPr>
          <w:rFonts w:eastAsia="等线" w:ascii="Arial" w:cs="Arial" w:hAnsi="Arial"/>
          <w:sz w:val="22"/>
        </w:rPr>
        <w:t>“把每一个格子里实情与理想的偏差，按一种古老的方式聚合起来”，这一步对应的正是卡方统计量的计算。其公式为：χ2=∑(O−E)2E</w:t>
      </w:r>
      <w:r>
        <w:rPr>
          <w:rFonts w:eastAsia="等线" w:ascii="Arial" w:cs="Arial" w:hAnsi="Arial"/>
          <w:i w:val="true"/>
          <w:sz w:val="22"/>
        </w:rPr>
        <w:t>χ</w:t>
      </w:r>
      <w:r>
        <w:rPr>
          <w:rFonts w:eastAsia="等线" w:ascii="Arial" w:cs="Arial" w:hAnsi="Arial"/>
          <w:sz w:val="22"/>
        </w:rPr>
        <w:t>2=∑</w:t>
      </w:r>
      <w:r>
        <w:rPr>
          <w:rFonts w:eastAsia="等线" w:ascii="Arial" w:cs="Arial" w:hAnsi="Arial"/>
          <w:i w:val="true"/>
          <w:sz w:val="22"/>
        </w:rPr>
        <w:t>E</w:t>
      </w:r>
      <w:r>
        <w:rPr>
          <w:rFonts w:eastAsia="等线" w:ascii="Arial" w:cs="Arial" w:hAnsi="Arial"/>
          <w:sz w:val="22"/>
        </w:rPr>
        <w:t>(</w:t>
      </w:r>
      <w:r>
        <w:rPr>
          <w:rFonts w:eastAsia="等线" w:ascii="Arial" w:cs="Arial" w:hAnsi="Arial"/>
          <w:i w:val="true"/>
          <w:sz w:val="22"/>
        </w:rPr>
        <w:t>O</w:t>
      </w:r>
      <w:r>
        <w:rPr>
          <w:rFonts w:eastAsia="等线" w:ascii="Arial" w:cs="Arial" w:hAnsi="Arial"/>
          <w:sz w:val="22"/>
        </w:rPr>
        <w:t>−</w:t>
      </w:r>
      <w:r>
        <w:rPr>
          <w:rFonts w:eastAsia="等线" w:ascii="Arial" w:cs="Arial" w:hAnsi="Arial"/>
          <w:i w:val="true"/>
          <w:sz w:val="22"/>
        </w:rPr>
        <w:t>E</w:t>
      </w:r>
      <w:r>
        <w:rPr>
          <w:rFonts w:eastAsia="等线" w:ascii="Arial" w:cs="Arial" w:hAnsi="Arial"/>
          <w:sz w:val="22"/>
        </w:rPr>
        <w:t>)2，即对每一个单元格，取观察值减去期望值的平方，除以期望值，然后全部累加。这个值的分布服从（在零假设和一定条件下）卡方分布。</w:t>
      </w:r>
    </w:p>
    <w:p>
      <w:pPr>
        <w:spacing w:before="120" w:after="120" w:line="288" w:lineRule="auto"/>
        <w:ind w:left="0"/>
        <w:jc w:val="left"/>
      </w:pPr>
      <w:r>
        <w:rPr>
          <w:rFonts w:eastAsia="等线" w:ascii="Arial" w:cs="Arial" w:hAnsi="Arial"/>
          <w:sz w:val="22"/>
        </w:rPr>
        <w:t>4. 偏差大小与判词 = 假设检验</w:t>
      </w:r>
    </w:p>
    <w:p>
      <w:pPr>
        <w:numPr>
          <w:numId w:val="157"/>
        </w:numPr>
        <w:spacing w:before="120" w:after="120" w:line="288" w:lineRule="auto"/>
        <w:ind w:left="0"/>
        <w:jc w:val="left"/>
      </w:pPr>
      <w:r>
        <w:rPr>
          <w:rFonts w:eastAsia="等线" w:ascii="Arial" w:cs="Arial" w:hAnsi="Arial"/>
          <w:sz w:val="22"/>
        </w:rPr>
        <w:t>偏差“小如一粒尘埃”，意味着观察值与期望值差异很小，无法拒绝“两变量独立”的零假设。</w:t>
      </w:r>
    </w:p>
    <w:p>
      <w:pPr>
        <w:numPr>
          <w:numId w:val="158"/>
        </w:numPr>
        <w:spacing w:before="120" w:after="120" w:line="288" w:lineRule="auto"/>
        <w:ind w:left="0"/>
        <w:jc w:val="left"/>
      </w:pPr>
      <w:r>
        <w:rPr>
          <w:rFonts w:eastAsia="等线" w:ascii="Arial" w:cs="Arial" w:hAnsi="Arial"/>
          <w:sz w:val="22"/>
        </w:rPr>
        <w:t>偏差“大到不可信”，意味着卡方统计量过大，对应的 p 值 小于预设的显著性水平，此时拒绝零假设，判定两个分类变量之间存在显著关联。</w:t>
      </w:r>
    </w:p>
    <w:p>
      <w:pPr>
        <w:spacing w:before="120" w:after="120" w:line="288" w:lineRule="auto"/>
        <w:ind w:left="0"/>
        <w:jc w:val="left"/>
      </w:pPr>
      <w:r>
        <w:rPr>
          <w:rFonts w:eastAsia="等线" w:ascii="Arial" w:cs="Arial" w:hAnsi="Arial"/>
          <w:sz w:val="22"/>
        </w:rPr>
        <w:t>5. 年报末尾的冰冷忠告 = 两个关键注意事项</w:t>
      </w:r>
    </w:p>
    <w:p>
      <w:pPr>
        <w:numPr>
          <w:numId w:val="159"/>
        </w:numPr>
        <w:spacing w:before="120" w:after="120" w:line="288" w:lineRule="auto"/>
        <w:ind w:left="0"/>
        <w:jc w:val="left"/>
      </w:pPr>
      <w:r>
        <w:rPr>
          <w:rFonts w:eastAsia="等线" w:ascii="Arial" w:cs="Arial" w:hAnsi="Arial"/>
          <w:sz w:val="22"/>
        </w:rPr>
        <w:t>“只告诉你有无关联，从不告诉你关联有多深”：卡方统计量反映的是偏离独立的证据强弱，而非关联强度本身。要度量关联强度，需借助 Cramér's V 或 Phi 系数 等效应量指标。</w:t>
      </w:r>
    </w:p>
    <w:p>
      <w:pPr>
        <w:numPr>
          <w:numId w:val="160"/>
        </w:numPr>
        <w:spacing w:before="120" w:after="120" w:line="288" w:lineRule="auto"/>
        <w:ind w:left="0"/>
        <w:jc w:val="left"/>
      </w:pPr>
      <w:r>
        <w:rPr>
          <w:rFonts w:eastAsia="等线" w:ascii="Arial" w:cs="Arial" w:hAnsi="Arial"/>
          <w:sz w:val="22"/>
        </w:rPr>
        <w:t>“勿让期望数目太过稀少”：卡方独立性检验依赖于大样本近似。经验规则是，不应有超过 20% 的单元格期望频数小于 5，且没有单元格期望频数小于 1。违反此条，检验结论便可能失真。这正是寓言中年轻馆长最后警告的核心。</w:t>
      </w:r>
    </w:p>
    <w:p>
      <w:pPr>
        <w:spacing w:before="120" w:after="120" w:line="288" w:lineRule="auto"/>
        <w:ind w:left="0"/>
        <w:jc w:val="left"/>
      </w:pPr>
      <w:r>
        <w:rPr>
          <w:rFonts w:eastAsia="等线" w:ascii="Arial" w:cs="Arial" w:hAnsi="Arial"/>
          <w:sz w:val="22"/>
        </w:rPr>
        <w:t>总结： 卡方独立性检验，本质上是一种衡量观察数据与“独立”假设下理当出现的数据之间总偏差的方法。若总偏差大到随机难以解释，则判定两类分法并非各行其道，而是相互纠缠。它是所有分类数据关系探测的第一道门槛。</w:t>
      </w:r>
    </w:p>
    <w:p>
      <w:pPr>
        <w:spacing w:before="120" w:after="120" w:line="288" w:lineRule="auto"/>
        <w:ind w:left="0"/>
        <w:jc w:val="left"/>
      </w:pPr>
    </w:p>
    <w:p>
      <w:pPr>
        <w:pStyle w:val="2"/>
        <w:spacing w:before="320" w:after="120" w:line="288" w:lineRule="auto"/>
        <w:ind w:left="0"/>
        <w:jc w:val="left"/>
        <w:outlineLvl w:val="1"/>
      </w:pPr>
      <w:bookmarkStart w:name="heading_82" w:id="82"/>
      <w:r>
        <w:rPr>
          <w:rFonts w:eastAsia="等线" w:ascii="Arial" w:cs="Arial" w:hAnsi="Arial"/>
          <w:b w:val="true"/>
          <w:sz w:val="32"/>
        </w:rPr>
        <w:t>Bonferroni 校正</w:t>
      </w:r>
      <w:bookmarkEnd w:id="82"/>
    </w:p>
    <w:p>
      <w:pPr>
        <w:spacing w:before="120" w:after="120" w:line="288" w:lineRule="auto"/>
        <w:ind w:left="0"/>
        <w:jc w:val="left"/>
      </w:pPr>
      <w:r>
        <w:rPr>
          <w:rFonts w:eastAsia="等线" w:ascii="Arial" w:cs="Arial" w:hAnsi="Arial"/>
          <w:sz w:val="22"/>
        </w:rPr>
        <w:t>在一个地区，自古以来有四个村寨，都以酿造最好的酒而闻名。有一次，一位年轻学徒宣布“四村的酒有高下之分”，四位村长当场就炸了锅。</w:t>
      </w:r>
    </w:p>
    <w:p>
      <w:pPr>
        <w:spacing w:before="120" w:after="120" w:line="288" w:lineRule="auto"/>
        <w:ind w:left="0"/>
        <w:jc w:val="left"/>
      </w:pPr>
      <w:r>
        <w:rPr>
          <w:rFonts w:eastAsia="等线" w:ascii="Arial" w:cs="Arial" w:hAnsi="Arial"/>
          <w:sz w:val="22"/>
        </w:rPr>
        <w:t>青铜村的村长第一个站起来，拍着桌子说：“好，你说有高下，那你说，到底谁比谁好？是我们青铜村胜过了黑铁村，还是黑铁村胜过了我们？你得给我们一个明白交代。”</w:t>
      </w:r>
    </w:p>
    <w:p>
      <w:pPr>
        <w:spacing w:before="120" w:after="120" w:line="288" w:lineRule="auto"/>
        <w:ind w:left="0"/>
        <w:jc w:val="left"/>
      </w:pPr>
      <w:r>
        <w:rPr>
          <w:rFonts w:eastAsia="等线" w:ascii="Arial" w:cs="Arial" w:hAnsi="Arial"/>
          <w:sz w:val="22"/>
        </w:rPr>
        <w:t>学徒愣住了。他刚才那一番操作，只判明了一件事：这四碗水，不是从同一口井里打上来的。可到底谁和谁之间真正有差距，他并没有说过。</w:t>
      </w:r>
    </w:p>
    <w:p>
      <w:pPr>
        <w:spacing w:before="120" w:after="120" w:line="288" w:lineRule="auto"/>
        <w:ind w:left="0"/>
        <w:jc w:val="left"/>
      </w:pPr>
      <w:r>
        <w:rPr>
          <w:rFonts w:eastAsia="等线" w:ascii="Arial" w:cs="Arial" w:hAnsi="Arial"/>
          <w:sz w:val="22"/>
        </w:rPr>
        <w:t>于是他只好再做一件事。</w:t>
      </w:r>
    </w:p>
    <w:p>
      <w:pPr>
        <w:spacing w:before="120" w:after="120" w:line="288" w:lineRule="auto"/>
        <w:ind w:left="0"/>
        <w:jc w:val="left"/>
      </w:pPr>
      <w:r>
        <w:rPr>
          <w:rFonts w:eastAsia="等线" w:ascii="Arial" w:cs="Arial" w:hAnsi="Arial"/>
          <w:sz w:val="22"/>
        </w:rPr>
        <w:t>他把四个村子拆开，两两捉对，再比一次。</w:t>
      </w:r>
    </w:p>
    <w:p>
      <w:pPr>
        <w:spacing w:before="120" w:after="120" w:line="288" w:lineRule="auto"/>
        <w:ind w:left="0"/>
        <w:jc w:val="left"/>
      </w:pPr>
      <w:r>
        <w:rPr>
          <w:rFonts w:eastAsia="等线" w:ascii="Arial" w:cs="Arial" w:hAnsi="Arial"/>
          <w:sz w:val="22"/>
        </w:rPr>
        <w:t>青铜对黑铁，青铜对白银，青铜对黄金，黑铁对白银……他算了一下，要把四个村子你对我、我对他地穷尽所有搭配，一共要比六场。</w:t>
      </w:r>
    </w:p>
    <w:p>
      <w:pPr>
        <w:spacing w:before="120" w:after="120" w:line="288" w:lineRule="auto"/>
        <w:ind w:left="0"/>
        <w:jc w:val="left"/>
      </w:pPr>
      <w:r>
        <w:rPr>
          <w:rFonts w:eastAsia="等线" w:ascii="Arial" w:cs="Arial" w:hAnsi="Arial"/>
          <w:sz w:val="22"/>
        </w:rPr>
        <w:t>学徒很认真，每一场他都重新把两村的酒碗混在一起，排好名次，算出差异，再问同一个问题：纯凭偶然撞出这等差异的可能性有多大？</w:t>
      </w:r>
    </w:p>
    <w:p>
      <w:pPr>
        <w:spacing w:before="120" w:after="120" w:line="288" w:lineRule="auto"/>
        <w:ind w:left="0"/>
        <w:jc w:val="left"/>
      </w:pPr>
      <w:r>
        <w:rPr>
          <w:rFonts w:eastAsia="等线" w:ascii="Arial" w:cs="Arial" w:hAnsi="Arial"/>
          <w:sz w:val="22"/>
        </w:rPr>
        <w:t>六场比完，他兴奋地发现——青铜村和黄金村之间，差异极其显著，那个可能性，连二十分之一都不到。</w:t>
      </w:r>
    </w:p>
    <w:p>
      <w:pPr>
        <w:spacing w:before="120" w:after="120" w:line="288" w:lineRule="auto"/>
        <w:ind w:left="0"/>
        <w:jc w:val="left"/>
      </w:pPr>
      <w:r>
        <w:rPr>
          <w:rFonts w:eastAsia="等线" w:ascii="Arial" w:cs="Arial" w:hAnsi="Arial"/>
          <w:sz w:val="22"/>
        </w:rPr>
        <w:t>他拿起笔，正要在这两村之间画上一道朱红的“确凿有差”的符记，却忽然感到一阵从脊椎升起的寒意。</w:t>
      </w:r>
    </w:p>
    <w:p>
      <w:pPr>
        <w:spacing w:before="120" w:after="120" w:line="288" w:lineRule="auto"/>
        <w:ind w:left="0"/>
        <w:jc w:val="left"/>
      </w:pPr>
      <w:r>
        <w:rPr>
          <w:rFonts w:eastAsia="等线" w:ascii="Arial" w:cs="Arial" w:hAnsi="Arial"/>
          <w:sz w:val="22"/>
        </w:rPr>
        <w:t>他停下笔，想起师父临行前说过的一段话：</w:t>
      </w:r>
    </w:p>
    <w:p>
      <w:pPr>
        <w:spacing w:before="120" w:after="120" w:line="288" w:lineRule="auto"/>
        <w:ind w:left="0"/>
        <w:jc w:val="left"/>
      </w:pPr>
      <w:r>
        <w:rPr>
          <w:rFonts w:eastAsia="等线" w:ascii="Arial" w:cs="Arial" w:hAnsi="Arial"/>
          <w:sz w:val="22"/>
        </w:rPr>
        <w:t>“孩子，有件事你要铭记在心。你做一次比较，冒二十分之一误判的风险，这事你可以忍。但如果你接连做六次比较——六次独立地、一个一个地冒二十分之一的风险——那么在这六场的狂欢里，你会在某一处凭空撞见一次‘显著差异’的概率，可就远远不止二十分之一了。”</w:t>
      </w:r>
    </w:p>
    <w:p>
      <w:pPr>
        <w:spacing w:before="120" w:after="120" w:line="288" w:lineRule="auto"/>
        <w:ind w:left="0"/>
        <w:jc w:val="left"/>
      </w:pPr>
      <w:r>
        <w:rPr>
          <w:rFonts w:eastAsia="等线" w:ascii="Arial" w:cs="Arial" w:hAnsi="Arial"/>
          <w:sz w:val="22"/>
        </w:rPr>
        <w:t>学徒闭上眼睛，心算了一番。即便四村的酒真的毫无差别，全凭偶然排位，他在这六场比试中，仅仅因为反复碰运气，至少有一场会让他大惊失色地喊出“有差异”的概率，竟然会膨胀到将近三成。</w:t>
      </w:r>
    </w:p>
    <w:p>
      <w:pPr>
        <w:spacing w:before="120" w:after="120" w:line="288" w:lineRule="auto"/>
        <w:ind w:left="0"/>
        <w:jc w:val="left"/>
      </w:pPr>
      <w:r>
        <w:rPr>
          <w:rFonts w:eastAsia="等线" w:ascii="Arial" w:cs="Arial" w:hAnsi="Arial"/>
          <w:sz w:val="22"/>
        </w:rPr>
        <w:t>三成。他本来只愿意承受二十分之一的错误风险，如今却蒙在鼓里，悄悄背负了近三成的风险。他把事情想得太简单了。</w:t>
      </w:r>
    </w:p>
    <w:p>
      <w:pPr>
        <w:spacing w:before="120" w:after="120" w:line="288" w:lineRule="auto"/>
        <w:ind w:left="0"/>
        <w:jc w:val="left"/>
      </w:pPr>
      <w:r>
        <w:rPr>
          <w:rFonts w:eastAsia="等线" w:ascii="Arial" w:cs="Arial" w:hAnsi="Arial"/>
          <w:sz w:val="22"/>
        </w:rPr>
        <w:t>他搁下笔，对四位村长说：“请容我，收紧我的标准。”</w:t>
      </w:r>
    </w:p>
    <w:p>
      <w:pPr>
        <w:spacing w:before="120" w:after="120" w:line="288" w:lineRule="auto"/>
        <w:ind w:left="0"/>
        <w:jc w:val="left"/>
      </w:pPr>
      <w:r>
        <w:rPr>
          <w:rFonts w:eastAsia="等线" w:ascii="Arial" w:cs="Arial" w:hAnsi="Arial"/>
          <w:sz w:val="22"/>
        </w:rPr>
        <w:t>当着四位村长的面，他把“宣告有差异”的门槛抬高了六倍。原本只需要差异足够鲜明，鲜明到纯凭运气的发生概率低于二十分之一，他便敢开口；如今，他要求这个概率低到三十分之一以下。</w:t>
      </w:r>
    </w:p>
    <w:p>
      <w:pPr>
        <w:spacing w:before="120" w:after="120" w:line="288" w:lineRule="auto"/>
        <w:ind w:left="0"/>
        <w:jc w:val="left"/>
      </w:pPr>
      <w:r>
        <w:rPr>
          <w:rFonts w:eastAsia="等线" w:ascii="Arial" w:cs="Arial" w:hAnsi="Arial"/>
          <w:sz w:val="22"/>
        </w:rPr>
        <w:t>这还不够。他还不放心，又换了一种更细致的收紧法：把每一次比较单独算出的那个概率，拿去乘以六。积数仍然很小，他才敢说这一对之间有真差异。</w:t>
      </w:r>
    </w:p>
    <w:p>
      <w:pPr>
        <w:spacing w:before="120" w:after="120" w:line="288" w:lineRule="auto"/>
        <w:ind w:left="0"/>
        <w:jc w:val="left"/>
      </w:pPr>
      <w:r>
        <w:rPr>
          <w:rFonts w:eastAsia="等线" w:ascii="Arial" w:cs="Arial" w:hAnsi="Arial"/>
          <w:sz w:val="22"/>
        </w:rPr>
        <w:t>做完这些之后，他才重新提起笔，在羊皮纸上画下了朱红的符记。这一次，红符只落在真正悬殊的那一两对之间。</w:t>
      </w:r>
    </w:p>
    <w:p>
      <w:pPr>
        <w:spacing w:before="120" w:after="120" w:line="288" w:lineRule="auto"/>
        <w:ind w:left="0"/>
        <w:jc w:val="left"/>
      </w:pPr>
      <w:r>
        <w:rPr>
          <w:rFonts w:eastAsia="等线" w:ascii="Arial" w:cs="Arial" w:hAnsi="Arial"/>
          <w:sz w:val="22"/>
        </w:rPr>
        <w:t>四位村长中，白银村的村长嘟囔道：“你这样一来，岂不是更容易漏掉那些真实存在、但不够刺眼的差异？比如我们和青铜村，本是有些不同的，如今被你严苛的标准捂住了嘴。”</w:t>
      </w:r>
    </w:p>
    <w:p>
      <w:pPr>
        <w:spacing w:before="120" w:after="120" w:line="288" w:lineRule="auto"/>
        <w:ind w:left="0"/>
        <w:jc w:val="left"/>
      </w:pPr>
      <w:r>
        <w:rPr>
          <w:rFonts w:eastAsia="等线" w:ascii="Arial" w:cs="Arial" w:hAnsi="Arial"/>
          <w:sz w:val="22"/>
        </w:rPr>
        <w:t>学徒点头：“是的。可这是我们必须付出的代价。如果我为了揪出每一丝可能的差异，而不去收紧缰绳，那么我喊出的‘差异’，会有不少其实是空穴来风。在你们把酒呈上公堂、要我给出一个信得过的裁决时，你们宁愿我少说几句斩钉截铁的话，也不愿我说出的话里掺着虚谎。”</w:t>
      </w:r>
    </w:p>
    <w:p>
      <w:pPr>
        <w:spacing w:before="120" w:after="120" w:line="288" w:lineRule="auto"/>
        <w:ind w:left="0"/>
        <w:jc w:val="left"/>
      </w:pPr>
      <w:r>
        <w:rPr>
          <w:rFonts w:eastAsia="等线" w:ascii="Arial" w:cs="Arial" w:hAnsi="Arial"/>
          <w:sz w:val="22"/>
        </w:rPr>
        <w:t>这便是判酒会最终的规矩：只有当你要说的话很多的时候，你才必须对每一句话，要求更苛刻的证据。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3" w:id="83"/>
      <w:r>
        <w:rPr>
          <w:rFonts w:eastAsia="等线" w:ascii="Arial" w:cs="Arial" w:hAnsi="Arial"/>
          <w:b w:val="true"/>
          <w:sz w:val="30"/>
        </w:rPr>
        <w:t>寓言后记：概念解释</w:t>
      </w:r>
      <w:bookmarkEnd w:id="83"/>
    </w:p>
    <w:p>
      <w:pPr>
        <w:spacing w:before="120" w:after="120" w:line="288" w:lineRule="auto"/>
        <w:ind w:left="0"/>
        <w:jc w:val="left"/>
      </w:pPr>
      <w:r>
        <w:rPr>
          <w:rFonts w:eastAsia="等线" w:ascii="Arial" w:cs="Arial" w:hAnsi="Arial"/>
          <w:sz w:val="22"/>
        </w:rPr>
        <w:t>这则寓言讲述的是多重比较问题及其最经典的解决方案—— Bonferroni 校正。</w:t>
      </w:r>
    </w:p>
    <w:p>
      <w:pPr>
        <w:spacing w:before="120" w:after="120" w:line="288" w:lineRule="auto"/>
        <w:ind w:left="0"/>
        <w:jc w:val="left"/>
      </w:pPr>
      <w:r>
        <w:rPr>
          <w:rFonts w:eastAsia="等线" w:ascii="Arial" w:cs="Arial" w:hAnsi="Arial"/>
          <w:sz w:val="22"/>
        </w:rPr>
        <w:t>这是继续进行 Kruskal-Wallis 检验之后，若结果显著，若要进一步做两两组间比较时所必须面对的问题。</w:t>
      </w:r>
    </w:p>
    <w:p>
      <w:pPr>
        <w:spacing w:before="120" w:after="120" w:line="288" w:lineRule="auto"/>
        <w:ind w:left="0"/>
        <w:jc w:val="left"/>
      </w:pPr>
      <w:r>
        <w:rPr>
          <w:rFonts w:eastAsia="等线" w:ascii="Arial" w:cs="Arial" w:hAnsi="Arial"/>
          <w:sz w:val="22"/>
        </w:rPr>
        <w:t>核心概念映射：</w:t>
      </w:r>
    </w:p>
    <w:p>
      <w:pPr>
        <w:numPr>
          <w:numId w:val="161"/>
        </w:numPr>
        <w:spacing w:before="120" w:after="120" w:line="288" w:lineRule="auto"/>
        <w:ind w:left="0"/>
        <w:jc w:val="left"/>
      </w:pPr>
      <w:r>
        <w:rPr>
          <w:rFonts w:eastAsia="等线" w:ascii="Arial" w:cs="Arial" w:hAnsi="Arial"/>
          <w:sz w:val="22"/>
        </w:rPr>
        <w:t>六场捉对比试 = 多重比较</w:t>
      </w:r>
    </w:p>
    <w:p>
      <w:pPr>
        <w:spacing w:before="120" w:after="120" w:line="288" w:lineRule="auto"/>
        <w:ind w:left="0"/>
        <w:jc w:val="left"/>
      </w:pPr>
      <w:r>
        <w:rPr>
          <w:rFonts w:eastAsia="等线" w:ascii="Arial" w:cs="Arial" w:hAnsi="Arial"/>
          <w:sz w:val="22"/>
        </w:rPr>
        <w:t>寓言中，四个村两两捉对，六场比试，这对应着统计中的事后两两比较。当你有 k 个组，仅仅 Kruskal-Wallis 检验告诉你“至少有一组不同”，但你需要知道具体哪两组之间有差异时，就要进行多次配对比较。</w:t>
      </w:r>
    </w:p>
    <w:p>
      <w:pPr>
        <w:numPr>
          <w:numId w:val="162"/>
        </w:numPr>
        <w:spacing w:before="120" w:after="120" w:line="288" w:lineRule="auto"/>
        <w:ind w:left="0"/>
        <w:jc w:val="left"/>
      </w:pPr>
      <w:r>
        <w:rPr>
          <w:rFonts w:eastAsia="等线" w:ascii="Arial" w:cs="Arial" w:hAnsi="Arial"/>
          <w:sz w:val="22"/>
        </w:rPr>
        <w:t>“虚谎的风险悄然膨胀” = 族系错误率膨胀</w:t>
      </w:r>
    </w:p>
    <w:p>
      <w:pPr>
        <w:spacing w:before="120" w:after="120" w:line="288" w:lineRule="auto"/>
        <w:ind w:left="0"/>
        <w:jc w:val="left"/>
      </w:pPr>
      <w:r>
        <w:rPr>
          <w:rFonts w:eastAsia="等线" w:ascii="Arial" w:cs="Arial" w:hAnsi="Arial"/>
          <w:sz w:val="22"/>
        </w:rPr>
        <w:t>这是寓言的核心。每次单独比较，设显著性水平α为 0.05（二十分之一的误判风险）。若进行 6 次独立的比较，至少犯一次第一类错误（假阳性）的概率将不再是 0.05，而是膨胀到约 1−(1−0.05)6≈0.2651−(1−0.05)6≈0.265。这个膨胀后的概率被称为族系错误率。学徒心算出的“近三成”，恰是这个概念。这意味着即使所有组的酒实际上完全相同，你仍有超过四分之一的机会至少在其中某一对比较中错误地宣称发现了差异。这是经典的多重比较问题。</w:t>
      </w:r>
    </w:p>
    <w:p>
      <w:pPr>
        <w:numPr>
          <w:numId w:val="163"/>
        </w:numPr>
        <w:spacing w:before="120" w:after="120" w:line="288" w:lineRule="auto"/>
        <w:ind w:left="0"/>
        <w:jc w:val="left"/>
      </w:pPr>
      <w:r>
        <w:rPr>
          <w:rFonts w:eastAsia="等线" w:ascii="Arial" w:cs="Arial" w:hAnsi="Arial"/>
          <w:sz w:val="22"/>
        </w:rPr>
        <w:t>“把门槛抬高了六倍” = Bonferroni 校正</w:t>
      </w:r>
    </w:p>
    <w:p>
      <w:pPr>
        <w:spacing w:before="120" w:after="120" w:line="288" w:lineRule="auto"/>
        <w:ind w:left="0"/>
        <w:jc w:val="left"/>
      </w:pPr>
      <w:r>
        <w:rPr>
          <w:rFonts w:eastAsia="等线" w:ascii="Arial" w:cs="Arial" w:hAnsi="Arial"/>
          <w:sz w:val="22"/>
        </w:rPr>
        <w:t>学徒将宣告差异的门槛收紧，这正是 Bonferroni 校正 的操作：将整体族系错误率（通常希望控制在 α = 0.05）平摊到每一次单独的比较上。具体做法是，将每次比较所用的显著性水平，设为 α / m，其中 m 是比较的总次数。寓言中，六次比较，每次的新门槛就是 0.05 / 6 ≈ 0.0083，即学徒所说的“概率必须低到三十分之一以下”。</w:t>
      </w:r>
    </w:p>
    <w:p>
      <w:pPr>
        <w:numPr>
          <w:numId w:val="164"/>
        </w:numPr>
        <w:spacing w:before="120" w:after="120" w:line="288" w:lineRule="auto"/>
        <w:ind w:left="0"/>
        <w:jc w:val="left"/>
      </w:pPr>
      <w:r>
        <w:rPr>
          <w:rFonts w:eastAsia="等线" w:ascii="Arial" w:cs="Arial" w:hAnsi="Arial"/>
          <w:sz w:val="22"/>
        </w:rPr>
        <w:t>“把单独算出的概率乘以六” = Bonferroni 校正的等价操作</w:t>
      </w:r>
    </w:p>
    <w:p>
      <w:pPr>
        <w:spacing w:before="120" w:after="120" w:line="288" w:lineRule="auto"/>
        <w:ind w:left="0"/>
        <w:jc w:val="left"/>
      </w:pPr>
      <w:r>
        <w:rPr>
          <w:rFonts w:eastAsia="等线" w:ascii="Arial" w:cs="Arial" w:hAnsi="Arial"/>
          <w:sz w:val="22"/>
        </w:rPr>
        <w:t>学徒“把每一次比较单独算出的那个概率，拿去乘以六”，这对应了另一种等价做法：保持 α 不变，但将每次比较得到的 p 值乘以比较次数 m，然后与 α 比较。若仍小于 α，则判为显著。这两种做法是等价的。</w:t>
      </w:r>
    </w:p>
    <w:p>
      <w:pPr>
        <w:numPr>
          <w:numId w:val="165"/>
        </w:numPr>
        <w:spacing w:before="120" w:after="120" w:line="288" w:lineRule="auto"/>
        <w:ind w:left="0"/>
        <w:jc w:val="left"/>
      </w:pPr>
      <w:r>
        <w:rPr>
          <w:rFonts w:eastAsia="等线" w:ascii="Arial" w:cs="Arial" w:hAnsi="Arial"/>
          <w:sz w:val="22"/>
        </w:rPr>
        <w:t>“代价是捂住了嘴” = 校正后的代价：降低统计功效</w:t>
      </w:r>
    </w:p>
    <w:p>
      <w:pPr>
        <w:spacing w:before="120" w:after="120" w:line="288" w:lineRule="auto"/>
        <w:ind w:left="0"/>
        <w:jc w:val="left"/>
      </w:pPr>
      <w:r>
        <w:rPr>
          <w:rFonts w:eastAsia="等线" w:ascii="Arial" w:cs="Arial" w:hAnsi="Arial"/>
          <w:sz w:val="22"/>
        </w:rPr>
        <w:t>寓言末尾白银村村长的不满，精准指出了一个关键的代价：Bonferroni 校正在降低假阳性风险的同时，也增加了假阴性风险。它把标准收得过严，以至于那些真实存在但效应不够强的差异，可能因未达到极其苛刻的门槛而无法被检测出来。这是控制族系错误率所必须付出的代价——在统计检验中，你要么少说错话，要么多听真话，这是一道不可兼得的取舍。</w:t>
      </w:r>
    </w:p>
    <w:p>
      <w:pPr>
        <w:spacing w:before="120" w:after="120" w:line="288" w:lineRule="auto"/>
        <w:ind w:left="0"/>
        <w:jc w:val="left"/>
      </w:pPr>
      <w:r>
        <w:rPr>
          <w:rFonts w:eastAsia="等线" w:ascii="Arial" w:cs="Arial" w:hAnsi="Arial"/>
          <w:sz w:val="22"/>
        </w:rPr>
        <w:t>一句话总结： 当你需要同时检验多个假设时，每多做一次检验，碰巧遇到一次假阳性的概率就会累积增加。Bonferroni 校正通过将显著性门槛除以检验总次数，强行将总体的假阳性风险控制在既定水准，其代价是让检测真实效应变得更困难。这是统计学中在多重比较下控制族系错误率最经典、最简单也是最保守的方法之一。</w:t>
      </w:r>
    </w:p>
    <w:p>
      <w:pPr>
        <w:spacing w:before="120" w:after="120" w:line="288" w:lineRule="auto"/>
        <w:ind w:left="0"/>
        <w:jc w:val="left"/>
      </w:pPr>
    </w:p>
    <w:p>
      <w:pPr>
        <w:pStyle w:val="2"/>
        <w:spacing w:before="320" w:after="120" w:line="288" w:lineRule="auto"/>
        <w:ind w:left="0"/>
        <w:jc w:val="left"/>
        <w:outlineLvl w:val="1"/>
      </w:pPr>
      <w:bookmarkStart w:name="heading_84" w:id="84"/>
      <w:r>
        <w:rPr>
          <w:rFonts w:eastAsia="等线" w:ascii="Arial" w:cs="Arial" w:hAnsi="Arial"/>
          <w:b w:val="true"/>
          <w:sz w:val="32"/>
        </w:rPr>
        <w:t>Phase 2 过墙是撞大运吗？</w:t>
      </w:r>
      <w:bookmarkEnd w:id="84"/>
    </w:p>
    <w:p>
      <w:pPr>
        <w:spacing w:before="120" w:after="120" w:line="288" w:lineRule="auto"/>
        <w:ind w:left="0"/>
        <w:jc w:val="left"/>
      </w:pPr>
      <w:r>
        <w:rPr>
          <w:rFonts w:eastAsia="等线" w:ascii="Arial" w:cs="Arial" w:hAnsi="Arial"/>
          <w:sz w:val="22"/>
        </w:rPr>
        <w:t>数据中有非常强的反"运气"证据。</w:t>
      </w:r>
    </w:p>
    <w:p>
      <w:pPr>
        <w:spacing w:before="120" w:after="120" w:line="288" w:lineRule="auto"/>
        <w:ind w:left="0"/>
        <w:jc w:val="left"/>
      </w:pPr>
    </w:p>
    <w:p>
      <w:pPr>
        <w:pStyle w:val="3"/>
        <w:spacing w:before="300" w:after="120" w:line="288" w:lineRule="auto"/>
        <w:ind w:left="0"/>
        <w:jc w:val="left"/>
        <w:outlineLvl w:val="2"/>
      </w:pPr>
      <w:bookmarkStart w:name="heading_85" w:id="85"/>
      <w:r>
        <w:rPr>
          <w:rFonts w:eastAsia="等线" w:ascii="Arial" w:cs="Arial" w:hAnsi="Arial"/>
          <w:b w:val="true"/>
          <w:sz w:val="30"/>
        </w:rPr>
        <w:t>证据一：成功具有稳定的行为"指纹"，失败则是另一套模式</w:t>
      </w:r>
      <w:bookmarkEnd w:id="85"/>
    </w:p>
    <w:p>
      <w:pPr>
        <w:spacing w:before="120" w:after="120" w:line="288" w:lineRule="auto"/>
        <w:ind w:left="0"/>
        <w:jc w:val="left"/>
      </w:pPr>
    </w:p>
    <w:p>
      <w:pPr>
        <w:spacing w:before="120" w:after="120" w:line="288" w:lineRule="auto"/>
        <w:ind w:left="0"/>
        <w:jc w:val="left"/>
      </w:pPr>
      <w:r>
        <w:rPr>
          <w:rFonts w:eastAsia="等线" w:ascii="Arial" w:cs="Arial" w:hAnsi="Arial"/>
          <w:sz w:val="22"/>
        </w:rPr>
        <w:t>如果过墙成功是运气，那么成功局和失败局的行为模式应该随机重叠。但数据显示，成功局和失败局有截然不同的行为签名：</w:t>
      </w:r>
    </w:p>
    <w:p>
      <w:pPr>
        <w:spacing w:before="120" w:after="120" w:line="288" w:lineRule="auto"/>
        <w:ind w:left="0"/>
        <w:jc w:val="left"/>
      </w:pPr>
    </w:p>
    <w:p>
      <w:pPr>
        <w:spacing w:before="120" w:after="120" w:line="288" w:lineRule="auto"/>
        <w:ind w:left="0"/>
        <w:jc w:val="left"/>
      </w:pPr>
      <w:r>
        <w:rPr>
          <w:rFonts w:eastAsia="等线" w:ascii="Arial" w:cs="Arial" w:hAnsi="Arial"/>
          <w:sz w:val="22"/>
        </w:rPr>
        <w:t>Flash 数据（所有预算汇总）：</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40"/>
        <w:gridCol w:w="1980"/>
        <w:gridCol w:w="1980"/>
        <w:gridCol w:w="1980"/>
      </w:tblGrid>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成功过墙</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失败被困</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 阶段净 Y 位移（中位数）</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 -5.4</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0.0</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成功者坚定朝一个方向绕行，失败者原地震荡</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 阶段持续回合（中位数）</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 ~ 14 回合</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 ~ 40 回合</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成功者高效执行计划后离开，失败者耗尽最大回合数</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到目标的距离改善（中位数）</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成功者显著拉近与目标距离，失败者进展微弱</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关键论证：如果成功是运气，我们应该看到部分成功者净 Y 位移也接近 0（碰巧晃过去了）。但事实是——所有成功者都表现出约 -5 的净 Y 位移，没有一个成功者是"震荡着碰巧绕过去"的。这说明成功不是随机结果，而是执行了某种特定行为模式（坚定绕行）的必然产物。</w:t>
      </w:r>
    </w:p>
    <w:p>
      <w:pPr>
        <w:spacing w:before="120" w:after="120" w:line="288" w:lineRule="auto"/>
        <w:ind w:left="0"/>
        <w:jc w:val="left"/>
      </w:pPr>
    </w:p>
    <w:p>
      <w:pPr>
        <w:pStyle w:val="3"/>
        <w:spacing w:before="300" w:after="120" w:line="288" w:lineRule="auto"/>
        <w:ind w:left="0"/>
        <w:jc w:val="left"/>
        <w:outlineLvl w:val="2"/>
      </w:pPr>
      <w:bookmarkStart w:name="heading_86" w:id="86"/>
      <w:r>
        <w:rPr>
          <w:rFonts w:eastAsia="等线" w:ascii="Arial" w:cs="Arial" w:hAnsi="Arial"/>
          <w:b w:val="true"/>
          <w:sz w:val="30"/>
        </w:rPr>
        <w:t>证据二：行为一致性可预测成功率——同一预算内的"能力分层"</w:t>
      </w:r>
      <w:bookmarkEnd w:id="86"/>
    </w:p>
    <w:p>
      <w:pPr>
        <w:spacing w:before="120" w:after="120" w:line="288" w:lineRule="auto"/>
        <w:ind w:left="0"/>
        <w:jc w:val="left"/>
      </w:pPr>
    </w:p>
    <w:p>
      <w:pPr>
        <w:spacing w:before="120" w:after="120" w:line="288" w:lineRule="auto"/>
        <w:ind w:left="0"/>
        <w:jc w:val="left"/>
      </w:pPr>
      <w:r>
        <w:rPr>
          <w:rFonts w:eastAsia="等线" w:ascii="Arial" w:cs="Arial" w:hAnsi="Arial"/>
          <w:sz w:val="22"/>
        </w:rPr>
        <w:t>如果同一预算下的成功全靠运气，那么"行为一致性高"和"行为一致性低"的 Agent 应该有相同的过墙率。但数据推翻了这一点：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Flash @ 1200 tokens：</w:t>
      </w:r>
    </w:p>
    <w:p>
      <w:pPr>
        <w:numPr>
          <w:numId w:val="166"/>
        </w:numPr>
        <w:spacing w:before="120" w:after="120" w:line="288" w:lineRule="auto"/>
        <w:ind w:left="0"/>
        <w:jc w:val="left"/>
      </w:pPr>
      <w:r>
        <w:rPr>
          <w:rFonts w:eastAsia="等线" w:ascii="Arial" w:cs="Arial" w:hAnsi="Arial"/>
          <w:sz w:val="22"/>
        </w:rPr>
        <w:t>高方向一致性（≥40% 的回合朝同一方向移动）：过墙率 88.9%（N=18）</w:t>
      </w:r>
    </w:p>
    <w:p>
      <w:pPr>
        <w:numPr>
          <w:numId w:val="167"/>
        </w:numPr>
        <w:spacing w:before="120" w:after="120" w:line="288" w:lineRule="auto"/>
        <w:ind w:left="0"/>
        <w:jc w:val="left"/>
      </w:pPr>
      <w:r>
        <w:rPr>
          <w:rFonts w:eastAsia="等线" w:ascii="Arial" w:cs="Arial" w:hAnsi="Arial"/>
          <w:sz w:val="22"/>
        </w:rPr>
        <w:t>低方向一致性（&lt;40%）：过墙率 34.8%（N=23）</w:t>
      </w:r>
    </w:p>
    <w:p>
      <w:pPr>
        <w:spacing w:before="120" w:after="120" w:line="288" w:lineRule="auto"/>
        <w:ind w:left="0"/>
        <w:jc w:val="left"/>
      </w:pPr>
      <w:r>
        <w:rPr>
          <w:rFonts w:eastAsia="等线" w:ascii="Arial" w:cs="Arial" w:hAnsi="Arial"/>
          <w:sz w:val="22"/>
        </w:rPr>
        <w:t>Flash @ 2000 tokens：</w:t>
      </w:r>
    </w:p>
    <w:p>
      <w:pPr>
        <w:numPr>
          <w:numId w:val="168"/>
        </w:numPr>
        <w:spacing w:before="120" w:after="120" w:line="288" w:lineRule="auto"/>
        <w:ind w:left="0"/>
        <w:jc w:val="left"/>
      </w:pPr>
      <w:r>
        <w:rPr>
          <w:rFonts w:eastAsia="等线" w:ascii="Arial" w:cs="Arial" w:hAnsi="Arial"/>
          <w:sz w:val="22"/>
        </w:rPr>
        <w:t>高方向一致性：过墙率 83.9%（N=31）</w:t>
      </w:r>
    </w:p>
    <w:p>
      <w:pPr>
        <w:numPr>
          <w:numId w:val="169"/>
        </w:numPr>
        <w:spacing w:before="120" w:after="120" w:line="288" w:lineRule="auto"/>
        <w:ind w:left="0"/>
        <w:jc w:val="left"/>
      </w:pPr>
      <w:r>
        <w:rPr>
          <w:rFonts w:eastAsia="等线" w:ascii="Arial" w:cs="Arial" w:hAnsi="Arial"/>
          <w:sz w:val="22"/>
        </w:rPr>
        <w:t>低方向一致性：过墙率 33.3%（N=12）</w:t>
      </w:r>
    </w:p>
    <w:p>
      <w:pPr>
        <w:spacing w:before="120" w:after="120" w:line="288" w:lineRule="auto"/>
        <w:ind w:left="0"/>
        <w:jc w:val="left"/>
      </w:pPr>
      <w:r>
        <w:rPr>
          <w:rFonts w:eastAsia="等线" w:ascii="Arial" w:cs="Arial" w:hAnsi="Arial"/>
          <w:sz w:val="22"/>
        </w:rPr>
        <w:t>关键论证：在完全相同的预算条件下，行为一致性高的 Agent 过墙率是低一致性 Agent 的 2.5 倍。这不可能用"运气"解释——运气不会因为"移动方向更一致"而偏袒某些 Agent。这说明预算购买的不是"运气"，而是"产生并坚持绕行计划"的认知能力。</w:t>
      </w:r>
    </w:p>
    <w:p>
      <w:pPr>
        <w:spacing w:before="120" w:after="120" w:line="288" w:lineRule="auto"/>
        <w:ind w:left="0"/>
        <w:jc w:val="left"/>
      </w:pPr>
    </w:p>
    <w:p>
      <w:pPr>
        <w:pStyle w:val="3"/>
        <w:spacing w:before="300" w:after="120" w:line="288" w:lineRule="auto"/>
        <w:ind w:left="0"/>
        <w:jc w:val="left"/>
        <w:outlineLvl w:val="2"/>
      </w:pPr>
      <w:bookmarkStart w:name="heading_87" w:id="87"/>
      <w:r>
        <w:rPr>
          <w:rFonts w:eastAsia="等线" w:ascii="Arial" w:cs="Arial" w:hAnsi="Arial"/>
          <w:b w:val="true"/>
          <w:sz w:val="30"/>
        </w:rPr>
        <w:t>证据三：预算系统性地提升"行为一致性"——趋势本身否定了运气</w:t>
      </w:r>
      <w:bookmarkEnd w:id="87"/>
    </w:p>
    <w:p>
      <w:pPr>
        <w:spacing w:before="120" w:after="120" w:line="288" w:lineRule="auto"/>
        <w:ind w:left="0"/>
        <w:jc w:val="left"/>
      </w:pPr>
    </w:p>
    <w:p>
      <w:pPr>
        <w:spacing w:before="120" w:after="120" w:line="288" w:lineRule="auto"/>
        <w:ind w:left="0"/>
        <w:jc w:val="left"/>
      </w:pPr>
      <w:r>
        <w:rPr>
          <w:rFonts w:eastAsia="等线" w:ascii="Arial" w:cs="Arial" w:hAnsi="Arial"/>
          <w:sz w:val="22"/>
        </w:rPr>
        <w:t>运气假说预测：不同预算下的行为模式应该随机波动，无系统趋势。但数据显示：</w:t>
      </w:r>
    </w:p>
    <w:p>
      <w:pPr>
        <w:spacing w:before="120" w:after="120" w:line="288" w:lineRule="auto"/>
        <w:ind w:left="0"/>
        <w:jc w:val="left"/>
      </w:pPr>
    </w:p>
    <w:p>
      <w:pPr>
        <w:spacing w:before="120" w:after="120" w:line="288" w:lineRule="auto"/>
        <w:ind w:left="0"/>
        <w:jc w:val="left"/>
      </w:pPr>
      <w:r>
        <w:rPr>
          <w:rFonts w:eastAsia="等线" w:ascii="Arial" w:cs="Arial" w:hAnsi="Arial"/>
          <w:sz w:val="22"/>
        </w:rPr>
        <w:t>Flash 在 P2 阶段的方向一致性（中位数）：</w:t>
      </w:r>
    </w:p>
    <w:p>
      <w:pPr>
        <w:numPr>
          <w:numId w:val="170"/>
        </w:numPr>
        <w:spacing w:before="120" w:after="120" w:line="288" w:lineRule="auto"/>
        <w:ind w:left="0"/>
        <w:jc w:val="left"/>
      </w:pPr>
      <w:r>
        <w:rPr>
          <w:rFonts w:eastAsia="等线" w:ascii="Arial" w:cs="Arial" w:hAnsi="Arial"/>
          <w:sz w:val="22"/>
        </w:rPr>
        <w:t>400 tokens：13.5%</w:t>
      </w:r>
    </w:p>
    <w:p>
      <w:pPr>
        <w:numPr>
          <w:numId w:val="171"/>
        </w:numPr>
        <w:spacing w:before="120" w:after="120" w:line="288" w:lineRule="auto"/>
        <w:ind w:left="0"/>
        <w:jc w:val="left"/>
      </w:pPr>
      <w:r>
        <w:rPr>
          <w:rFonts w:eastAsia="等线" w:ascii="Arial" w:cs="Arial" w:hAnsi="Arial"/>
          <w:sz w:val="22"/>
        </w:rPr>
        <w:t>800 tokens：29.4%</w:t>
      </w:r>
    </w:p>
    <w:p>
      <w:pPr>
        <w:numPr>
          <w:numId w:val="172"/>
        </w:numPr>
        <w:spacing w:before="120" w:after="120" w:line="288" w:lineRule="auto"/>
        <w:ind w:left="0"/>
        <w:jc w:val="left"/>
      </w:pPr>
      <w:r>
        <w:rPr>
          <w:rFonts w:eastAsia="等线" w:ascii="Arial" w:cs="Arial" w:hAnsi="Arial"/>
          <w:sz w:val="22"/>
        </w:rPr>
        <w:t>1200 tokens：34.3%</w:t>
      </w:r>
    </w:p>
    <w:p>
      <w:pPr>
        <w:numPr>
          <w:numId w:val="173"/>
        </w:numPr>
        <w:spacing w:before="120" w:after="120" w:line="288" w:lineRule="auto"/>
        <w:ind w:left="0"/>
        <w:jc w:val="left"/>
      </w:pPr>
      <w:r>
        <w:rPr>
          <w:rFonts w:eastAsia="等线" w:ascii="Arial" w:cs="Arial" w:hAnsi="Arial"/>
          <w:sz w:val="22"/>
        </w:rPr>
        <w:t>2000 tokens：45.8%</w:t>
      </w:r>
    </w:p>
    <w:p>
      <w:pPr>
        <w:spacing w:before="120" w:after="120" w:line="288" w:lineRule="auto"/>
        <w:ind w:left="0"/>
        <w:jc w:val="left"/>
      </w:pPr>
      <w:r>
        <w:rPr>
          <w:rFonts w:eastAsia="等线" w:ascii="Arial" w:cs="Arial" w:hAnsi="Arial"/>
          <w:sz w:val="22"/>
        </w:rPr>
        <w:t>关键论证：预算从 400 提升到 2000，方向一致性从 13.5% 单调上升至 45.8%。如果过墙是运气，为什么"运气好"的 Agent 恰好也"方向更一致"？方向一致性是一个 Agent 内部的行为特征，不是结果变量——它不可能被结果反向污染。 预算系统性地提升了 Agent 产生一致行为的能力，这才是过墙率上升的根本原因。</w:t>
      </w:r>
    </w:p>
    <w:p>
      <w:pPr>
        <w:spacing w:before="120" w:after="120" w:line="288" w:lineRule="auto"/>
        <w:ind w:left="0"/>
        <w:jc w:val="left"/>
      </w:pPr>
    </w:p>
    <w:p>
      <w:pPr>
        <w:pStyle w:val="3"/>
        <w:spacing w:before="300" w:after="120" w:line="288" w:lineRule="auto"/>
        <w:ind w:left="0"/>
        <w:jc w:val="left"/>
        <w:outlineLvl w:val="2"/>
      </w:pPr>
      <w:bookmarkStart w:name="heading_88" w:id="88"/>
      <w:r>
        <w:rPr>
          <w:rFonts w:eastAsia="等线" w:ascii="Arial" w:cs="Arial" w:hAnsi="Arial"/>
          <w:b w:val="true"/>
          <w:sz w:val="30"/>
        </w:rPr>
        <w:t>证据四：Pro 独立复现了同一成功签名</w:t>
      </w:r>
      <w:bookmarkEnd w:id="88"/>
    </w:p>
    <w:p>
      <w:pPr>
        <w:spacing w:before="120" w:after="120" w:line="288" w:lineRule="auto"/>
        <w:ind w:left="0"/>
        <w:jc w:val="left"/>
      </w:pPr>
    </w:p>
    <w:p>
      <w:pPr>
        <w:spacing w:before="120" w:after="120" w:line="288" w:lineRule="auto"/>
        <w:ind w:left="0"/>
        <w:jc w:val="left"/>
      </w:pPr>
      <w:r>
        <w:rPr>
          <w:rFonts w:eastAsia="等线" w:ascii="Arial" w:cs="Arial" w:hAnsi="Arial"/>
          <w:sz w:val="22"/>
        </w:rPr>
        <w:t>如果 Flash 的过墙是运气，那么更强的 Pro 模型没有理由复现同一模式。但 Pro 数据显示：</w:t>
      </w:r>
    </w:p>
    <w:p>
      <w:pPr>
        <w:spacing w:before="120" w:after="120" w:line="288" w:lineRule="auto"/>
        <w:ind w:left="0"/>
        <w:jc w:val="left"/>
      </w:pPr>
    </w:p>
    <w:p>
      <w:pPr>
        <w:spacing w:before="120" w:after="120" w:line="288" w:lineRule="auto"/>
        <w:ind w:left="0"/>
        <w:jc w:val="left"/>
      </w:pPr>
      <w:r>
        <w:rPr>
          <w:rFonts w:eastAsia="等线" w:ascii="Arial" w:cs="Arial" w:hAnsi="Arial"/>
          <w:sz w:val="22"/>
        </w:rPr>
        <w:t>Pro 的成功过墙同样具有 -5.3 ~ -6.0 的净 Y 位移，与 Flash 的成功签名几乎一致。Pro 的失败局则显示 -0.0 ~ -2.4 的震荡模式。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关键论证：两个独立架构的模型，在成功时都表现出相同的"坚定绕行"行为签名，在失败时都表现出"原地震荡"模式。这种跨模型的行为一致性，是"运气"假说无法解释的随机事件。</w:t>
      </w:r>
    </w:p>
    <w:p>
      <w:pPr>
        <w:spacing w:before="120" w:after="120" w:line="288" w:lineRule="auto"/>
        <w:ind w:left="0"/>
        <w:jc w:val="left"/>
      </w:pPr>
    </w:p>
    <w:p>
      <w:pPr>
        <w:pStyle w:val="3"/>
        <w:spacing w:before="300" w:after="120" w:line="288" w:lineRule="auto"/>
        <w:ind w:left="0"/>
        <w:jc w:val="left"/>
        <w:outlineLvl w:val="2"/>
      </w:pPr>
      <w:bookmarkStart w:name="heading_89" w:id="89"/>
      <w:r>
        <w:rPr>
          <w:rFonts w:eastAsia="等线" w:ascii="Arial" w:cs="Arial" w:hAnsi="Arial"/>
          <w:b w:val="true"/>
          <w:sz w:val="30"/>
        </w:rPr>
        <w:t>证据五：Thinking Mode 进一步确认认知机制</w:t>
      </w:r>
      <w:bookmarkEnd w:id="89"/>
    </w:p>
    <w:p>
      <w:pPr>
        <w:spacing w:before="120" w:after="120" w:line="288" w:lineRule="auto"/>
        <w:ind w:left="0"/>
        <w:jc w:val="left"/>
      </w:pPr>
    </w:p>
    <w:p>
      <w:pPr>
        <w:spacing w:before="120" w:after="120" w:line="288" w:lineRule="auto"/>
        <w:ind w:left="0"/>
        <w:jc w:val="left"/>
      </w:pPr>
      <w:r>
        <w:rPr>
          <w:rFonts w:eastAsia="等线" w:ascii="Arial" w:cs="Arial" w:hAnsi="Arial"/>
          <w:sz w:val="22"/>
        </w:rPr>
        <w:t>如果过墙全靠运气，那么"让 Agent 深度思考"不应该改变过墙率。但数据显示：</w:t>
      </w:r>
    </w:p>
    <w:p>
      <w:pPr>
        <w:numPr>
          <w:numId w:val="174"/>
        </w:numPr>
        <w:spacing w:before="120" w:after="120" w:line="288" w:lineRule="auto"/>
        <w:ind w:left="0"/>
        <w:jc w:val="left"/>
      </w:pPr>
      <w:r>
        <w:rPr>
          <w:rFonts w:eastAsia="等线" w:ascii="Arial" w:cs="Arial" w:hAnsi="Arial"/>
          <w:sz w:val="22"/>
        </w:rPr>
        <w:t>Flash @ 2000 + Thinking Mode：过墙率从 58.5% → 约 90%+（从胜率 34.9% + 平局下降推算）</w:t>
      </w:r>
    </w:p>
    <w:p>
      <w:pPr>
        <w:numPr>
          <w:numId w:val="175"/>
        </w:numPr>
        <w:spacing w:before="120" w:after="120" w:line="288" w:lineRule="auto"/>
        <w:ind w:left="0"/>
        <w:jc w:val="left"/>
      </w:pPr>
      <w:r>
        <w:rPr>
          <w:rFonts w:eastAsia="等线" w:ascii="Arial" w:cs="Arial" w:hAnsi="Arial"/>
          <w:sz w:val="22"/>
        </w:rPr>
        <w:t>Pro @ 2000 + Thinking Mode：过墙率从 97.5% → 接近 100%</w:t>
      </w:r>
    </w:p>
    <w:p>
      <w:pPr>
        <w:spacing w:before="120" w:after="120" w:line="288" w:lineRule="auto"/>
        <w:ind w:left="0"/>
        <w:jc w:val="left"/>
      </w:pPr>
      <w:r>
        <w:rPr>
          <w:rFonts w:eastAsia="等线" w:ascii="Arial" w:cs="Arial" w:hAnsi="Arial"/>
          <w:sz w:val="22"/>
        </w:rPr>
        <w:t>关键论证："思考"不是一种可以购买"运气"的资源——它只能改变认知过程。Thinking Mode 大幅提升过墙率，直接证明了过墙是一个认知问题（能否识别并坚持绕行策略），而非概率问题（能否随机蒙对）。</w:t>
      </w:r>
    </w:p>
    <w:p>
      <w:pPr>
        <w:spacing w:before="120" w:after="120" w:line="288" w:lineRule="auto"/>
        <w:ind w:left="0"/>
        <w:jc w:val="left"/>
      </w:pPr>
    </w:p>
    <w:p>
      <w:pPr>
        <w:pStyle w:val="2"/>
        <w:spacing w:before="320" w:after="120" w:line="288" w:lineRule="auto"/>
        <w:ind w:left="0"/>
        <w:jc w:val="left"/>
        <w:outlineLvl w:val="1"/>
      </w:pPr>
      <w:bookmarkStart w:name="heading_90" w:id="90"/>
      <w:r>
        <w:rPr>
          <w:rFonts w:eastAsia="等线" w:ascii="Arial" w:cs="Arial" w:hAnsi="Arial"/>
          <w:b w:val="true"/>
          <w:sz w:val="32"/>
        </w:rPr>
        <w:t>全量试验结果（Deepseek V4 Flash/Pro）</w:t>
      </w:r>
      <w:bookmarkEnd w:id="90"/>
    </w:p>
    <w:p>
      <w:pPr>
        <w:spacing w:before="120" w:after="120" w:line="288" w:lineRule="auto"/>
        <w:ind w:left="0"/>
        <w:jc w:val="center"/>
      </w:pPr>
      <w:r>
        <w:drawing>
          <wp:inline distT="0" distR="0" distB="0" distL="0">
            <wp:extent cx="5257800" cy="41624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8"/>
                    <a:stretch>
                      <a:fillRect/>
                    </a:stretch>
                  </pic:blipFill>
                  <pic:spPr>
                    <a:xfrm>
                      <a:off x="0" y="0"/>
                      <a:ext cx="5257800" cy="4162425"/>
                    </a:xfrm>
                    <a:prstGeom prst="rect">
                      <a:avLst/>
                    </a:prstGeom>
                  </pic:spPr>
                </pic:pic>
              </a:graphicData>
            </a:graphic>
          </wp:inline>
        </w:drawing>
      </w:r>
    </w:p>
    <w:p>
      <w:pPr>
        <w:spacing w:before="120" w:after="120" w:line="288" w:lineRule="auto"/>
        <w:ind w:left="0"/>
        <w:jc w:val="center"/>
      </w:pPr>
      <w:r>
        <w:drawing>
          <wp:inline distT="0" distR="0" distB="0" distL="0">
            <wp:extent cx="5257800" cy="41624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9"/>
                    <a:stretch>
                      <a:fillRect/>
                    </a:stretch>
                  </pic:blipFill>
                  <pic:spPr>
                    <a:xfrm>
                      <a:off x="0" y="0"/>
                      <a:ext cx="5257800" cy="4162425"/>
                    </a:xfrm>
                    <a:prstGeom prst="rect">
                      <a:avLst/>
                    </a:prstGeom>
                  </pic:spPr>
                </pic:pic>
              </a:graphicData>
            </a:graphic>
          </wp:inline>
        </w:drawing>
      </w:r>
    </w:p>
    <w:p>
      <w:pPr>
        <w:spacing w:before="120" w:after="120" w:line="288" w:lineRule="auto"/>
        <w:ind w:left="0"/>
        <w:jc w:val="center"/>
      </w:pPr>
      <w:r>
        <w:drawing>
          <wp:inline distT="0" distR="0" distB="0" distL="0">
            <wp:extent cx="5257800" cy="20955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0"/>
                    <a:stretch>
                      <a:fillRect/>
                    </a:stretch>
                  </pic:blipFill>
                  <pic:spPr>
                    <a:xfrm>
                      <a:off x="0" y="0"/>
                      <a:ext cx="5257800" cy="2095500"/>
                    </a:xfrm>
                    <a:prstGeom prst="rect">
                      <a:avLst/>
                    </a:prstGeom>
                  </pic:spPr>
                </pic:pic>
              </a:graphicData>
            </a:graphic>
          </wp:inline>
        </w:drawing>
      </w:r>
    </w:p>
    <w:p>
      <w:pPr>
        <w:pStyle w:val="2"/>
        <w:spacing w:before="320" w:after="120" w:line="288" w:lineRule="auto"/>
        <w:ind w:left="0"/>
        <w:jc w:val="left"/>
        <w:outlineLvl w:val="1"/>
      </w:pPr>
      <w:bookmarkStart w:name="heading_91" w:id="91"/>
      <w:bookmarkEnd w:id="91"/>
    </w:p>
    <w:p>
      <w:pPr>
        <w:pStyle w:val="2"/>
        <w:spacing w:before="320" w:after="120" w:line="288" w:lineRule="auto"/>
        <w:ind w:left="0"/>
        <w:jc w:val="left"/>
        <w:outlineLvl w:val="1"/>
      </w:pPr>
      <w:bookmarkStart w:name="heading_92" w:id="92"/>
      <w:r>
        <w:rPr>
          <w:rFonts w:eastAsia="等线" w:ascii="Arial" w:cs="Arial" w:hAnsi="Arial"/>
          <w:b w:val="true"/>
          <w:sz w:val="32"/>
        </w:rPr>
        <w:t>原始试验数据</w:t>
      </w:r>
      <w:bookmarkEnd w:id="92"/>
    </w:p>
    <w:p>
      <w:pPr>
        <w:spacing w:before="120" w:after="120" w:line="288" w:lineRule="auto"/>
        <w:ind w:left="0"/>
        <w:jc w:val="left"/>
      </w:pPr>
      <w:r>
        <w:rPr>
          <w:rFonts w:eastAsia="等线" w:ascii="Arial" w:cs="Arial" w:hAnsi="Arial"/>
          <w:b w:val="true"/>
          <w:color w:val="646a73"/>
          <w:sz w:val="22"/>
        </w:rPr>
        <w:t>[log_final.zip]</w:t>
      </w:r>
    </w:p>
    <w:p>
      <w:pPr>
        <w:spacing w:before="120" w:after="120" w:line="288" w:lineRule="auto"/>
        <w:ind w:left="0"/>
        <w:jc w:val="left"/>
      </w:pPr>
    </w:p>
    <w:sectPr>
      <w:footerReference w:type="default" r:id="rId3"/>
      <w:headerReference w:type="default" r:id="rId3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69565">
    <w:lvl>
      <w:start w:val="1"/>
      <w:numFmt w:val="decimal"/>
      <w:suff w:val="tab"/>
      <w:lvlText w:val="%1."/>
      <w:rPr>
        <w:color w:val="3370ff"/>
      </w:rPr>
    </w:lvl>
  </w:abstractNum>
  <w:abstractNum w:abstractNumId="1269566">
    <w:lvl>
      <w:start w:val="2"/>
      <w:numFmt w:val="decimal"/>
      <w:suff w:val="tab"/>
      <w:lvlText w:val="%1."/>
      <w:rPr>
        <w:color w:val="3370ff"/>
      </w:rPr>
    </w:lvl>
  </w:abstractNum>
  <w:abstractNum w:abstractNumId="1269567">
    <w:lvl>
      <w:start w:val="3"/>
      <w:numFmt w:val="decimal"/>
      <w:suff w:val="tab"/>
      <w:lvlText w:val="%1."/>
      <w:rPr>
        <w:color w:val="3370ff"/>
      </w:rPr>
    </w:lvl>
  </w:abstractNum>
  <w:abstractNum w:abstractNumId="1269568">
    <w:lvl>
      <w:start w:val="1"/>
      <w:numFmt w:val="lowerLetter"/>
      <w:suff w:val="tab"/>
      <w:lvlText w:val="%1."/>
      <w:rPr>
        <w:color w:val="3370ff"/>
      </w:rPr>
    </w:lvl>
  </w:abstractNum>
  <w:abstractNum w:abstractNumId="1269569">
    <w:lvl>
      <w:start w:val="2"/>
      <w:numFmt w:val="lowerLetter"/>
      <w:suff w:val="tab"/>
      <w:lvlText w:val="%1."/>
      <w:rPr>
        <w:color w:val="3370ff"/>
      </w:rPr>
    </w:lvl>
  </w:abstractNum>
  <w:abstractNum w:abstractNumId="1269570">
    <w:lvl>
      <w:start w:val="3"/>
      <w:numFmt w:val="lowerLetter"/>
      <w:suff w:val="tab"/>
      <w:lvlText w:val="%1."/>
      <w:rPr>
        <w:color w:val="3370ff"/>
      </w:rPr>
    </w:lvl>
  </w:abstractNum>
  <w:abstractNum w:abstractNumId="1269571">
    <w:lvl>
      <w:numFmt w:val="bullet"/>
      <w:suff w:val="tab"/>
      <w:lvlText w:val="•"/>
      <w:rPr>
        <w:color w:val="3370ff"/>
      </w:rPr>
    </w:lvl>
  </w:abstractNum>
  <w:abstractNum w:abstractNumId="1269572">
    <w:lvl>
      <w:numFmt w:val="bullet"/>
      <w:suff w:val="tab"/>
      <w:lvlText w:val="•"/>
      <w:rPr>
        <w:color w:val="3370ff"/>
      </w:rPr>
    </w:lvl>
  </w:abstractNum>
  <w:abstractNum w:abstractNumId="1269573">
    <w:lvl>
      <w:numFmt w:val="bullet"/>
      <w:suff w:val="tab"/>
      <w:lvlText w:val="•"/>
      <w:rPr>
        <w:color w:val="3370ff"/>
      </w:rPr>
    </w:lvl>
  </w:abstractNum>
  <w:abstractNum w:abstractNumId="1269574">
    <w:lvl>
      <w:numFmt w:val="bullet"/>
      <w:suff w:val="tab"/>
      <w:lvlText w:val="•"/>
      <w:rPr>
        <w:color w:val="3370ff"/>
      </w:rPr>
    </w:lvl>
  </w:abstractNum>
  <w:abstractNum w:abstractNumId="1269575">
    <w:lvl>
      <w:numFmt w:val="bullet"/>
      <w:suff w:val="tab"/>
      <w:lvlText w:val="•"/>
      <w:rPr>
        <w:color w:val="3370ff"/>
      </w:rPr>
    </w:lvl>
  </w:abstractNum>
  <w:abstractNum w:abstractNumId="1269576">
    <w:lvl>
      <w:numFmt w:val="bullet"/>
      <w:suff w:val="tab"/>
      <w:lvlText w:val="•"/>
      <w:rPr>
        <w:color w:val="3370ff"/>
      </w:rPr>
    </w:lvl>
  </w:abstractNum>
  <w:abstractNum w:abstractNumId="1269577">
    <w:lvl>
      <w:numFmt w:val="bullet"/>
      <w:suff w:val="tab"/>
      <w:lvlText w:val="•"/>
      <w:rPr>
        <w:color w:val="3370ff"/>
      </w:rPr>
    </w:lvl>
  </w:abstractNum>
  <w:abstractNum w:abstractNumId="1269578">
    <w:lvl>
      <w:numFmt w:val="bullet"/>
      <w:suff w:val="tab"/>
      <w:lvlText w:val="•"/>
      <w:rPr>
        <w:color w:val="3370ff"/>
      </w:rPr>
    </w:lvl>
  </w:abstractNum>
  <w:abstractNum w:abstractNumId="1269579">
    <w:lvl>
      <w:numFmt w:val="bullet"/>
      <w:suff w:val="tab"/>
      <w:lvlText w:val="￮"/>
      <w:rPr>
        <w:color w:val="3370ff"/>
      </w:rPr>
    </w:lvl>
  </w:abstractNum>
  <w:abstractNum w:abstractNumId="1269580">
    <w:lvl>
      <w:numFmt w:val="bullet"/>
      <w:suff w:val="tab"/>
      <w:lvlText w:val="￮"/>
      <w:rPr>
        <w:color w:val="3370ff"/>
      </w:rPr>
    </w:lvl>
  </w:abstractNum>
  <w:abstractNum w:abstractNumId="1269581">
    <w:lvl>
      <w:start w:val="1"/>
      <w:numFmt w:val="decimal"/>
      <w:suff w:val="tab"/>
      <w:lvlText w:val="%1."/>
      <w:rPr>
        <w:color w:val="3370ff"/>
      </w:rPr>
    </w:lvl>
  </w:abstractNum>
  <w:abstractNum w:abstractNumId="1269582">
    <w:lvl>
      <w:start w:val="2"/>
      <w:numFmt w:val="decimal"/>
      <w:suff w:val="tab"/>
      <w:lvlText w:val="%1."/>
      <w:rPr>
        <w:color w:val="3370ff"/>
      </w:rPr>
    </w:lvl>
  </w:abstractNum>
  <w:abstractNum w:abstractNumId="1269583">
    <w:lvl>
      <w:start w:val="3"/>
      <w:numFmt w:val="decimal"/>
      <w:suff w:val="tab"/>
      <w:lvlText w:val="%1."/>
      <w:rPr>
        <w:color w:val="3370ff"/>
      </w:rPr>
    </w:lvl>
  </w:abstractNum>
  <w:abstractNum w:abstractNumId="1269584">
    <w:lvl>
      <w:start w:val="4"/>
      <w:numFmt w:val="decimal"/>
      <w:suff w:val="tab"/>
      <w:lvlText w:val="%1."/>
      <w:rPr>
        <w:color w:val="3370ff"/>
      </w:rPr>
    </w:lvl>
  </w:abstractNum>
  <w:abstractNum w:abstractNumId="1269585">
    <w:lvl>
      <w:start w:val="5"/>
      <w:numFmt w:val="decimal"/>
      <w:suff w:val="tab"/>
      <w:lvlText w:val="%1."/>
      <w:rPr>
        <w:color w:val="3370ff"/>
      </w:rPr>
    </w:lvl>
  </w:abstractNum>
  <w:abstractNum w:abstractNumId="1269586">
    <w:lvl>
      <w:numFmt w:val="bullet"/>
      <w:suff w:val="tab"/>
      <w:lvlText w:val="•"/>
      <w:rPr>
        <w:color w:val="3370ff"/>
      </w:rPr>
    </w:lvl>
  </w:abstractNum>
  <w:abstractNum w:abstractNumId="1269587">
    <w:lvl>
      <w:numFmt w:val="bullet"/>
      <w:suff w:val="tab"/>
      <w:lvlText w:val="•"/>
      <w:rPr>
        <w:color w:val="3370ff"/>
      </w:rPr>
    </w:lvl>
  </w:abstractNum>
  <w:abstractNum w:abstractNumId="1269588">
    <w:lvl>
      <w:numFmt w:val="bullet"/>
      <w:suff w:val="tab"/>
      <w:lvlText w:val="•"/>
      <w:rPr>
        <w:color w:val="3370ff"/>
      </w:rPr>
    </w:lvl>
  </w:abstractNum>
  <w:abstractNum w:abstractNumId="1269589">
    <w:lvl>
      <w:numFmt w:val="bullet"/>
      <w:suff w:val="tab"/>
      <w:lvlText w:val="•"/>
      <w:rPr>
        <w:color w:val="3370ff"/>
      </w:rPr>
    </w:lvl>
  </w:abstractNum>
  <w:abstractNum w:abstractNumId="1269590">
    <w:lvl>
      <w:numFmt w:val="bullet"/>
      <w:suff w:val="tab"/>
      <w:lvlText w:val="￮"/>
      <w:rPr>
        <w:color w:val="3370ff"/>
      </w:rPr>
    </w:lvl>
  </w:abstractNum>
  <w:abstractNum w:abstractNumId="1269591">
    <w:lvl>
      <w:numFmt w:val="bullet"/>
      <w:suff w:val="tab"/>
      <w:lvlText w:val="￮"/>
      <w:rPr>
        <w:color w:val="3370ff"/>
      </w:rPr>
    </w:lvl>
  </w:abstractNum>
  <w:abstractNum w:abstractNumId="1269592">
    <w:lvl>
      <w:numFmt w:val="bullet"/>
      <w:suff w:val="tab"/>
      <w:lvlText w:val="￮"/>
      <w:rPr>
        <w:color w:val="3370ff"/>
      </w:rPr>
    </w:lvl>
  </w:abstractNum>
  <w:abstractNum w:abstractNumId="1269593">
    <w:lvl>
      <w:numFmt w:val="bullet"/>
      <w:suff w:val="tab"/>
      <w:lvlText w:val="•"/>
      <w:rPr>
        <w:color w:val="3370ff"/>
      </w:rPr>
    </w:lvl>
  </w:abstractNum>
  <w:abstractNum w:abstractNumId="1269594">
    <w:lvl>
      <w:numFmt w:val="bullet"/>
      <w:suff w:val="tab"/>
      <w:lvlText w:val="￮"/>
      <w:rPr>
        <w:color w:val="3370ff"/>
      </w:rPr>
    </w:lvl>
  </w:abstractNum>
  <w:abstractNum w:abstractNumId="1269595">
    <w:lvl>
      <w:numFmt w:val="bullet"/>
      <w:suff w:val="tab"/>
      <w:lvlText w:val="￮"/>
      <w:rPr>
        <w:color w:val="3370ff"/>
      </w:rPr>
    </w:lvl>
  </w:abstractNum>
  <w:abstractNum w:abstractNumId="1269596">
    <w:lvl>
      <w:numFmt w:val="bullet"/>
      <w:suff w:val="tab"/>
      <w:lvlText w:val="•"/>
      <w:rPr>
        <w:color w:val="3370ff"/>
      </w:rPr>
    </w:lvl>
  </w:abstractNum>
  <w:abstractNum w:abstractNumId="1269597">
    <w:lvl>
      <w:numFmt w:val="bullet"/>
      <w:suff w:val="tab"/>
      <w:lvlText w:val="•"/>
      <w:rPr>
        <w:color w:val="3370ff"/>
      </w:rPr>
    </w:lvl>
  </w:abstractNum>
  <w:abstractNum w:abstractNumId="1269598">
    <w:lvl>
      <w:numFmt w:val="bullet"/>
      <w:suff w:val="tab"/>
      <w:lvlText w:val="•"/>
      <w:rPr>
        <w:color w:val="3370ff"/>
      </w:rPr>
    </w:lvl>
  </w:abstractNum>
  <w:abstractNum w:abstractNumId="1269599">
    <w:lvl>
      <w:numFmt w:val="bullet"/>
      <w:suff w:val="tab"/>
      <w:lvlText w:val="•"/>
      <w:rPr>
        <w:color w:val="3370ff"/>
      </w:rPr>
    </w:lvl>
  </w:abstractNum>
  <w:abstractNum w:abstractNumId="1269600">
    <w:lvl>
      <w:numFmt w:val="bullet"/>
      <w:suff w:val="tab"/>
      <w:lvlText w:val="•"/>
      <w:rPr>
        <w:color w:val="3370ff"/>
      </w:rPr>
    </w:lvl>
  </w:abstractNum>
  <w:abstractNum w:abstractNumId="1269601">
    <w:lvl>
      <w:numFmt w:val="bullet"/>
      <w:suff w:val="tab"/>
      <w:lvlText w:val="•"/>
      <w:rPr>
        <w:color w:val="3370ff"/>
      </w:rPr>
    </w:lvl>
  </w:abstractNum>
  <w:abstractNum w:abstractNumId="1269602">
    <w:lvl>
      <w:numFmt w:val="bullet"/>
      <w:suff w:val="tab"/>
      <w:lvlText w:val="•"/>
      <w:rPr>
        <w:color w:val="3370ff"/>
      </w:rPr>
    </w:lvl>
  </w:abstractNum>
  <w:abstractNum w:abstractNumId="1269603">
    <w:lvl>
      <w:numFmt w:val="bullet"/>
      <w:suff w:val="tab"/>
      <w:lvlText w:val="•"/>
      <w:rPr>
        <w:color w:val="3370ff"/>
      </w:rPr>
    </w:lvl>
  </w:abstractNum>
  <w:abstractNum w:abstractNumId="1269604">
    <w:lvl>
      <w:numFmt w:val="bullet"/>
      <w:suff w:val="tab"/>
      <w:lvlText w:val="•"/>
      <w:rPr>
        <w:color w:val="3370ff"/>
      </w:rPr>
    </w:lvl>
  </w:abstractNum>
  <w:abstractNum w:abstractNumId="1269605">
    <w:lvl>
      <w:numFmt w:val="bullet"/>
      <w:suff w:val="tab"/>
      <w:lvlText w:val="•"/>
      <w:rPr>
        <w:color w:val="3370ff"/>
      </w:rPr>
    </w:lvl>
  </w:abstractNum>
  <w:abstractNum w:abstractNumId="1269606">
    <w:lvl>
      <w:numFmt w:val="bullet"/>
      <w:suff w:val="tab"/>
      <w:lvlText w:val="•"/>
      <w:rPr>
        <w:color w:val="3370ff"/>
      </w:rPr>
    </w:lvl>
  </w:abstractNum>
  <w:abstractNum w:abstractNumId="1269607">
    <w:lvl>
      <w:numFmt w:val="bullet"/>
      <w:suff w:val="tab"/>
      <w:lvlText w:val="•"/>
      <w:rPr>
        <w:color w:val="3370ff"/>
      </w:rPr>
    </w:lvl>
  </w:abstractNum>
  <w:abstractNum w:abstractNumId="1269608">
    <w:lvl>
      <w:numFmt w:val="bullet"/>
      <w:suff w:val="tab"/>
      <w:lvlText w:val="•"/>
      <w:rPr>
        <w:color w:val="3370ff"/>
      </w:rPr>
    </w:lvl>
  </w:abstractNum>
  <w:abstractNum w:abstractNumId="1269609">
    <w:lvl>
      <w:start w:val="1"/>
      <w:numFmt w:val="decimal"/>
      <w:suff w:val="tab"/>
      <w:lvlText w:val="%1."/>
      <w:rPr>
        <w:color w:val="3370ff"/>
      </w:rPr>
    </w:lvl>
  </w:abstractNum>
  <w:abstractNum w:abstractNumId="1269610">
    <w:lvl>
      <w:start w:val="2"/>
      <w:numFmt w:val="decimal"/>
      <w:suff w:val="tab"/>
      <w:lvlText w:val="%1."/>
      <w:rPr>
        <w:color w:val="3370ff"/>
      </w:rPr>
    </w:lvl>
  </w:abstractNum>
  <w:abstractNum w:abstractNumId="1269611">
    <w:lvl>
      <w:start w:val="3"/>
      <w:numFmt w:val="decimal"/>
      <w:suff w:val="tab"/>
      <w:lvlText w:val="%1."/>
      <w:rPr>
        <w:color w:val="3370ff"/>
      </w:rPr>
    </w:lvl>
  </w:abstractNum>
  <w:abstractNum w:abstractNumId="1269612">
    <w:lvl>
      <w:start w:val="4"/>
      <w:numFmt w:val="decimal"/>
      <w:suff w:val="tab"/>
      <w:lvlText w:val="%1."/>
      <w:rPr>
        <w:color w:val="3370ff"/>
      </w:rPr>
    </w:lvl>
  </w:abstractNum>
  <w:abstractNum w:abstractNumId="1269613">
    <w:lvl>
      <w:numFmt w:val="bullet"/>
      <w:suff w:val="tab"/>
      <w:lvlText w:val="•"/>
      <w:rPr>
        <w:color w:val="3370ff"/>
      </w:rPr>
    </w:lvl>
  </w:abstractNum>
  <w:abstractNum w:abstractNumId="1269614">
    <w:lvl>
      <w:numFmt w:val="bullet"/>
      <w:suff w:val="tab"/>
      <w:lvlText w:val="•"/>
      <w:rPr>
        <w:color w:val="3370ff"/>
      </w:rPr>
    </w:lvl>
  </w:abstractNum>
  <w:abstractNum w:abstractNumId="1269615">
    <w:lvl>
      <w:numFmt w:val="bullet"/>
      <w:suff w:val="tab"/>
      <w:lvlText w:val="•"/>
      <w:rPr>
        <w:color w:val="3370ff"/>
      </w:rPr>
    </w:lvl>
  </w:abstractNum>
  <w:abstractNum w:abstractNumId="1269616">
    <w:lvl>
      <w:numFmt w:val="bullet"/>
      <w:suff w:val="tab"/>
      <w:lvlText w:val="•"/>
      <w:rPr>
        <w:color w:val="3370ff"/>
      </w:rPr>
    </w:lvl>
  </w:abstractNum>
  <w:abstractNum w:abstractNumId="1269617">
    <w:lvl>
      <w:numFmt w:val="bullet"/>
      <w:suff w:val="tab"/>
      <w:lvlText w:val="•"/>
      <w:rPr>
        <w:color w:val="3370ff"/>
      </w:rPr>
    </w:lvl>
  </w:abstractNum>
  <w:abstractNum w:abstractNumId="1269618">
    <w:lvl>
      <w:numFmt w:val="bullet"/>
      <w:suff w:val="tab"/>
      <w:lvlText w:val="•"/>
      <w:rPr>
        <w:color w:val="3370ff"/>
      </w:rPr>
    </w:lvl>
  </w:abstractNum>
  <w:abstractNum w:abstractNumId="1269619">
    <w:lvl>
      <w:start w:val="1"/>
      <w:numFmt w:val="decimal"/>
      <w:suff w:val="tab"/>
      <w:lvlText w:val="%1."/>
      <w:rPr>
        <w:color w:val="3370ff"/>
      </w:rPr>
    </w:lvl>
  </w:abstractNum>
  <w:abstractNum w:abstractNumId="1269620">
    <w:lvl>
      <w:start w:val="2"/>
      <w:numFmt w:val="decimal"/>
      <w:suff w:val="tab"/>
      <w:lvlText w:val="%1."/>
      <w:rPr>
        <w:color w:val="3370ff"/>
      </w:rPr>
    </w:lvl>
  </w:abstractNum>
  <w:abstractNum w:abstractNumId="1269621">
    <w:lvl>
      <w:start w:val="3"/>
      <w:numFmt w:val="decimal"/>
      <w:suff w:val="tab"/>
      <w:lvlText w:val="%1."/>
      <w:rPr>
        <w:color w:val="3370ff"/>
      </w:rPr>
    </w:lvl>
  </w:abstractNum>
  <w:abstractNum w:abstractNumId="1269622">
    <w:lvl>
      <w:numFmt w:val="bullet"/>
      <w:suff w:val="tab"/>
      <w:lvlText w:val="•"/>
      <w:rPr>
        <w:color w:val="3370ff"/>
      </w:rPr>
    </w:lvl>
  </w:abstractNum>
  <w:abstractNum w:abstractNumId="1269623">
    <w:lvl>
      <w:numFmt w:val="bullet"/>
      <w:suff w:val="tab"/>
      <w:lvlText w:val="•"/>
      <w:rPr>
        <w:color w:val="3370ff"/>
      </w:rPr>
    </w:lvl>
  </w:abstractNum>
  <w:abstractNum w:abstractNumId="1269624">
    <w:lvl>
      <w:start w:val="1"/>
      <w:numFmt w:val="decimal"/>
      <w:suff w:val="tab"/>
      <w:lvlText w:val="%1."/>
      <w:rPr>
        <w:color w:val="3370ff"/>
      </w:rPr>
    </w:lvl>
  </w:abstractNum>
  <w:abstractNum w:abstractNumId="1269625">
    <w:lvl>
      <w:start w:val="2"/>
      <w:numFmt w:val="decimal"/>
      <w:suff w:val="tab"/>
      <w:lvlText w:val="%1."/>
      <w:rPr>
        <w:color w:val="3370ff"/>
      </w:rPr>
    </w:lvl>
  </w:abstractNum>
  <w:abstractNum w:abstractNumId="1269626">
    <w:lvl>
      <w:start w:val="3"/>
      <w:numFmt w:val="decimal"/>
      <w:suff w:val="tab"/>
      <w:lvlText w:val="%1."/>
      <w:rPr>
        <w:color w:val="3370ff"/>
      </w:rPr>
    </w:lvl>
  </w:abstractNum>
  <w:abstractNum w:abstractNumId="1269627">
    <w:lvl>
      <w:numFmt w:val="bullet"/>
      <w:suff w:val="tab"/>
      <w:lvlText w:val="•"/>
      <w:rPr>
        <w:color w:val="3370ff"/>
      </w:rPr>
    </w:lvl>
  </w:abstractNum>
  <w:abstractNum w:abstractNumId="1269628">
    <w:lvl>
      <w:numFmt w:val="bullet"/>
      <w:suff w:val="tab"/>
      <w:lvlText w:val="•"/>
      <w:rPr>
        <w:color w:val="3370ff"/>
      </w:rPr>
    </w:lvl>
  </w:abstractNum>
  <w:abstractNum w:abstractNumId="1269629">
    <w:lvl>
      <w:numFmt w:val="bullet"/>
      <w:suff w:val="tab"/>
      <w:lvlText w:val="•"/>
      <w:rPr>
        <w:color w:val="3370ff"/>
      </w:rPr>
    </w:lvl>
  </w:abstractNum>
  <w:abstractNum w:abstractNumId="1269630">
    <w:lvl>
      <w:start w:val="1"/>
      <w:numFmt w:val="decimal"/>
      <w:suff w:val="tab"/>
      <w:lvlText w:val="%1."/>
      <w:rPr>
        <w:color w:val="3370ff"/>
      </w:rPr>
    </w:lvl>
  </w:abstractNum>
  <w:abstractNum w:abstractNumId="1269631">
    <w:lvl>
      <w:start w:val="2"/>
      <w:numFmt w:val="decimal"/>
      <w:suff w:val="tab"/>
      <w:lvlText w:val="%1."/>
      <w:rPr>
        <w:color w:val="3370ff"/>
      </w:rPr>
    </w:lvl>
  </w:abstractNum>
  <w:abstractNum w:abstractNumId="1269632">
    <w:lvl>
      <w:start w:val="3"/>
      <w:numFmt w:val="decimal"/>
      <w:suff w:val="tab"/>
      <w:lvlText w:val="%1."/>
      <w:rPr>
        <w:color w:val="3370ff"/>
      </w:rPr>
    </w:lvl>
  </w:abstractNum>
  <w:abstractNum w:abstractNumId="1269633">
    <w:lvl>
      <w:numFmt w:val="bullet"/>
      <w:suff w:val="tab"/>
      <w:lvlText w:val="•"/>
      <w:rPr>
        <w:color w:val="3370ff"/>
      </w:rPr>
    </w:lvl>
  </w:abstractNum>
  <w:abstractNum w:abstractNumId="1269634">
    <w:lvl>
      <w:numFmt w:val="bullet"/>
      <w:suff w:val="tab"/>
      <w:lvlText w:val="•"/>
      <w:rPr>
        <w:color w:val="3370ff"/>
      </w:rPr>
    </w:lvl>
  </w:abstractNum>
  <w:abstractNum w:abstractNumId="1269635">
    <w:lvl>
      <w:numFmt w:val="bullet"/>
      <w:suff w:val="tab"/>
      <w:lvlText w:val="•"/>
      <w:rPr>
        <w:color w:val="3370ff"/>
      </w:rPr>
    </w:lvl>
  </w:abstractNum>
  <w:abstractNum w:abstractNumId="1269636">
    <w:lvl>
      <w:start w:val="1"/>
      <w:numFmt w:val="decimal"/>
      <w:suff w:val="tab"/>
      <w:lvlText w:val="%1."/>
      <w:rPr>
        <w:color w:val="3370ff"/>
      </w:rPr>
    </w:lvl>
  </w:abstractNum>
  <w:abstractNum w:abstractNumId="1269637">
    <w:lvl>
      <w:start w:val="2"/>
      <w:numFmt w:val="decimal"/>
      <w:suff w:val="tab"/>
      <w:lvlText w:val="%1."/>
      <w:rPr>
        <w:color w:val="3370ff"/>
      </w:rPr>
    </w:lvl>
  </w:abstractNum>
  <w:abstractNum w:abstractNumId="1269638">
    <w:lvl>
      <w:numFmt w:val="bullet"/>
      <w:suff w:val="tab"/>
      <w:lvlText w:val="￮"/>
      <w:rPr>
        <w:color w:val="3370ff"/>
      </w:rPr>
    </w:lvl>
  </w:abstractNum>
  <w:abstractNum w:abstractNumId="1269639">
    <w:lvl>
      <w:numFmt w:val="bullet"/>
      <w:suff w:val="tab"/>
      <w:lvlText w:val="￮"/>
      <w:rPr>
        <w:color w:val="3370ff"/>
      </w:rPr>
    </w:lvl>
  </w:abstractNum>
  <w:abstractNum w:abstractNumId="1269640">
    <w:lvl>
      <w:numFmt w:val="bullet"/>
      <w:suff w:val="tab"/>
      <w:lvlText w:val="￮"/>
      <w:rPr>
        <w:color w:val="3370ff"/>
      </w:rPr>
    </w:lvl>
  </w:abstractNum>
  <w:abstractNum w:abstractNumId="1269641">
    <w:lvl>
      <w:numFmt w:val="bullet"/>
      <w:suff w:val="tab"/>
      <w:lvlText w:val="•"/>
      <w:rPr>
        <w:color w:val="3370ff"/>
      </w:rPr>
    </w:lvl>
  </w:abstractNum>
  <w:abstractNum w:abstractNumId="1269642">
    <w:lvl>
      <w:numFmt w:val="bullet"/>
      <w:suff w:val="tab"/>
      <w:lvlText w:val="•"/>
      <w:rPr>
        <w:color w:val="3370ff"/>
      </w:rPr>
    </w:lvl>
  </w:abstractNum>
  <w:abstractNum w:abstractNumId="1269643">
    <w:lvl>
      <w:numFmt w:val="bullet"/>
      <w:suff w:val="tab"/>
      <w:lvlText w:val="•"/>
      <w:rPr>
        <w:color w:val="3370ff"/>
      </w:rPr>
    </w:lvl>
  </w:abstractNum>
  <w:abstractNum w:abstractNumId="1269644">
    <w:lvl>
      <w:start w:val="1"/>
      <w:numFmt w:val="decimal"/>
      <w:suff w:val="tab"/>
      <w:lvlText w:val="%1."/>
      <w:rPr>
        <w:color w:val="3370ff"/>
      </w:rPr>
    </w:lvl>
  </w:abstractNum>
  <w:abstractNum w:abstractNumId="1269645">
    <w:lvl>
      <w:start w:val="2"/>
      <w:numFmt w:val="decimal"/>
      <w:suff w:val="tab"/>
      <w:lvlText w:val="%1."/>
      <w:rPr>
        <w:color w:val="3370ff"/>
      </w:rPr>
    </w:lvl>
  </w:abstractNum>
  <w:abstractNum w:abstractNumId="1269646">
    <w:lvl>
      <w:start w:val="3"/>
      <w:numFmt w:val="decimal"/>
      <w:suff w:val="tab"/>
      <w:lvlText w:val="%1."/>
      <w:rPr>
        <w:color w:val="3370ff"/>
      </w:rPr>
    </w:lvl>
  </w:abstractNum>
  <w:abstractNum w:abstractNumId="1269647">
    <w:lvl>
      <w:numFmt w:val="bullet"/>
      <w:suff w:val="tab"/>
      <w:lvlText w:val="•"/>
      <w:rPr>
        <w:color w:val="3370ff"/>
      </w:rPr>
    </w:lvl>
  </w:abstractNum>
  <w:abstractNum w:abstractNumId="1269648">
    <w:lvl>
      <w:numFmt w:val="bullet"/>
      <w:suff w:val="tab"/>
      <w:lvlText w:val="•"/>
      <w:rPr>
        <w:color w:val="3370ff"/>
      </w:rPr>
    </w:lvl>
  </w:abstractNum>
  <w:abstractNum w:abstractNumId="1269649">
    <w:lvl>
      <w:numFmt w:val="bullet"/>
      <w:suff w:val="tab"/>
      <w:lvlText w:val="•"/>
      <w:rPr>
        <w:color w:val="3370ff"/>
      </w:rPr>
    </w:lvl>
  </w:abstractNum>
  <w:abstractNum w:abstractNumId="1269650">
    <w:lvl>
      <w:start w:val="1"/>
      <w:numFmt w:val="decimal"/>
      <w:suff w:val="tab"/>
      <w:lvlText w:val="%1."/>
      <w:rPr>
        <w:color w:val="3370ff"/>
      </w:rPr>
    </w:lvl>
  </w:abstractNum>
  <w:abstractNum w:abstractNumId="1269651">
    <w:lvl>
      <w:start w:val="2"/>
      <w:numFmt w:val="decimal"/>
      <w:suff w:val="tab"/>
      <w:lvlText w:val="%1."/>
      <w:rPr>
        <w:color w:val="3370ff"/>
      </w:rPr>
    </w:lvl>
  </w:abstractNum>
  <w:abstractNum w:abstractNumId="1269652">
    <w:lvl>
      <w:start w:val="3"/>
      <w:numFmt w:val="decimal"/>
      <w:suff w:val="tab"/>
      <w:lvlText w:val="%1."/>
      <w:rPr>
        <w:color w:val="3370ff"/>
      </w:rPr>
    </w:lvl>
  </w:abstractNum>
  <w:abstractNum w:abstractNumId="1269653">
    <w:lvl>
      <w:numFmt w:val="bullet"/>
      <w:suff w:val="tab"/>
      <w:lvlText w:val="•"/>
      <w:rPr>
        <w:color w:val="3370ff"/>
      </w:rPr>
    </w:lvl>
  </w:abstractNum>
  <w:abstractNum w:abstractNumId="1269654">
    <w:lvl>
      <w:numFmt w:val="bullet"/>
      <w:suff w:val="tab"/>
      <w:lvlText w:val="•"/>
      <w:rPr>
        <w:color w:val="3370ff"/>
      </w:rPr>
    </w:lvl>
  </w:abstractNum>
  <w:abstractNum w:abstractNumId="1269655">
    <w:lvl>
      <w:numFmt w:val="bullet"/>
      <w:suff w:val="tab"/>
      <w:lvlText w:val="•"/>
      <w:rPr>
        <w:color w:val="3370ff"/>
      </w:rPr>
    </w:lvl>
  </w:abstractNum>
  <w:abstractNum w:abstractNumId="1269656">
    <w:lvl>
      <w:numFmt w:val="bullet"/>
      <w:suff w:val="tab"/>
      <w:lvlText w:val="•"/>
      <w:rPr>
        <w:color w:val="3370ff"/>
      </w:rPr>
    </w:lvl>
  </w:abstractNum>
  <w:abstractNum w:abstractNumId="1269657">
    <w:lvl>
      <w:numFmt w:val="bullet"/>
      <w:suff w:val="tab"/>
      <w:lvlText w:val="•"/>
      <w:rPr>
        <w:color w:val="3370ff"/>
      </w:rPr>
    </w:lvl>
  </w:abstractNum>
  <w:abstractNum w:abstractNumId="1269658">
    <w:lvl>
      <w:numFmt w:val="bullet"/>
      <w:suff w:val="tab"/>
      <w:lvlText w:val="•"/>
      <w:rPr>
        <w:color w:val="3370ff"/>
      </w:rPr>
    </w:lvl>
  </w:abstractNum>
  <w:abstractNum w:abstractNumId="1269659">
    <w:lvl>
      <w:start w:val="1"/>
      <w:numFmt w:val="decimal"/>
      <w:suff w:val="tab"/>
      <w:lvlText w:val="%1."/>
      <w:rPr>
        <w:color w:val="3370ff"/>
      </w:rPr>
    </w:lvl>
  </w:abstractNum>
  <w:abstractNum w:abstractNumId="1269660">
    <w:lvl>
      <w:start w:val="2"/>
      <w:numFmt w:val="decimal"/>
      <w:suff w:val="tab"/>
      <w:lvlText w:val="%1."/>
      <w:rPr>
        <w:color w:val="3370ff"/>
      </w:rPr>
    </w:lvl>
  </w:abstractNum>
  <w:abstractNum w:abstractNumId="1269661">
    <w:lvl>
      <w:numFmt w:val="bullet"/>
      <w:suff w:val="tab"/>
      <w:lvlText w:val="•"/>
      <w:rPr>
        <w:color w:val="3370ff"/>
      </w:rPr>
    </w:lvl>
  </w:abstractNum>
  <w:abstractNum w:abstractNumId="1269662">
    <w:lvl>
      <w:numFmt w:val="bullet"/>
      <w:suff w:val="tab"/>
      <w:lvlText w:val="•"/>
      <w:rPr>
        <w:color w:val="3370ff"/>
      </w:rPr>
    </w:lvl>
  </w:abstractNum>
  <w:abstractNum w:abstractNumId="1269663">
    <w:lvl>
      <w:numFmt w:val="bullet"/>
      <w:suff w:val="tab"/>
      <w:lvlText w:val="•"/>
      <w:rPr>
        <w:color w:val="3370ff"/>
      </w:rPr>
    </w:lvl>
  </w:abstractNum>
  <w:abstractNum w:abstractNumId="1269664">
    <w:lvl>
      <w:numFmt w:val="bullet"/>
      <w:suff w:val="tab"/>
      <w:lvlText w:val="•"/>
      <w:rPr>
        <w:color w:val="3370ff"/>
      </w:rPr>
    </w:lvl>
  </w:abstractNum>
  <w:abstractNum w:abstractNumId="1269665">
    <w:lvl>
      <w:numFmt w:val="bullet"/>
      <w:suff w:val="tab"/>
      <w:lvlText w:val="•"/>
      <w:rPr>
        <w:color w:val="3370ff"/>
      </w:rPr>
    </w:lvl>
  </w:abstractNum>
  <w:abstractNum w:abstractNumId="1269666">
    <w:lvl>
      <w:start w:val="1"/>
      <w:numFmt w:val="decimal"/>
      <w:suff w:val="tab"/>
      <w:lvlText w:val="%1."/>
      <w:rPr>
        <w:color w:val="3370ff"/>
      </w:rPr>
    </w:lvl>
  </w:abstractNum>
  <w:abstractNum w:abstractNumId="1269667">
    <w:lvl>
      <w:start w:val="2"/>
      <w:numFmt w:val="decimal"/>
      <w:suff w:val="tab"/>
      <w:lvlText w:val="%1."/>
      <w:rPr>
        <w:color w:val="3370ff"/>
      </w:rPr>
    </w:lvl>
  </w:abstractNum>
  <w:abstractNum w:abstractNumId="1269668">
    <w:lvl>
      <w:start w:val="3"/>
      <w:numFmt w:val="decimal"/>
      <w:suff w:val="tab"/>
      <w:lvlText w:val="%1."/>
      <w:rPr>
        <w:color w:val="3370ff"/>
      </w:rPr>
    </w:lvl>
  </w:abstractNum>
  <w:abstractNum w:abstractNumId="1269669">
    <w:lvl>
      <w:numFmt w:val="bullet"/>
      <w:suff w:val="tab"/>
      <w:lvlText w:val="•"/>
      <w:rPr>
        <w:color w:val="3370ff"/>
      </w:rPr>
    </w:lvl>
  </w:abstractNum>
  <w:abstractNum w:abstractNumId="1269670">
    <w:lvl>
      <w:numFmt w:val="bullet"/>
      <w:suff w:val="tab"/>
      <w:lvlText w:val="•"/>
      <w:rPr>
        <w:color w:val="3370ff"/>
      </w:rPr>
    </w:lvl>
  </w:abstractNum>
  <w:abstractNum w:abstractNumId="1269671">
    <w:lvl>
      <w:start w:val="1"/>
      <w:numFmt w:val="decimal"/>
      <w:suff w:val="tab"/>
      <w:lvlText w:val="%1."/>
      <w:rPr>
        <w:color w:val="3370ff"/>
      </w:rPr>
    </w:lvl>
  </w:abstractNum>
  <w:abstractNum w:abstractNumId="1269672">
    <w:lvl>
      <w:start w:val="2"/>
      <w:numFmt w:val="decimal"/>
      <w:suff w:val="tab"/>
      <w:lvlText w:val="%1."/>
      <w:rPr>
        <w:color w:val="3370ff"/>
      </w:rPr>
    </w:lvl>
  </w:abstractNum>
  <w:abstractNum w:abstractNumId="1269673">
    <w:lvl>
      <w:start w:val="3"/>
      <w:numFmt w:val="decimal"/>
      <w:suff w:val="tab"/>
      <w:lvlText w:val="%1."/>
      <w:rPr>
        <w:color w:val="3370ff"/>
      </w:rPr>
    </w:lvl>
  </w:abstractNum>
  <w:abstractNum w:abstractNumId="1269674">
    <w:lvl>
      <w:numFmt w:val="bullet"/>
      <w:suff w:val="tab"/>
      <w:lvlText w:val="•"/>
      <w:rPr>
        <w:color w:val="3370ff"/>
      </w:rPr>
    </w:lvl>
  </w:abstractNum>
  <w:abstractNum w:abstractNumId="1269675">
    <w:lvl>
      <w:numFmt w:val="bullet"/>
      <w:suff w:val="tab"/>
      <w:lvlText w:val="•"/>
      <w:rPr>
        <w:color w:val="3370ff"/>
      </w:rPr>
    </w:lvl>
  </w:abstractNum>
  <w:abstractNum w:abstractNumId="1269676">
    <w:lvl>
      <w:numFmt w:val="bullet"/>
      <w:suff w:val="tab"/>
      <w:lvlText w:val="•"/>
      <w:rPr>
        <w:color w:val="3370ff"/>
      </w:rPr>
    </w:lvl>
  </w:abstractNum>
  <w:abstractNum w:abstractNumId="1269677">
    <w:lvl>
      <w:numFmt w:val="bullet"/>
      <w:suff w:val="tab"/>
      <w:lvlText w:val="•"/>
      <w:rPr>
        <w:color w:val="3370ff"/>
      </w:rPr>
    </w:lvl>
  </w:abstractNum>
  <w:abstractNum w:abstractNumId="1269678">
    <w:lvl>
      <w:numFmt w:val="bullet"/>
      <w:suff w:val="tab"/>
      <w:lvlText w:val="•"/>
      <w:rPr>
        <w:color w:val="3370ff"/>
      </w:rPr>
    </w:lvl>
  </w:abstractNum>
  <w:abstractNum w:abstractNumId="1269679">
    <w:lvl>
      <w:start w:val="1"/>
      <w:numFmt w:val="decimal"/>
      <w:suff w:val="tab"/>
      <w:lvlText w:val="%1."/>
      <w:rPr>
        <w:color w:val="3370ff"/>
      </w:rPr>
    </w:lvl>
  </w:abstractNum>
  <w:abstractNum w:abstractNumId="1269680">
    <w:lvl>
      <w:start w:val="2"/>
      <w:numFmt w:val="decimal"/>
      <w:suff w:val="tab"/>
      <w:lvlText w:val="%1."/>
      <w:rPr>
        <w:color w:val="3370ff"/>
      </w:rPr>
    </w:lvl>
  </w:abstractNum>
  <w:abstractNum w:abstractNumId="1269681">
    <w:lvl>
      <w:start w:val="3"/>
      <w:numFmt w:val="decimal"/>
      <w:suff w:val="tab"/>
      <w:lvlText w:val="%1."/>
      <w:rPr>
        <w:color w:val="3370ff"/>
      </w:rPr>
    </w:lvl>
  </w:abstractNum>
  <w:abstractNum w:abstractNumId="1269682">
    <w:lvl>
      <w:start w:val="1"/>
      <w:numFmt w:val="decimal"/>
      <w:suff w:val="tab"/>
      <w:lvlText w:val="%1."/>
      <w:rPr>
        <w:color w:val="3370ff"/>
      </w:rPr>
    </w:lvl>
  </w:abstractNum>
  <w:abstractNum w:abstractNumId="1269683">
    <w:lvl>
      <w:start w:val="2"/>
      <w:numFmt w:val="decimal"/>
      <w:suff w:val="tab"/>
      <w:lvlText w:val="%1."/>
      <w:rPr>
        <w:color w:val="3370ff"/>
      </w:rPr>
    </w:lvl>
  </w:abstractNum>
  <w:abstractNum w:abstractNumId="1269684">
    <w:lvl>
      <w:start w:val="3"/>
      <w:numFmt w:val="decimal"/>
      <w:suff w:val="tab"/>
      <w:lvlText w:val="%1."/>
      <w:rPr>
        <w:color w:val="3370ff"/>
      </w:rPr>
    </w:lvl>
  </w:abstractNum>
  <w:abstractNum w:abstractNumId="1269685">
    <w:lvl>
      <w:start w:val="4"/>
      <w:numFmt w:val="decimal"/>
      <w:suff w:val="tab"/>
      <w:lvlText w:val="%1."/>
      <w:rPr>
        <w:color w:val="3370ff"/>
      </w:rPr>
    </w:lvl>
  </w:abstractNum>
  <w:abstractNum w:abstractNumId="1269686">
    <w:lvl>
      <w:numFmt w:val="bullet"/>
      <w:suff w:val="tab"/>
      <w:lvlText w:val="•"/>
      <w:rPr>
        <w:color w:val="3370ff"/>
      </w:rPr>
    </w:lvl>
  </w:abstractNum>
  <w:abstractNum w:abstractNumId="1269687">
    <w:lvl>
      <w:numFmt w:val="bullet"/>
      <w:suff w:val="tab"/>
      <w:lvlText w:val="•"/>
      <w:rPr>
        <w:color w:val="3370ff"/>
      </w:rPr>
    </w:lvl>
  </w:abstractNum>
  <w:abstractNum w:abstractNumId="1269688">
    <w:lvl>
      <w:numFmt w:val="bullet"/>
      <w:suff w:val="tab"/>
      <w:lvlText w:val="•"/>
      <w:rPr>
        <w:color w:val="3370ff"/>
      </w:rPr>
    </w:lvl>
  </w:abstractNum>
  <w:abstractNum w:abstractNumId="1269689">
    <w:lvl>
      <w:start w:val="1"/>
      <w:numFmt w:val="decimal"/>
      <w:suff w:val="tab"/>
      <w:lvlText w:val="%1."/>
      <w:rPr>
        <w:color w:val="3370ff"/>
      </w:rPr>
    </w:lvl>
  </w:abstractNum>
  <w:abstractNum w:abstractNumId="1269690">
    <w:lvl>
      <w:start w:val="2"/>
      <w:numFmt w:val="decimal"/>
      <w:suff w:val="tab"/>
      <w:lvlText w:val="%1."/>
      <w:rPr>
        <w:color w:val="3370ff"/>
      </w:rPr>
    </w:lvl>
  </w:abstractNum>
  <w:abstractNum w:abstractNumId="1269691">
    <w:lvl>
      <w:start w:val="3"/>
      <w:numFmt w:val="decimal"/>
      <w:suff w:val="tab"/>
      <w:lvlText w:val="%1."/>
      <w:rPr>
        <w:color w:val="3370ff"/>
      </w:rPr>
    </w:lvl>
  </w:abstractNum>
  <w:abstractNum w:abstractNumId="1269692">
    <w:lvl>
      <w:numFmt w:val="bullet"/>
      <w:suff w:val="tab"/>
      <w:lvlText w:val="•"/>
      <w:rPr>
        <w:color w:val="3370ff"/>
      </w:rPr>
    </w:lvl>
  </w:abstractNum>
  <w:abstractNum w:abstractNumId="1269693">
    <w:lvl>
      <w:numFmt w:val="bullet"/>
      <w:suff w:val="tab"/>
      <w:lvlText w:val="•"/>
      <w:rPr>
        <w:color w:val="3370ff"/>
      </w:rPr>
    </w:lvl>
  </w:abstractNum>
  <w:abstractNum w:abstractNumId="1269694">
    <w:lvl>
      <w:numFmt w:val="bullet"/>
      <w:suff w:val="tab"/>
      <w:lvlText w:val="•"/>
      <w:rPr>
        <w:color w:val="3370ff"/>
      </w:rPr>
    </w:lvl>
  </w:abstractNum>
  <w:abstractNum w:abstractNumId="1269695">
    <w:lvl>
      <w:numFmt w:val="bullet"/>
      <w:suff w:val="tab"/>
      <w:lvlText w:val="•"/>
      <w:rPr>
        <w:color w:val="3370ff"/>
      </w:rPr>
    </w:lvl>
  </w:abstractNum>
  <w:abstractNum w:abstractNumId="1269696">
    <w:lvl>
      <w:numFmt w:val="bullet"/>
      <w:suff w:val="tab"/>
      <w:lvlText w:val="•"/>
      <w:rPr>
        <w:color w:val="3370ff"/>
      </w:rPr>
    </w:lvl>
  </w:abstractNum>
  <w:abstractNum w:abstractNumId="1269697">
    <w:lvl>
      <w:numFmt w:val="bullet"/>
      <w:suff w:val="tab"/>
      <w:lvlText w:val="•"/>
      <w:rPr>
        <w:color w:val="3370ff"/>
      </w:rPr>
    </w:lvl>
  </w:abstractNum>
  <w:abstractNum w:abstractNumId="1269698">
    <w:lvl>
      <w:numFmt w:val="bullet"/>
      <w:suff w:val="tab"/>
      <w:lvlText w:val="•"/>
      <w:rPr>
        <w:color w:val="3370ff"/>
      </w:rPr>
    </w:lvl>
  </w:abstractNum>
  <w:abstractNum w:abstractNumId="1269699">
    <w:lvl>
      <w:numFmt w:val="bullet"/>
      <w:suff w:val="tab"/>
      <w:lvlText w:val="•"/>
      <w:rPr>
        <w:color w:val="3370ff"/>
      </w:rPr>
    </w:lvl>
  </w:abstractNum>
  <w:abstractNum w:abstractNumId="1269700">
    <w:lvl>
      <w:numFmt w:val="bullet"/>
      <w:suff w:val="tab"/>
      <w:lvlText w:val="•"/>
      <w:rPr>
        <w:color w:val="3370ff"/>
      </w:rPr>
    </w:lvl>
  </w:abstractNum>
  <w:abstractNum w:abstractNumId="1269701">
    <w:lvl>
      <w:numFmt w:val="bullet"/>
      <w:suff w:val="tab"/>
      <w:lvlText w:val="•"/>
      <w:rPr>
        <w:color w:val="3370ff"/>
      </w:rPr>
    </w:lvl>
  </w:abstractNum>
  <w:abstractNum w:abstractNumId="1269702">
    <w:lvl>
      <w:numFmt w:val="bullet"/>
      <w:suff w:val="tab"/>
      <w:lvlText w:val="•"/>
      <w:rPr>
        <w:color w:val="3370ff"/>
      </w:rPr>
    </w:lvl>
  </w:abstractNum>
  <w:abstractNum w:abstractNumId="1269703">
    <w:lvl>
      <w:numFmt w:val="bullet"/>
      <w:suff w:val="tab"/>
      <w:lvlText w:val="•"/>
      <w:rPr>
        <w:color w:val="3370ff"/>
      </w:rPr>
    </w:lvl>
  </w:abstractNum>
  <w:abstractNum w:abstractNumId="1269704">
    <w:lvl>
      <w:numFmt w:val="bullet"/>
      <w:suff w:val="tab"/>
      <w:lvlText w:val="•"/>
      <w:rPr>
        <w:color w:val="3370ff"/>
      </w:rPr>
    </w:lvl>
  </w:abstractNum>
  <w:abstractNum w:abstractNumId="1269705">
    <w:lvl>
      <w:numFmt w:val="bullet"/>
      <w:suff w:val="tab"/>
      <w:lvlText w:val="•"/>
      <w:rPr>
        <w:color w:val="3370ff"/>
      </w:rPr>
    </w:lvl>
  </w:abstractNum>
  <w:abstractNum w:abstractNumId="1269706">
    <w:lvl>
      <w:numFmt w:val="bullet"/>
      <w:suff w:val="tab"/>
      <w:lvlText w:val="•"/>
      <w:rPr>
        <w:color w:val="3370ff"/>
      </w:rPr>
    </w:lvl>
  </w:abstractNum>
  <w:abstractNum w:abstractNumId="1269707">
    <w:lvl>
      <w:numFmt w:val="bullet"/>
      <w:suff w:val="tab"/>
      <w:lvlText w:val="•"/>
      <w:rPr>
        <w:color w:val="3370ff"/>
      </w:rPr>
    </w:lvl>
  </w:abstractNum>
  <w:abstractNum w:abstractNumId="1269708">
    <w:lvl>
      <w:numFmt w:val="bullet"/>
      <w:suff w:val="tab"/>
      <w:lvlText w:val="•"/>
      <w:rPr>
        <w:color w:val="3370ff"/>
      </w:rPr>
    </w:lvl>
  </w:abstractNum>
  <w:abstractNum w:abstractNumId="1269709">
    <w:lvl>
      <w:numFmt w:val="bullet"/>
      <w:suff w:val="tab"/>
      <w:lvlText w:val="•"/>
      <w:rPr>
        <w:color w:val="3370ff"/>
      </w:rPr>
    </w:lvl>
  </w:abstractNum>
  <w:abstractNum w:abstractNumId="1269710">
    <w:lvl>
      <w:numFmt w:val="bullet"/>
      <w:suff w:val="tab"/>
      <w:lvlText w:val="•"/>
      <w:rPr>
        <w:color w:val="3370ff"/>
      </w:rPr>
    </w:lvl>
  </w:abstractNum>
  <w:abstractNum w:abstractNumId="1269711">
    <w:lvl>
      <w:numFmt w:val="bullet"/>
      <w:suff w:val="tab"/>
      <w:lvlText w:val="•"/>
      <w:rPr>
        <w:color w:val="3370ff"/>
      </w:rPr>
    </w:lvl>
  </w:abstractNum>
  <w:abstractNum w:abstractNumId="1269712">
    <w:lvl>
      <w:numFmt w:val="bullet"/>
      <w:suff w:val="tab"/>
      <w:lvlText w:val="•"/>
      <w:rPr>
        <w:color w:val="3370ff"/>
      </w:rPr>
    </w:lvl>
  </w:abstractNum>
  <w:abstractNum w:abstractNumId="1269713">
    <w:lvl>
      <w:start w:val="1"/>
      <w:numFmt w:val="decimal"/>
      <w:suff w:val="tab"/>
      <w:lvlText w:val="%1."/>
      <w:rPr>
        <w:color w:val="3370ff"/>
      </w:rPr>
    </w:lvl>
  </w:abstractNum>
  <w:abstractNum w:abstractNumId="1269714">
    <w:lvl>
      <w:start w:val="2"/>
      <w:numFmt w:val="decimal"/>
      <w:suff w:val="tab"/>
      <w:lvlText w:val="%1."/>
      <w:rPr>
        <w:color w:val="3370ff"/>
      </w:rPr>
    </w:lvl>
  </w:abstractNum>
  <w:abstractNum w:abstractNumId="1269715">
    <w:lvl>
      <w:start w:val="3"/>
      <w:numFmt w:val="decimal"/>
      <w:suff w:val="tab"/>
      <w:lvlText w:val="%1."/>
      <w:rPr>
        <w:color w:val="3370ff"/>
      </w:rPr>
    </w:lvl>
  </w:abstractNum>
  <w:abstractNum w:abstractNumId="1269716">
    <w:lvl>
      <w:start w:val="4"/>
      <w:numFmt w:val="decimal"/>
      <w:suff w:val="tab"/>
      <w:lvlText w:val="%1."/>
      <w:rPr>
        <w:color w:val="3370ff"/>
      </w:rPr>
    </w:lvl>
  </w:abstractNum>
  <w:abstractNum w:abstractNumId="1269717">
    <w:lvl>
      <w:start w:val="1"/>
      <w:numFmt w:val="decimal"/>
      <w:suff w:val="tab"/>
      <w:lvlText w:val="%1."/>
      <w:rPr>
        <w:color w:val="3370ff"/>
      </w:rPr>
    </w:lvl>
  </w:abstractNum>
  <w:abstractNum w:abstractNumId="1269718">
    <w:lvl>
      <w:start w:val="2"/>
      <w:numFmt w:val="decimal"/>
      <w:suff w:val="tab"/>
      <w:lvlText w:val="%1."/>
      <w:rPr>
        <w:color w:val="3370ff"/>
      </w:rPr>
    </w:lvl>
  </w:abstractNum>
  <w:abstractNum w:abstractNumId="1269719">
    <w:lvl>
      <w:start w:val="3"/>
      <w:numFmt w:val="decimal"/>
      <w:suff w:val="tab"/>
      <w:lvlText w:val="%1."/>
      <w:rPr>
        <w:color w:val="3370ff"/>
      </w:rPr>
    </w:lvl>
  </w:abstractNum>
  <w:abstractNum w:abstractNumId="1269720">
    <w:lvl>
      <w:start w:val="4"/>
      <w:numFmt w:val="decimal"/>
      <w:suff w:val="tab"/>
      <w:lvlText w:val="%1."/>
      <w:rPr>
        <w:color w:val="3370ff"/>
      </w:rPr>
    </w:lvl>
  </w:abstractNum>
  <w:abstractNum w:abstractNumId="1269721">
    <w:lvl>
      <w:numFmt w:val="bullet"/>
      <w:suff w:val="tab"/>
      <w:lvlText w:val="•"/>
      <w:rPr>
        <w:color w:val="3370ff"/>
      </w:rPr>
    </w:lvl>
  </w:abstractNum>
  <w:abstractNum w:abstractNumId="1269722">
    <w:lvl>
      <w:numFmt w:val="bullet"/>
      <w:suff w:val="tab"/>
      <w:lvlText w:val="•"/>
      <w:rPr>
        <w:color w:val="3370ff"/>
      </w:rPr>
    </w:lvl>
  </w:abstractNum>
  <w:abstractNum w:abstractNumId="1269723">
    <w:lvl>
      <w:numFmt w:val="bullet"/>
      <w:suff w:val="tab"/>
      <w:lvlText w:val="•"/>
      <w:rPr>
        <w:color w:val="3370ff"/>
      </w:rPr>
    </w:lvl>
  </w:abstractNum>
  <w:abstractNum w:abstractNumId="1269724">
    <w:lvl>
      <w:numFmt w:val="bullet"/>
      <w:suff w:val="tab"/>
      <w:lvlText w:val="•"/>
      <w:rPr>
        <w:color w:val="3370ff"/>
      </w:rPr>
    </w:lvl>
  </w:abstractNum>
  <w:abstractNum w:abstractNumId="1269725">
    <w:lvl>
      <w:start w:val="1"/>
      <w:numFmt w:val="decimal"/>
      <w:suff w:val="tab"/>
      <w:lvlText w:val="%1."/>
      <w:rPr>
        <w:color w:val="3370ff"/>
      </w:rPr>
    </w:lvl>
  </w:abstractNum>
  <w:abstractNum w:abstractNumId="1269726">
    <w:lvl>
      <w:start w:val="2"/>
      <w:numFmt w:val="decimal"/>
      <w:suff w:val="tab"/>
      <w:lvlText w:val="%1."/>
      <w:rPr>
        <w:color w:val="3370ff"/>
      </w:rPr>
    </w:lvl>
  </w:abstractNum>
  <w:abstractNum w:abstractNumId="1269727">
    <w:lvl>
      <w:start w:val="3"/>
      <w:numFmt w:val="decimal"/>
      <w:suff w:val="tab"/>
      <w:lvlText w:val="%1."/>
      <w:rPr>
        <w:color w:val="3370ff"/>
      </w:rPr>
    </w:lvl>
  </w:abstractNum>
  <w:abstractNum w:abstractNumId="1269728">
    <w:lvl>
      <w:start w:val="4"/>
      <w:numFmt w:val="decimal"/>
      <w:suff w:val="tab"/>
      <w:lvlText w:val="%1."/>
      <w:rPr>
        <w:color w:val="3370ff"/>
      </w:rPr>
    </w:lvl>
  </w:abstractNum>
  <w:abstractNum w:abstractNumId="1269729">
    <w:lvl>
      <w:start w:val="5"/>
      <w:numFmt w:val="decimal"/>
      <w:suff w:val="tab"/>
      <w:lvlText w:val="%1."/>
      <w:rPr>
        <w:color w:val="3370ff"/>
      </w:rPr>
    </w:lvl>
  </w:abstractNum>
  <w:abstractNum w:abstractNumId="1269730">
    <w:lvl>
      <w:numFmt w:val="bullet"/>
      <w:suff w:val="tab"/>
      <w:lvlText w:val="•"/>
      <w:rPr>
        <w:color w:val="3370ff"/>
      </w:rPr>
    </w:lvl>
  </w:abstractNum>
  <w:abstractNum w:abstractNumId="1269731">
    <w:lvl>
      <w:numFmt w:val="bullet"/>
      <w:suff w:val="tab"/>
      <w:lvlText w:val="•"/>
      <w:rPr>
        <w:color w:val="3370ff"/>
      </w:rPr>
    </w:lvl>
  </w:abstractNum>
  <w:abstractNum w:abstractNumId="1269732">
    <w:lvl>
      <w:numFmt w:val="bullet"/>
      <w:suff w:val="tab"/>
      <w:lvlText w:val="•"/>
      <w:rPr>
        <w:color w:val="3370ff"/>
      </w:rPr>
    </w:lvl>
  </w:abstractNum>
  <w:abstractNum w:abstractNumId="1269733">
    <w:lvl>
      <w:numFmt w:val="bullet"/>
      <w:suff w:val="tab"/>
      <w:lvlText w:val="•"/>
      <w:rPr>
        <w:color w:val="3370ff"/>
      </w:rPr>
    </w:lvl>
  </w:abstractNum>
  <w:abstractNum w:abstractNumId="1269734">
    <w:lvl>
      <w:numFmt w:val="bullet"/>
      <w:suff w:val="tab"/>
      <w:lvlText w:val="•"/>
      <w:rPr>
        <w:color w:val="3370ff"/>
      </w:rPr>
    </w:lvl>
  </w:abstractNum>
  <w:abstractNum w:abstractNumId="1269735">
    <w:lvl>
      <w:numFmt w:val="bullet"/>
      <w:suff w:val="tab"/>
      <w:lvlText w:val="•"/>
      <w:rPr>
        <w:color w:val="3370ff"/>
      </w:rPr>
    </w:lvl>
  </w:abstractNum>
  <w:abstractNum w:abstractNumId="1269736">
    <w:lvl>
      <w:numFmt w:val="bullet"/>
      <w:suff w:val="tab"/>
      <w:lvlText w:val="•"/>
      <w:rPr>
        <w:color w:val="3370ff"/>
      </w:rPr>
    </w:lvl>
  </w:abstractNum>
  <w:abstractNum w:abstractNumId="1269737">
    <w:lvl>
      <w:numFmt w:val="bullet"/>
      <w:suff w:val="tab"/>
      <w:lvlText w:val="•"/>
      <w:rPr>
        <w:color w:val="3370ff"/>
      </w:rPr>
    </w:lvl>
  </w:abstractNum>
  <w:abstractNum w:abstractNumId="1269738">
    <w:lvl>
      <w:numFmt w:val="bullet"/>
      <w:suff w:val="tab"/>
      <w:lvlText w:val="•"/>
      <w:rPr>
        <w:color w:val="3370ff"/>
      </w:rPr>
    </w:lvl>
  </w:abstractNum>
  <w:abstractNum w:abstractNumId="1269739">
    <w:lvl>
      <w:numFmt w:val="bullet"/>
      <w:suff w:val="tab"/>
      <w:lvlText w:val="•"/>
      <w:rPr>
        <w:color w:val="3370ff"/>
      </w:rPr>
    </w:lvl>
  </w:abstractNum>
  <w:num w:numId="1">
    <w:abstractNumId w:val="1269565"/>
  </w:num>
  <w:num w:numId="2">
    <w:abstractNumId w:val="1269566"/>
  </w:num>
  <w:num w:numId="3">
    <w:abstractNumId w:val="1269567"/>
  </w:num>
  <w:num w:numId="4">
    <w:abstractNumId w:val="1269568"/>
  </w:num>
  <w:num w:numId="5">
    <w:abstractNumId w:val="1269569"/>
  </w:num>
  <w:num w:numId="6">
    <w:abstractNumId w:val="1269570"/>
  </w:num>
  <w:num w:numId="7">
    <w:abstractNumId w:val="1269571"/>
  </w:num>
  <w:num w:numId="8">
    <w:abstractNumId w:val="1269572"/>
  </w:num>
  <w:num w:numId="9">
    <w:abstractNumId w:val="1269573"/>
  </w:num>
  <w:num w:numId="10">
    <w:abstractNumId w:val="1269574"/>
  </w:num>
  <w:num w:numId="11">
    <w:abstractNumId w:val="1269575"/>
  </w:num>
  <w:num w:numId="12">
    <w:abstractNumId w:val="1269576"/>
  </w:num>
  <w:num w:numId="13">
    <w:abstractNumId w:val="1269577"/>
  </w:num>
  <w:num w:numId="14">
    <w:abstractNumId w:val="1269578"/>
  </w:num>
  <w:num w:numId="15">
    <w:abstractNumId w:val="1269579"/>
  </w:num>
  <w:num w:numId="16">
    <w:abstractNumId w:val="1269580"/>
  </w:num>
  <w:num w:numId="17">
    <w:abstractNumId w:val="1269581"/>
  </w:num>
  <w:num w:numId="18">
    <w:abstractNumId w:val="1269582"/>
  </w:num>
  <w:num w:numId="19">
    <w:abstractNumId w:val="1269583"/>
  </w:num>
  <w:num w:numId="20">
    <w:abstractNumId w:val="1269584"/>
  </w:num>
  <w:num w:numId="21">
    <w:abstractNumId w:val="1269585"/>
  </w:num>
  <w:num w:numId="22">
    <w:abstractNumId w:val="1269586"/>
  </w:num>
  <w:num w:numId="23">
    <w:abstractNumId w:val="1269587"/>
  </w:num>
  <w:num w:numId="24">
    <w:abstractNumId w:val="1269588"/>
  </w:num>
  <w:num w:numId="25">
    <w:abstractNumId w:val="1269589"/>
  </w:num>
  <w:num w:numId="26">
    <w:abstractNumId w:val="1269590"/>
  </w:num>
  <w:num w:numId="27">
    <w:abstractNumId w:val="1269591"/>
  </w:num>
  <w:num w:numId="28">
    <w:abstractNumId w:val="1269592"/>
  </w:num>
  <w:num w:numId="29">
    <w:abstractNumId w:val="1269593"/>
  </w:num>
  <w:num w:numId="30">
    <w:abstractNumId w:val="1269594"/>
  </w:num>
  <w:num w:numId="31">
    <w:abstractNumId w:val="1269595"/>
  </w:num>
  <w:num w:numId="32">
    <w:abstractNumId w:val="1269596"/>
  </w:num>
  <w:num w:numId="33">
    <w:abstractNumId w:val="1269597"/>
  </w:num>
  <w:num w:numId="34">
    <w:abstractNumId w:val="1269598"/>
  </w:num>
  <w:num w:numId="35">
    <w:abstractNumId w:val="1269599"/>
  </w:num>
  <w:num w:numId="36">
    <w:abstractNumId w:val="1269600"/>
  </w:num>
  <w:num w:numId="37">
    <w:abstractNumId w:val="1269601"/>
  </w:num>
  <w:num w:numId="38">
    <w:abstractNumId w:val="1269602"/>
  </w:num>
  <w:num w:numId="39">
    <w:abstractNumId w:val="1269603"/>
  </w:num>
  <w:num w:numId="40">
    <w:abstractNumId w:val="1269604"/>
  </w:num>
  <w:num w:numId="41">
    <w:abstractNumId w:val="1269605"/>
  </w:num>
  <w:num w:numId="42">
    <w:abstractNumId w:val="1269606"/>
  </w:num>
  <w:num w:numId="43">
    <w:abstractNumId w:val="1269607"/>
  </w:num>
  <w:num w:numId="44">
    <w:abstractNumId w:val="1269608"/>
  </w:num>
  <w:num w:numId="45">
    <w:abstractNumId w:val="1269609"/>
  </w:num>
  <w:num w:numId="46">
    <w:abstractNumId w:val="1269610"/>
  </w:num>
  <w:num w:numId="47">
    <w:abstractNumId w:val="1269611"/>
  </w:num>
  <w:num w:numId="48">
    <w:abstractNumId w:val="1269612"/>
  </w:num>
  <w:num w:numId="49">
    <w:abstractNumId w:val="1269613"/>
  </w:num>
  <w:num w:numId="50">
    <w:abstractNumId w:val="1269614"/>
  </w:num>
  <w:num w:numId="51">
    <w:abstractNumId w:val="1269615"/>
  </w:num>
  <w:num w:numId="52">
    <w:abstractNumId w:val="1269616"/>
  </w:num>
  <w:num w:numId="53">
    <w:abstractNumId w:val="1269617"/>
  </w:num>
  <w:num w:numId="54">
    <w:abstractNumId w:val="1269618"/>
  </w:num>
  <w:num w:numId="55">
    <w:abstractNumId w:val="1269619"/>
  </w:num>
  <w:num w:numId="56">
    <w:abstractNumId w:val="1269620"/>
  </w:num>
  <w:num w:numId="57">
    <w:abstractNumId w:val="1269621"/>
  </w:num>
  <w:num w:numId="58">
    <w:abstractNumId w:val="1269622"/>
  </w:num>
  <w:num w:numId="59">
    <w:abstractNumId w:val="1269623"/>
  </w:num>
  <w:num w:numId="60">
    <w:abstractNumId w:val="1269624"/>
  </w:num>
  <w:num w:numId="61">
    <w:abstractNumId w:val="1269625"/>
  </w:num>
  <w:num w:numId="62">
    <w:abstractNumId w:val="1269626"/>
  </w:num>
  <w:num w:numId="63">
    <w:abstractNumId w:val="1269627"/>
  </w:num>
  <w:num w:numId="64">
    <w:abstractNumId w:val="1269628"/>
  </w:num>
  <w:num w:numId="65">
    <w:abstractNumId w:val="1269629"/>
  </w:num>
  <w:num w:numId="66">
    <w:abstractNumId w:val="1269630"/>
  </w:num>
  <w:num w:numId="67">
    <w:abstractNumId w:val="1269631"/>
  </w:num>
  <w:num w:numId="68">
    <w:abstractNumId w:val="1269632"/>
  </w:num>
  <w:num w:numId="69">
    <w:abstractNumId w:val="1269633"/>
  </w:num>
  <w:num w:numId="70">
    <w:abstractNumId w:val="1269634"/>
  </w:num>
  <w:num w:numId="71">
    <w:abstractNumId w:val="1269635"/>
  </w:num>
  <w:num w:numId="72">
    <w:abstractNumId w:val="1269636"/>
  </w:num>
  <w:num w:numId="73">
    <w:abstractNumId w:val="1269637"/>
  </w:num>
  <w:num w:numId="74">
    <w:abstractNumId w:val="1269638"/>
  </w:num>
  <w:num w:numId="75">
    <w:abstractNumId w:val="1269639"/>
  </w:num>
  <w:num w:numId="76">
    <w:abstractNumId w:val="1269640"/>
  </w:num>
  <w:num w:numId="77">
    <w:abstractNumId w:val="1269641"/>
  </w:num>
  <w:num w:numId="78">
    <w:abstractNumId w:val="1269642"/>
  </w:num>
  <w:num w:numId="79">
    <w:abstractNumId w:val="1269643"/>
  </w:num>
  <w:num w:numId="80">
    <w:abstractNumId w:val="1269644"/>
  </w:num>
  <w:num w:numId="81">
    <w:abstractNumId w:val="1269645"/>
  </w:num>
  <w:num w:numId="82">
    <w:abstractNumId w:val="1269646"/>
  </w:num>
  <w:num w:numId="83">
    <w:abstractNumId w:val="1269647"/>
  </w:num>
  <w:num w:numId="84">
    <w:abstractNumId w:val="1269648"/>
  </w:num>
  <w:num w:numId="85">
    <w:abstractNumId w:val="1269649"/>
  </w:num>
  <w:num w:numId="86">
    <w:abstractNumId w:val="1269650"/>
  </w:num>
  <w:num w:numId="87">
    <w:abstractNumId w:val="1269651"/>
  </w:num>
  <w:num w:numId="88">
    <w:abstractNumId w:val="1269652"/>
  </w:num>
  <w:num w:numId="89">
    <w:abstractNumId w:val="1269653"/>
  </w:num>
  <w:num w:numId="90">
    <w:abstractNumId w:val="1269654"/>
  </w:num>
  <w:num w:numId="91">
    <w:abstractNumId w:val="1269655"/>
  </w:num>
  <w:num w:numId="92">
    <w:abstractNumId w:val="1269656"/>
  </w:num>
  <w:num w:numId="93">
    <w:abstractNumId w:val="1269657"/>
  </w:num>
  <w:num w:numId="94">
    <w:abstractNumId w:val="1269658"/>
  </w:num>
  <w:num w:numId="95">
    <w:abstractNumId w:val="1269659"/>
  </w:num>
  <w:num w:numId="96">
    <w:abstractNumId w:val="1269660"/>
  </w:num>
  <w:num w:numId="97">
    <w:abstractNumId w:val="1269661"/>
  </w:num>
  <w:num w:numId="98">
    <w:abstractNumId w:val="1269662"/>
  </w:num>
  <w:num w:numId="99">
    <w:abstractNumId w:val="1269663"/>
  </w:num>
  <w:num w:numId="100">
    <w:abstractNumId w:val="1269664"/>
  </w:num>
  <w:num w:numId="101">
    <w:abstractNumId w:val="1269665"/>
  </w:num>
  <w:num w:numId="102">
    <w:abstractNumId w:val="1269666"/>
  </w:num>
  <w:num w:numId="103">
    <w:abstractNumId w:val="1269667"/>
  </w:num>
  <w:num w:numId="104">
    <w:abstractNumId w:val="1269668"/>
  </w:num>
  <w:num w:numId="105">
    <w:abstractNumId w:val="1269669"/>
  </w:num>
  <w:num w:numId="106">
    <w:abstractNumId w:val="1269670"/>
  </w:num>
  <w:num w:numId="107">
    <w:abstractNumId w:val="1269671"/>
  </w:num>
  <w:num w:numId="108">
    <w:abstractNumId w:val="1269672"/>
  </w:num>
  <w:num w:numId="109">
    <w:abstractNumId w:val="1269673"/>
  </w:num>
  <w:num w:numId="110">
    <w:abstractNumId w:val="1269674"/>
  </w:num>
  <w:num w:numId="111">
    <w:abstractNumId w:val="1269675"/>
  </w:num>
  <w:num w:numId="112">
    <w:abstractNumId w:val="1269676"/>
  </w:num>
  <w:num w:numId="113">
    <w:abstractNumId w:val="1269677"/>
  </w:num>
  <w:num w:numId="114">
    <w:abstractNumId w:val="1269678"/>
  </w:num>
  <w:num w:numId="115">
    <w:abstractNumId w:val="1269679"/>
  </w:num>
  <w:num w:numId="116">
    <w:abstractNumId w:val="1269680"/>
  </w:num>
  <w:num w:numId="117">
    <w:abstractNumId w:val="1269681"/>
  </w:num>
  <w:num w:numId="118">
    <w:abstractNumId w:val="1269682"/>
  </w:num>
  <w:num w:numId="119">
    <w:abstractNumId w:val="1269683"/>
  </w:num>
  <w:num w:numId="120">
    <w:abstractNumId w:val="1269684"/>
  </w:num>
  <w:num w:numId="121">
    <w:abstractNumId w:val="1269685"/>
  </w:num>
  <w:num w:numId="122">
    <w:abstractNumId w:val="1269686"/>
  </w:num>
  <w:num w:numId="123">
    <w:abstractNumId w:val="1269687"/>
  </w:num>
  <w:num w:numId="124">
    <w:abstractNumId w:val="1269688"/>
  </w:num>
  <w:num w:numId="125">
    <w:abstractNumId w:val="1269689"/>
  </w:num>
  <w:num w:numId="126">
    <w:abstractNumId w:val="1269690"/>
  </w:num>
  <w:num w:numId="127">
    <w:abstractNumId w:val="1269691"/>
  </w:num>
  <w:num w:numId="128">
    <w:abstractNumId w:val="1269692"/>
  </w:num>
  <w:num w:numId="129">
    <w:abstractNumId w:val="1269693"/>
  </w:num>
  <w:num w:numId="130">
    <w:abstractNumId w:val="1269694"/>
  </w:num>
  <w:num w:numId="131">
    <w:abstractNumId w:val="1269695"/>
  </w:num>
  <w:num w:numId="132">
    <w:abstractNumId w:val="1269696"/>
  </w:num>
  <w:num w:numId="133">
    <w:abstractNumId w:val="1269697"/>
  </w:num>
  <w:num w:numId="134">
    <w:abstractNumId w:val="1269698"/>
  </w:num>
  <w:num w:numId="135">
    <w:abstractNumId w:val="1269699"/>
  </w:num>
  <w:num w:numId="136">
    <w:abstractNumId w:val="1269700"/>
  </w:num>
  <w:num w:numId="137">
    <w:abstractNumId w:val="1269701"/>
  </w:num>
  <w:num w:numId="138">
    <w:abstractNumId w:val="1269702"/>
  </w:num>
  <w:num w:numId="139">
    <w:abstractNumId w:val="1269703"/>
  </w:num>
  <w:num w:numId="140">
    <w:abstractNumId w:val="1269704"/>
  </w:num>
  <w:num w:numId="141">
    <w:abstractNumId w:val="1269705"/>
  </w:num>
  <w:num w:numId="142">
    <w:abstractNumId w:val="1269706"/>
  </w:num>
  <w:num w:numId="143">
    <w:abstractNumId w:val="1269707"/>
  </w:num>
  <w:num w:numId="144">
    <w:abstractNumId w:val="1269708"/>
  </w:num>
  <w:num w:numId="145">
    <w:abstractNumId w:val="1269709"/>
  </w:num>
  <w:num w:numId="146">
    <w:abstractNumId w:val="1269710"/>
  </w:num>
  <w:num w:numId="147">
    <w:abstractNumId w:val="1269711"/>
  </w:num>
  <w:num w:numId="148">
    <w:abstractNumId w:val="1269712"/>
  </w:num>
  <w:num w:numId="149">
    <w:abstractNumId w:val="1269713"/>
  </w:num>
  <w:num w:numId="150">
    <w:abstractNumId w:val="1269714"/>
  </w:num>
  <w:num w:numId="151">
    <w:abstractNumId w:val="1269715"/>
  </w:num>
  <w:num w:numId="152">
    <w:abstractNumId w:val="1269716"/>
  </w:num>
  <w:num w:numId="153">
    <w:abstractNumId w:val="1269717"/>
  </w:num>
  <w:num w:numId="154">
    <w:abstractNumId w:val="1269718"/>
  </w:num>
  <w:num w:numId="155">
    <w:abstractNumId w:val="1269719"/>
  </w:num>
  <w:num w:numId="156">
    <w:abstractNumId w:val="1269720"/>
  </w:num>
  <w:num w:numId="157">
    <w:abstractNumId w:val="1269721"/>
  </w:num>
  <w:num w:numId="158">
    <w:abstractNumId w:val="1269722"/>
  </w:num>
  <w:num w:numId="159">
    <w:abstractNumId w:val="1269723"/>
  </w:num>
  <w:num w:numId="160">
    <w:abstractNumId w:val="1269724"/>
  </w:num>
  <w:num w:numId="161">
    <w:abstractNumId w:val="1269725"/>
  </w:num>
  <w:num w:numId="162">
    <w:abstractNumId w:val="1269726"/>
  </w:num>
  <w:num w:numId="163">
    <w:abstractNumId w:val="1269727"/>
  </w:num>
  <w:num w:numId="164">
    <w:abstractNumId w:val="1269728"/>
  </w:num>
  <w:num w:numId="165">
    <w:abstractNumId w:val="1269729"/>
  </w:num>
  <w:num w:numId="166">
    <w:abstractNumId w:val="1269730"/>
  </w:num>
  <w:num w:numId="167">
    <w:abstractNumId w:val="1269731"/>
  </w:num>
  <w:num w:numId="168">
    <w:abstractNumId w:val="1269732"/>
  </w:num>
  <w:num w:numId="169">
    <w:abstractNumId w:val="1269733"/>
  </w:num>
  <w:num w:numId="170">
    <w:abstractNumId w:val="1269734"/>
  </w:num>
  <w:num w:numId="171">
    <w:abstractNumId w:val="1269735"/>
  </w:num>
  <w:num w:numId="172">
    <w:abstractNumId w:val="1269736"/>
  </w:num>
  <w:num w:numId="173">
    <w:abstractNumId w:val="1269737"/>
  </w:num>
  <w:num w:numId="174">
    <w:abstractNumId w:val="1269738"/>
  </w:num>
  <w:num w:numId="175">
    <w:abstractNumId w:val="126973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https://hcnc629z1cqz.feishu.cn/wiki/NGdrwLRwVivuMGkfnpmcw0Xdngc#share-I5kydG9VwogWO7xtuHAca5eYnkg" TargetMode="External" Type="http://schemas.openxmlformats.org/officeDocument/2006/relationships/hyperlink"/><Relationship Id="rId13" Target="https://hcnc629z1cqz.feishu.cn/wiki/NGdrwLRwVivuMGkfnpmcw0Xdngc#share-U1zGdTR6UoQ0Y8xLe9McmyYwnie" TargetMode="External" Type="http://schemas.openxmlformats.org/officeDocument/2006/relationships/hyperlink"/><Relationship Id="rId14" Target="media/image8.gif" Type="http://schemas.openxmlformats.org/officeDocument/2006/relationships/image"/><Relationship Id="rId15" Target="media/image9.png" Type="http://schemas.openxmlformats.org/officeDocument/2006/relationships/image"/><Relationship Id="rId16" Target="media/image10.gif" Type="http://schemas.openxmlformats.org/officeDocument/2006/relationships/image"/><Relationship Id="rId17" Target="media/image11.png" Type="http://schemas.openxmlformats.org/officeDocument/2006/relationships/image"/><Relationship Id="rId18" Target="https://hcnc629z1cqz.feishu.cn/wiki/NGdrwLRwVivuMGkfnpmcw0Xdngc#share-S8bXdQSPUoSDTAxmQ1pcuZ7nnQe" TargetMode="External" Type="http://schemas.openxmlformats.org/officeDocument/2006/relationships/hyperlink"/><Relationship Id="rId19" Target="media/image12.gif" Type="http://schemas.openxmlformats.org/officeDocument/2006/relationships/image"/><Relationship Id="rId2" Target="styles.xml" Type="http://schemas.openxmlformats.org/officeDocument/2006/relationships/styles"/><Relationship Id="rId20" Target="media/image13.gif"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23" Target="media/image16.png" Type="http://schemas.openxmlformats.org/officeDocument/2006/relationships/image"/><Relationship Id="rId24" Target="media/image17.png" Type="http://schemas.openxmlformats.org/officeDocument/2006/relationships/image"/><Relationship Id="rId25" Target="media/image18.png" Type="http://schemas.openxmlformats.org/officeDocument/2006/relationships/image"/><Relationship Id="rId26" Target="media/image19.png" Type="http://schemas.openxmlformats.org/officeDocument/2006/relationships/image"/><Relationship Id="rId27" Target="media/image20.png" Type="http://schemas.openxmlformats.org/officeDocument/2006/relationships/image"/><Relationship Id="rId28" Target="media/image21.png" Type="http://schemas.openxmlformats.org/officeDocument/2006/relationships/image"/><Relationship Id="rId29" Target="media/image22.png" Type="http://schemas.openxmlformats.org/officeDocument/2006/relationships/image"/><Relationship Id="rId3" Target="footer1.xml" Type="http://schemas.openxmlformats.org/officeDocument/2006/relationships/footer"/><Relationship Id="rId30" Target="media/image23.png" Type="http://schemas.openxmlformats.org/officeDocument/2006/relationships/image"/><Relationship Id="rId31" Target="header1.xml" Type="http://schemas.openxmlformats.org/officeDocument/2006/relationships/head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2026-05-03T10:00:59Z</dcterms:created>
  <dc:creator>Apache POI</dc:creator>
</cp:coreProperties>
</file>