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数镜 · DataLens</w:t>
      </w:r>
    </w:p>
    <w:p>
      <w:r>
        <w:rPr>
          <w:b/>
        </w:rPr>
        <w:t>对话式数据分析 Agent</w:t>
      </w:r>
      <w:r>
        <w:t xml:space="preserve"> —— 上传一份 CSV，用自然语言提问，自动生成 SQL、图表与结论。</w:t>
      </w:r>
    </w:p>
    <w:p>
      <w:r>
        <w:t>数镜（DataLens）是一款本地运行的智能数据分析工具。界面采用深色纸墨与黄铜点缀的 Academia 学术风格，前端基于 Vue 3，后端基于 FastAPI + SQLite，模型默认使用 DeepSeek（OpenAI 兼容接口）。</w:t>
      </w:r>
    </w:p>
    <w:p>
      <w:pPr>
        <w:pStyle w:val="Heading1"/>
      </w:pPr>
      <w:r>
        <w:t>功能亮点</w:t>
      </w:r>
    </w:p>
    <w:p>
      <w:pPr>
        <w:pStyle w:val="ListBullet"/>
      </w:pPr>
      <w:r>
        <w:rPr>
          <w:b/>
        </w:rPr>
        <w:t>自然语言问数</w:t>
      </w:r>
      <w:r>
        <w:t>：如「哪个地区销售额最高？」「每月销售额变化趋势如何？」无需手写 SQL。</w:t>
      </w:r>
    </w:p>
    <w:p>
      <w:pPr>
        <w:pStyle w:val="ListBullet"/>
      </w:pPr>
      <w:r>
        <w:rPr>
          <w:b/>
        </w:rPr>
        <w:t>智能意图识别</w:t>
      </w:r>
      <w:r>
        <w:t>：</w:t>
      </w:r>
    </w:p>
    <w:p>
      <w:pPr>
        <w:pStyle w:val="ListBullet2"/>
      </w:pPr>
      <w:r>
        <w:t>与数据相关 → 语义映射真实字段 → 自动生成并执行 SQL（失败时按真实字段自动纠错重试一次）。</w:t>
      </w:r>
    </w:p>
    <w:p>
      <w:pPr>
        <w:pStyle w:val="ListBullet2"/>
      </w:pPr>
      <w:r>
        <w:t>与数据无关 → 直接调用大模型以助手身份回答。</w:t>
      </w:r>
    </w:p>
    <w:p>
      <w:pPr>
        <w:pStyle w:val="ListBullet"/>
      </w:pPr>
      <w:r>
        <w:rPr>
          <w:b/>
        </w:rPr>
        <w:t>图表自适应</w:t>
      </w:r>
      <w:r>
        <w:t>：</w:t>
      </w:r>
    </w:p>
    <w:p>
      <w:pPr>
        <w:pStyle w:val="ListBullet2"/>
      </w:pPr>
      <w:r>
        <w:t>趋势类问题绘制折线图，分类比较绘制柱状图，普通查询展示表格。</w:t>
      </w:r>
    </w:p>
    <w:p>
      <w:pPr>
        <w:pStyle w:val="ListBullet2"/>
      </w:pPr>
      <w:r>
        <w:t>横轴名称过长时显示可辨识的短词，悬浮或点击查看全称。</w:t>
      </w:r>
    </w:p>
    <w:p>
      <w:pPr>
        <w:pStyle w:val="ListBullet2"/>
      </w:pPr>
      <w:r>
        <w:t>分类过多时默认精简为 20 个并提示，可要求展示完整数据。</w:t>
      </w:r>
    </w:p>
    <w:p>
      <w:pPr>
        <w:pStyle w:val="ListBullet"/>
      </w:pPr>
      <w:r>
        <w:rPr>
          <w:b/>
        </w:rPr>
        <w:t>明细与原始数据</w:t>
      </w:r>
      <w:r>
        <w:t>：每条数据回答可切换到「明细」查看本次 SQL 返回的行；底部另有「查看原始数据」可展开数据集的原始行列（前 200 行）。</w:t>
      </w:r>
    </w:p>
    <w:p>
      <w:pPr>
        <w:pStyle w:val="ListBullet"/>
      </w:pPr>
      <w:r>
        <w:rPr>
          <w:b/>
        </w:rPr>
        <w:t>对话记忆</w:t>
      </w:r>
      <w:r>
        <w:t>：Agent 保留最近 30 条消息（约 15 轮问答），并自动滚动到最新问答区域。</w:t>
      </w:r>
    </w:p>
    <w:p>
      <w:pPr>
        <w:pStyle w:val="ListBullet"/>
      </w:pPr>
      <w:r>
        <w:rPr>
          <w:b/>
        </w:rPr>
        <w:t>多数据集管理</w:t>
      </w:r>
      <w:r>
        <w:t>：支持上传、统计、预览、切换与删除多个数据集。</w:t>
      </w:r>
    </w:p>
    <w:p>
      <w:pPr>
        <w:pStyle w:val="ListBullet"/>
      </w:pPr>
      <w:r>
        <w:rPr>
          <w:b/>
        </w:rPr>
        <w:t>运行时模型配置</w:t>
      </w:r>
      <w:r>
        <w:t xml:space="preserve">：设置页可修改 API 地址 / 模型名 / API Key，保存后写入 </w:t>
      </w:r>
      <w:r>
        <w:rPr>
          <w:rFonts w:ascii="Consolas" w:hAnsi="Consolas"/>
          <w:sz w:val="19"/>
        </w:rPr>
        <w:t>.env</w:t>
      </w:r>
      <w:r>
        <w:t xml:space="preserve"> 并热生效，无需重启。</w:t>
      </w:r>
    </w:p>
    <w:p>
      <w:pPr>
        <w:pStyle w:val="Heading1"/>
      </w:pPr>
      <w:r>
        <w:t>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技术</w:t>
            </w:r>
          </w:p>
        </w:tc>
      </w:tr>
      <w:tr>
        <w:tc>
          <w:tcPr>
            <w:tcW w:type="dxa" w:w="4320"/>
          </w:tcPr>
          <w:p>
            <w:r/>
            <w:r>
              <w:t>前端</w:t>
            </w:r>
          </w:p>
        </w:tc>
        <w:tc>
          <w:tcPr>
            <w:tcW w:type="dxa" w:w="4320"/>
          </w:tcPr>
          <w:p>
            <w:r/>
            <w:r>
              <w:t>Vue 3 · Vite · Pinia · ECharts</w:t>
            </w:r>
          </w:p>
        </w:tc>
      </w:tr>
      <w:tr>
        <w:tc>
          <w:tcPr>
            <w:tcW w:type="dxa" w:w="4320"/>
          </w:tcPr>
          <w:p>
            <w:r/>
            <w:r>
              <w:t>后端</w:t>
            </w:r>
          </w:p>
        </w:tc>
        <w:tc>
          <w:tcPr>
            <w:tcW w:type="dxa" w:w="4320"/>
          </w:tcPr>
          <w:p>
            <w:r/>
            <w:r>
              <w:t>FastAPI · SQLAlchemy · pandas</w:t>
            </w:r>
          </w:p>
        </w:tc>
      </w:tr>
      <w:tr>
        <w:tc>
          <w:tcPr>
            <w:tcW w:type="dxa" w:w="4320"/>
          </w:tcPr>
          <w:p>
            <w:r/>
            <w:r>
              <w:t>数据库</w:t>
            </w:r>
          </w:p>
        </w:tc>
        <w:tc>
          <w:tcPr>
            <w:tcW w:type="dxa" w:w="4320"/>
          </w:tcPr>
          <w:p>
            <w:r/>
            <w:r>
              <w:t xml:space="preserve">SQLite（默认 </w:t>
            </w:r>
            <w:r>
              <w:rPr>
                <w:rFonts w:ascii="Consolas" w:hAnsi="Consolas"/>
                <w:sz w:val="19"/>
              </w:rPr>
              <w:t>data/datalens.db</w:t>
            </w:r>
            <w:r>
              <w:t xml:space="preserve">，可用 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 切换）</w:t>
            </w:r>
          </w:p>
        </w:tc>
      </w:tr>
      <w:tr>
        <w:tc>
          <w:tcPr>
            <w:tcW w:type="dxa" w:w="4320"/>
          </w:tcPr>
          <w:p>
            <w:r/>
            <w:r>
              <w:t>模型</w:t>
            </w:r>
          </w:p>
        </w:tc>
        <w:tc>
          <w:tcPr>
            <w:tcW w:type="dxa" w:w="4320"/>
          </w:tcPr>
          <w:p>
            <w:r/>
            <w:r>
              <w:t>DeepSeek / 任意 OpenAI 兼容 API</w:t>
            </w:r>
          </w:p>
        </w:tc>
      </w:tr>
    </w:tbl>
    <w:p>
      <w:pPr>
        <w:pStyle w:val="Heading1"/>
      </w:pPr>
      <w:r>
        <w:t>快速开始</w:t>
      </w:r>
    </w:p>
    <w:p>
      <w:pPr>
        <w:pStyle w:val="Heading2"/>
      </w:pPr>
      <w:r>
        <w:t>环境要求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Node.js 18+</w:t>
      </w:r>
    </w:p>
    <w:p>
      <w:pPr>
        <w:pStyle w:val="Heading2"/>
      </w:pPr>
      <w:r>
        <w:t>1. 安装依赖</w:t>
      </w:r>
    </w:p>
    <w:p>
      <w:r>
        <w:rPr>
          <w:rFonts w:ascii="Consolas" w:hAnsi="Consolas"/>
          <w:sz w:val="19"/>
        </w:rPr>
        <w:t># 创建并激活虚拟环境</w:t>
      </w:r>
    </w:p>
    <w:p>
      <w:r>
        <w:rPr>
          <w:rFonts w:ascii="Consolas" w:hAnsi="Consolas"/>
          <w:sz w:val="19"/>
        </w:rPr>
        <w:t>python -m venv .venv</w:t>
      </w:r>
    </w:p>
    <w:p>
      <w:r>
        <w:rPr>
          <w:rFonts w:ascii="Consolas" w:hAnsi="Consolas"/>
          <w:sz w:val="19"/>
        </w:rPr>
        <w:t>.\.venv\Scripts\Activate.ps1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# Python 依赖</w:t>
      </w:r>
    </w:p>
    <w:p>
      <w:r>
        <w:rPr>
          <w:rFonts w:ascii="Consolas" w:hAnsi="Consolas"/>
          <w:sz w:val="19"/>
        </w:rPr>
        <w:t>pip install -r requirements.txt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# 前端依赖</w:t>
      </w:r>
    </w:p>
    <w:p>
      <w:r>
        <w:rPr>
          <w:rFonts w:ascii="Consolas" w:hAnsi="Consolas"/>
          <w:sz w:val="19"/>
        </w:rPr>
        <w:t>cd frontend</w:t>
      </w:r>
    </w:p>
    <w:p>
      <w:r>
        <w:rPr>
          <w:rFonts w:ascii="Consolas" w:hAnsi="Consolas"/>
          <w:sz w:val="19"/>
        </w:rPr>
        <w:t>npm install</w:t>
      </w:r>
    </w:p>
    <w:p>
      <w:r>
        <w:rPr>
          <w:rFonts w:ascii="Consolas" w:hAnsi="Consolas"/>
          <w:sz w:val="19"/>
        </w:rPr>
        <w:t>cd ..</w:t>
      </w:r>
    </w:p>
    <w:p>
      <w:pPr>
        <w:pStyle w:val="Heading2"/>
      </w:pPr>
      <w:r>
        <w:t>2. 配置模型</w:t>
      </w:r>
    </w:p>
    <w:p>
      <w:r>
        <w:t xml:space="preserve">复制 </w:t>
      </w:r>
      <w:r>
        <w:rPr>
          <w:rFonts w:ascii="Consolas" w:hAnsi="Consolas"/>
          <w:sz w:val="19"/>
        </w:rPr>
        <w:t>.env.example</w:t>
      </w:r>
      <w:r>
        <w:t xml:space="preserve"> 为 </w:t>
      </w:r>
      <w:r>
        <w:rPr>
          <w:rFonts w:ascii="Consolas" w:hAnsi="Consolas"/>
          <w:sz w:val="19"/>
        </w:rPr>
        <w:t>.env</w:t>
      </w:r>
      <w:r>
        <w:t>，填写 DeepSeek API Key：</w:t>
      </w:r>
    </w:p>
    <w:p>
      <w:r>
        <w:rPr>
          <w:rFonts w:ascii="Consolas" w:hAnsi="Consolas"/>
          <w:sz w:val="19"/>
        </w:rPr>
        <w:t>DEEPSEEK_API_KEY=sk-xxxx</w:t>
      </w:r>
    </w:p>
    <w:p>
      <w:r>
        <w:rPr>
          <w:rFonts w:ascii="Consolas" w:hAnsi="Consolas"/>
          <w:sz w:val="19"/>
        </w:rPr>
        <w:t>DEEPSEEK_API_BASE=https://api.deepseek.com</w:t>
      </w:r>
    </w:p>
    <w:p>
      <w:r>
        <w:rPr>
          <w:rFonts w:ascii="Consolas" w:hAnsi="Consolas"/>
          <w:sz w:val="19"/>
        </w:rPr>
        <w:t>DEEPSEEK_MODEL=deepseek-chat</w:t>
      </w:r>
    </w:p>
    <w:p>
      <w:r>
        <w:t>之后也可以在界面「设置」页修改 API 地址 / 模型 / 密钥，保存即热生效，无需重启。</w:t>
      </w:r>
    </w:p>
    <w:p>
      <w:pPr>
        <w:pStyle w:val="Heading2"/>
      </w:pPr>
      <w:r>
        <w:t>3. 导入数据（可选）</w:t>
      </w:r>
    </w:p>
    <w:p>
      <w:r>
        <w:t xml:space="preserve">将 CSV 放入 </w:t>
      </w:r>
      <w:r>
        <w:rPr>
          <w:rFonts w:ascii="Consolas" w:hAnsi="Consolas"/>
          <w:sz w:val="19"/>
        </w:rPr>
        <w:t>data/</w:t>
      </w:r>
      <w:r>
        <w:t xml:space="preserve"> 目录后执行：</w:t>
      </w:r>
    </w:p>
    <w:p>
      <w:r>
        <w:rPr>
          <w:rFonts w:ascii="Consolas" w:hAnsi="Consolas"/>
          <w:sz w:val="19"/>
        </w:rPr>
        <w:t>python -m backend.app.services.init_db</w:t>
      </w:r>
    </w:p>
    <w:p>
      <w:r>
        <w:t>脚本会清洗数据并建立以 ASCII 命名的数据表。也可以直接在网页左侧「载入数据」上传 CSV。</w:t>
      </w:r>
    </w:p>
    <w:p>
      <w:pPr>
        <w:pStyle w:val="Heading2"/>
      </w:pPr>
      <w:r>
        <w:t>4. 启动</w:t>
      </w:r>
    </w:p>
    <w:p>
      <w:r>
        <w:t>方式一：后端直接托管前端（推荐）</w:t>
      </w:r>
    </w:p>
    <w:p>
      <w:r>
        <w:rPr>
          <w:rFonts w:ascii="Consolas" w:hAnsi="Consolas"/>
          <w:sz w:val="19"/>
        </w:rPr>
        <w:t># 先构建前端</w:t>
      </w:r>
    </w:p>
    <w:p>
      <w:r>
        <w:rPr>
          <w:rFonts w:ascii="Consolas" w:hAnsi="Consolas"/>
          <w:sz w:val="19"/>
        </w:rPr>
        <w:t>cd frontend</w:t>
      </w:r>
    </w:p>
    <w:p>
      <w:r>
        <w:rPr>
          <w:rFonts w:ascii="Consolas" w:hAnsi="Consolas"/>
          <w:sz w:val="19"/>
        </w:rPr>
        <w:t>npm run build</w:t>
      </w:r>
    </w:p>
    <w:p>
      <w:r>
        <w:rPr>
          <w:rFonts w:ascii="Consolas" w:hAnsi="Consolas"/>
          <w:sz w:val="19"/>
        </w:rPr>
        <w:t>cd ..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# 启动后端</w:t>
      </w:r>
    </w:p>
    <w:p>
      <w:r>
        <w:rPr>
          <w:rFonts w:ascii="Consolas" w:hAnsi="Consolas"/>
          <w:sz w:val="19"/>
        </w:rPr>
        <w:t>.\.venv\Scripts\python.exe -m uvicorn backend.main:app --host 127.0.0.1 --port 8000</w:t>
      </w:r>
    </w:p>
    <w:p>
      <w:r>
        <w:t xml:space="preserve">打开 </w:t>
      </w:r>
      <w:r>
        <w:rPr>
          <w:rFonts w:ascii="Consolas" w:hAnsi="Consolas"/>
          <w:sz w:val="19"/>
        </w:rPr>
        <w:t>http://127.0.0.1:8000/</w:t>
      </w:r>
      <w:r>
        <w:t xml:space="preserve"> 即可使用；接口文档见 </w:t>
      </w:r>
      <w:r>
        <w:rPr>
          <w:rFonts w:ascii="Consolas" w:hAnsi="Consolas"/>
          <w:sz w:val="19"/>
        </w:rPr>
        <w:t>http://127.0.0.1:8000/docs</w:t>
      </w:r>
      <w:r>
        <w:t>。</w:t>
      </w:r>
    </w:p>
    <w:p>
      <w:r>
        <w:t>方式二：前端开发模式（前后端分离、热更新）</w:t>
      </w:r>
    </w:p>
    <w:p>
      <w:r>
        <w:rPr>
          <w:rFonts w:ascii="Consolas" w:hAnsi="Consolas"/>
          <w:sz w:val="19"/>
        </w:rPr>
        <w:t># 终端 A：后端</w:t>
      </w:r>
    </w:p>
    <w:p>
      <w:r>
        <w:rPr>
          <w:rFonts w:ascii="Consolas" w:hAnsi="Consolas"/>
          <w:sz w:val="19"/>
        </w:rPr>
        <w:t>.\.venv\Scripts\python.exe -m uvicorn backend.main:app --host 127.0.0.1 --port 8000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># 终端 B：前端（Vite 开发服务器，自动代理 API 到 8000）</w:t>
      </w:r>
    </w:p>
    <w:p>
      <w:r>
        <w:rPr>
          <w:rFonts w:ascii="Consolas" w:hAnsi="Consolas"/>
          <w:sz w:val="19"/>
        </w:rPr>
        <w:t>cd frontend</w:t>
      </w:r>
    </w:p>
    <w:p>
      <w:r>
        <w:rPr>
          <w:rFonts w:ascii="Consolas" w:hAnsi="Consolas"/>
          <w:sz w:val="19"/>
        </w:rPr>
        <w:t>npm run dev</w:t>
      </w:r>
    </w:p>
    <w:p>
      <w:r>
        <w:t xml:space="preserve">打开 </w:t>
      </w:r>
      <w:r>
        <w:rPr>
          <w:rFonts w:ascii="Consolas" w:hAnsi="Consolas"/>
          <w:sz w:val="19"/>
        </w:rPr>
        <w:t>http://localhost:5173/</w:t>
      </w:r>
      <w:r>
        <w:t>。</w:t>
      </w:r>
    </w:p>
    <w:p>
      <w:r>
        <w:t>方式三：Windows 一键启动</w:t>
      </w:r>
    </w:p>
    <w:p>
      <w:r>
        <w:rPr>
          <w:rFonts w:ascii="Consolas" w:hAnsi="Consolas"/>
          <w:sz w:val="19"/>
        </w:rPr>
        <w:t>.\start-all.ps1</w:t>
      </w:r>
    </w:p>
    <w:p>
      <w:r>
        <w:rPr>
          <w:i/>
        </w:rPr>
        <w:t>注意：一键脚本会先清理所有 `python` 进程（避免端口占用），再安装依赖、初始化数据库、构建前端并启动服务。</w:t>
      </w:r>
    </w:p>
    <w:p>
      <w:pPr>
        <w:pStyle w:val="Heading1"/>
      </w:pPr>
      <w:r>
        <w:t>数据与存储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位置 / 说明</w:t>
            </w:r>
          </w:p>
        </w:tc>
      </w:tr>
      <w:tr>
        <w:tc>
          <w:tcPr>
            <w:tcW w:type="dxa" w:w="4320"/>
          </w:tcPr>
          <w:p>
            <w:r/>
            <w:r>
              <w:t>SQLite 数据库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data/datalens.db</w:t>
            </w:r>
            <w:r>
              <w:t>（</w:t>
            </w:r>
            <w:r>
              <w:rPr>
                <w:rFonts w:ascii="Consolas" w:hAnsi="Consolas"/>
                <w:sz w:val="19"/>
              </w:rPr>
              <w:t>.env</w:t>
            </w:r>
            <w:r>
              <w:t xml:space="preserve"> 中 </w:t>
            </w:r>
            <w:r>
              <w:rPr>
                <w:rFonts w:ascii="Consolas" w:hAnsi="Consolas"/>
                <w:sz w:val="19"/>
              </w:rPr>
              <w:t>DATABASE_URL</w:t>
            </w:r>
            <w:r>
              <w:t xml:space="preserve"> 可改为其它路径或 PostgreSQL）</w:t>
            </w:r>
          </w:p>
        </w:tc>
      </w:tr>
      <w:tr>
        <w:tc>
          <w:tcPr>
            <w:tcW w:type="dxa" w:w="4320"/>
          </w:tcPr>
          <w:p>
            <w:r/>
            <w:r>
              <w:t>网页上传的 CSV</w:t>
            </w:r>
          </w:p>
        </w:tc>
        <w:tc>
          <w:tcPr>
            <w:tcW w:type="dxa" w:w="4320"/>
          </w:tcPr>
          <w:p>
            <w:r/>
            <w:r>
              <w:t xml:space="preserve">临时保存于 </w:t>
            </w:r>
            <w:r>
              <w:rPr>
                <w:rFonts w:ascii="Consolas" w:hAnsi="Consolas"/>
                <w:sz w:val="19"/>
              </w:rPr>
              <w:t>uploads/</w:t>
            </w:r>
            <w:r>
              <w:t>，随后写入 SQLite 数据表</w:t>
            </w:r>
          </w:p>
        </w:tc>
      </w:tr>
      <w:tr>
        <w:tc>
          <w:tcPr>
            <w:tcW w:type="dxa" w:w="4320"/>
          </w:tcPr>
          <w:p>
            <w:r/>
            <w:r>
              <w:t>数据表命名</w:t>
            </w:r>
          </w:p>
        </w:tc>
        <w:tc>
          <w:tcPr>
            <w:tcW w:type="dxa" w:w="4320"/>
          </w:tcPr>
          <w:p>
            <w:r/>
            <w:r>
              <w:t xml:space="preserve">中文文件名会自动转为纯 ASCII 表名（如「波兰房价 portland_housing.csv」→ </w:t>
            </w:r>
            <w:r>
              <w:rPr>
                <w:rFonts w:ascii="Consolas" w:hAnsi="Consolas"/>
                <w:sz w:val="19"/>
              </w:rPr>
              <w:t>portland_housing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/>
            <w:r>
              <w:t>编码</w:t>
            </w:r>
          </w:p>
        </w:tc>
        <w:tc>
          <w:tcPr>
            <w:tcW w:type="dxa" w:w="4320"/>
          </w:tcPr>
          <w:p>
            <w:r/>
            <w:r>
              <w:t>上传 CSV 自动兼容 UTF-8 / GBK</w:t>
            </w:r>
          </w:p>
        </w:tc>
      </w:tr>
    </w:tbl>
    <w:p>
      <w:r>
        <w:t>运行期上传的新数据集会成为一张表并加入数据集列表；删除数据集即删除对应表。</w:t>
      </w:r>
    </w:p>
    <w:p>
      <w:pPr>
        <w:pStyle w:val="Heading1"/>
      </w:pPr>
      <w:r>
        <w:t>API 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/chat</w:t>
            </w:r>
          </w:p>
        </w:tc>
        <w:tc>
          <w:tcPr>
            <w:tcW w:type="dxa" w:w="2880"/>
          </w:tcPr>
          <w:p>
            <w:r/>
            <w:r>
              <w:t>智能问答（</w:t>
            </w:r>
            <w:r>
              <w:rPr>
                <w:rFonts w:ascii="Consolas" w:hAnsi="Consolas"/>
                <w:sz w:val="19"/>
              </w:rPr>
              <w:t>{"message": "...", "dataset": "表名"}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/datasets</w:t>
            </w:r>
          </w:p>
        </w:tc>
        <w:tc>
          <w:tcPr>
            <w:tcW w:type="dxa" w:w="2880"/>
          </w:tcPr>
          <w:p>
            <w:r/>
            <w:r>
              <w:t>数据集列表与当前数据集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/switch/{name}</w:t>
            </w:r>
          </w:p>
        </w:tc>
        <w:tc>
          <w:tcPr>
            <w:tcW w:type="dxa" w:w="2880"/>
          </w:tcPr>
          <w:p>
            <w:r/>
            <w:r>
              <w:t>切换当前数据集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/datasets/{name}/stats</w:t>
            </w:r>
          </w:p>
        </w:tc>
        <w:tc>
          <w:tcPr>
            <w:tcW w:type="dxa" w:w="2880"/>
          </w:tcPr>
          <w:p>
            <w:r/>
            <w:r>
              <w:t>数据集统计（行数 / 字段 / 预览）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/data/{name}</w:t>
            </w:r>
          </w:p>
        </w:tc>
        <w:tc>
          <w:tcPr>
            <w:tcW w:type="dxa" w:w="2880"/>
          </w:tcPr>
          <w:p>
            <w:r/>
            <w:r>
              <w:t>读取数据（最多前 200 行，NaN 已转 null）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/upload</w:t>
            </w:r>
          </w:p>
        </w:tc>
        <w:tc>
          <w:tcPr>
            <w:tcW w:type="dxa" w:w="2880"/>
          </w:tcPr>
          <w:p>
            <w:r/>
            <w:r>
              <w:t>上传 CSV 并建表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/datasets/{name}</w:t>
            </w:r>
          </w:p>
        </w:tc>
        <w:tc>
          <w:tcPr>
            <w:tcW w:type="dxa" w:w="2880"/>
          </w:tcPr>
          <w:p>
            <w:r/>
            <w:r>
              <w:t>删除数据集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/settings</w:t>
            </w:r>
            <w:r>
              <w:t xml:space="preserve"> / POST </w:t>
            </w:r>
            <w:r>
              <w:rPr>
                <w:rFonts w:ascii="Consolas" w:hAnsi="Consolas"/>
                <w:sz w:val="19"/>
              </w:rPr>
              <w:t>/settings</w:t>
            </w:r>
          </w:p>
        </w:tc>
        <w:tc>
          <w:tcPr>
            <w:tcW w:type="dxa" w:w="2880"/>
          </w:tcPr>
          <w:p>
            <w:r/>
            <w:r>
              <w:t>读取 / 保存模型配置（热生效）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/health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/info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/current</w:t>
            </w:r>
          </w:p>
        </w:tc>
        <w:tc>
          <w:tcPr>
            <w:tcW w:type="dxa" w:w="2880"/>
          </w:tcPr>
          <w:p>
            <w:r/>
            <w:r>
              <w:t>健康检查、信息、当前数据集</w:t>
            </w:r>
          </w:p>
        </w:tc>
      </w:tr>
    </w:tbl>
    <w:p>
      <w:r>
        <w:rPr>
          <w:rFonts w:ascii="Consolas" w:hAnsi="Consolas"/>
          <w:sz w:val="19"/>
        </w:rPr>
        <w:t>/chat</w:t>
      </w:r>
      <w:r>
        <w:t xml:space="preserve"> 返回：</w:t>
      </w:r>
    </w:p>
    <w:p>
      <w:r>
        <w:rPr>
          <w:rFonts w:ascii="Consolas" w:hAnsi="Consolas"/>
          <w:sz w:val="19"/>
        </w:rPr>
        <w:t>{</w:t>
      </w:r>
    </w:p>
    <w:p>
      <w:r>
        <w:rPr>
          <w:rFonts w:ascii="Consolas" w:hAnsi="Consolas"/>
          <w:sz w:val="19"/>
        </w:rPr>
        <w:t xml:space="preserve">  "answer": "分析结论文字",</w:t>
      </w:r>
    </w:p>
    <w:p>
      <w:r>
        <w:rPr>
          <w:rFonts w:ascii="Consolas" w:hAnsi="Consolas"/>
          <w:sz w:val="19"/>
        </w:rPr>
        <w:t xml:space="preserve">  "sql": "实际执行的 SQL",</w:t>
      </w:r>
    </w:p>
    <w:p>
      <w:r>
        <w:rPr>
          <w:rFonts w:ascii="Consolas" w:hAnsi="Consolas"/>
          <w:sz w:val="19"/>
        </w:rPr>
        <w:t xml:space="preserve">  "data": [ { "行": "数据对象" } ],</w:t>
      </w:r>
    </w:p>
    <w:p>
      <w:r>
        <w:rPr>
          <w:rFonts w:ascii="Consolas" w:hAnsi="Consolas"/>
          <w:sz w:val="19"/>
        </w:rPr>
        <w:t xml:space="preserve">  "chart": "table | bar | line",</w:t>
      </w:r>
    </w:p>
    <w:p>
      <w:r>
        <w:rPr>
          <w:rFonts w:ascii="Consolas" w:hAnsi="Consolas"/>
          <w:sz w:val="19"/>
        </w:rPr>
        <w:t xml:space="preserve">  "x": "横轴字段",</w:t>
      </w:r>
    </w:p>
    <w:p>
      <w:r>
        <w:rPr>
          <w:rFonts w:ascii="Consolas" w:hAnsi="Consolas"/>
          <w:sz w:val="19"/>
        </w:rPr>
        <w:t xml:space="preserve">  "y": "纵轴字段",</w:t>
      </w:r>
    </w:p>
    <w:p>
      <w:r>
        <w:rPr>
          <w:rFonts w:ascii="Consolas" w:hAnsi="Consolas"/>
          <w:sz w:val="19"/>
        </w:rPr>
        <w:t xml:space="preserve">  "dataset": "本次使用的数据表"</w:t>
      </w:r>
    </w:p>
    <w:p>
      <w:r>
        <w:rPr>
          <w:rFonts w:ascii="Consolas" w:hAnsi="Consolas"/>
          <w:sz w:val="19"/>
        </w:rPr>
        <w:t>}</w:t>
      </w:r>
    </w:p>
    <w:p>
      <w:pPr>
        <w:pStyle w:val="Heading1"/>
      </w:pPr>
      <w:r>
        <w:t>常见问题</w:t>
      </w:r>
    </w:p>
    <w:p>
      <w:pPr>
        <w:pStyle w:val="ListBullet"/>
      </w:pPr>
      <w:r>
        <w:rPr>
          <w:b/>
        </w:rPr>
        <w:t>`no such table` 错误</w:t>
      </w:r>
      <w:r>
        <w:t xml:space="preserve">：确认当前选中了正确的数据集；若 CSV 刚放入 </w:t>
      </w:r>
      <w:r>
        <w:rPr>
          <w:rFonts w:ascii="Consolas" w:hAnsi="Consolas"/>
          <w:sz w:val="19"/>
        </w:rPr>
        <w:t>data/</w:t>
      </w:r>
      <w:r>
        <w:t xml:space="preserve">，先运行 </w:t>
      </w:r>
      <w:r>
        <w:rPr>
          <w:rFonts w:ascii="Consolas" w:hAnsi="Consolas"/>
          <w:sz w:val="19"/>
        </w:rPr>
        <w:t>python -m backend.app.services.init_db</w:t>
      </w:r>
      <w:r>
        <w:t xml:space="preserve"> 导入。</w:t>
      </w:r>
    </w:p>
    <w:p>
      <w:pPr>
        <w:pStyle w:val="ListBullet"/>
      </w:pPr>
      <w:r>
        <w:rPr>
          <w:b/>
        </w:rPr>
        <w:t>回答与数据不符 / 图表为空</w:t>
      </w:r>
      <w:r>
        <w:t xml:space="preserve">：检查 </w:t>
      </w:r>
      <w:r>
        <w:rPr>
          <w:rFonts w:ascii="Consolas" w:hAnsi="Consolas"/>
          <w:sz w:val="19"/>
        </w:rPr>
        <w:t>DEEPSEEK_API_KEY</w:t>
      </w:r>
      <w:r>
        <w:t xml:space="preserve"> 是否有效（设置页可改并测试保存）。</w:t>
      </w:r>
    </w:p>
    <w:p>
      <w:pPr>
        <w:pStyle w:val="ListBullet"/>
      </w:pPr>
      <w:r>
        <w:rPr>
          <w:b/>
        </w:rPr>
        <w:t>前端修改不生效</w:t>
      </w:r>
      <w:r>
        <w:t xml:space="preserve">：改的是 </w:t>
      </w:r>
      <w:r>
        <w:rPr>
          <w:rFonts w:ascii="Consolas" w:hAnsi="Consolas"/>
          <w:sz w:val="19"/>
        </w:rPr>
        <w:t>frontend/src</w:t>
      </w:r>
      <w:r>
        <w:t xml:space="preserve">，需要 </w:t>
      </w:r>
      <w:r>
        <w:rPr>
          <w:rFonts w:ascii="Consolas" w:hAnsi="Consolas"/>
          <w:sz w:val="19"/>
        </w:rPr>
        <w:t>npm run build</w:t>
      </w:r>
      <w:r>
        <w:t xml:space="preserve">（生产模式）或在开发模式下访问 </w:t>
      </w:r>
      <w:r>
        <w:rPr>
          <w:rFonts w:ascii="Consolas" w:hAnsi="Consolas"/>
          <w:sz w:val="19"/>
        </w:rPr>
        <w:t>5173</w:t>
      </w:r>
      <w:r>
        <w:t xml:space="preserve"> 端口。</w:t>
      </w:r>
    </w:p>
    <w:p>
      <w:pPr>
        <w:pStyle w:val="ListBullet"/>
      </w:pPr>
      <w:r>
        <w:rPr>
          <w:b/>
        </w:rPr>
        <w:t>端口被占用</w:t>
      </w:r>
      <w:r>
        <w:t xml:space="preserve">：确认 8000 / 5173 无残留进程后重启，或修改 </w:t>
      </w:r>
      <w:r>
        <w:rPr>
          <w:rFonts w:ascii="Consolas" w:hAnsi="Consolas"/>
          <w:sz w:val="19"/>
        </w:rPr>
        <w:t>.env</w:t>
      </w:r>
      <w:r>
        <w:t xml:space="preserve"> 的 </w:t>
      </w:r>
      <w:r>
        <w:rPr>
          <w:rFonts w:ascii="Consolas" w:hAnsi="Consolas"/>
          <w:sz w:val="19"/>
        </w:rPr>
        <w:t>PORT</w:t>
      </w:r>
      <w:r>
        <w:t xml:space="preserve"> / </w:t>
      </w:r>
      <w:r>
        <w:rPr>
          <w:rFonts w:ascii="Consolas" w:hAnsi="Consolas"/>
          <w:sz w:val="19"/>
        </w:rPr>
        <w:t>frontend/vite.config.js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