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jc w:val="center"/>
      </w:pPr>
      <w:r>
        <w:drawing>
          <wp:inline xmlns:a="http://schemas.openxmlformats.org/drawingml/2006/main" xmlns:pic="http://schemas.openxmlformats.org/drawingml/2006/picture">
            <wp:extent cx="1440000" cy="1440000"/>
            <wp:docPr id="1" name="Picture 1"/>
            <wp:cNvGraphicFramePr>
              <a:graphicFrameLocks noChangeAspect="1"/>
            </wp:cNvGraphicFramePr>
            <a:graphic>
              <a:graphicData uri="http://schemas.openxmlformats.org/drawingml/2006/picture">
                <pic:pic>
                  <pic:nvPicPr>
                    <pic:cNvPr id="0" name="gomate-logo.png"/>
                    <pic:cNvPicPr/>
                  </pic:nvPicPr>
                  <pic:blipFill>
                    <a:blip r:embed="rId9"/>
                    <a:stretch>
                      <a:fillRect/>
                    </a:stretch>
                  </pic:blipFill>
                  <pic:spPr>
                    <a:xfrm>
                      <a:off x="0" y="0"/>
                      <a:ext cx="1440000" cy="1440000"/>
                    </a:xfrm>
                    <a:prstGeom prst="rect"/>
                  </pic:spPr>
                </pic:pic>
              </a:graphicData>
            </a:graphic>
          </wp:inline>
        </w:drawing>
      </w:r>
    </w:p>
    <w:p>
      <w:pPr>
        <w:spacing w:after="160"/>
      </w:pPr>
    </w:p>
    <w:p>
      <w:pPr>
        <w:jc w:val="center"/>
      </w:pPr>
      <w:r>
        <w:rPr>
          <w:rFonts w:ascii="Calibri" w:hAnsi="Calibri"/>
          <w:b/>
          <w:color w:val="0F172A"/>
          <w:sz w:val="84"/>
        </w:rPr>
        <w:t>GoMate</w:t>
      </w:r>
    </w:p>
    <w:p>
      <w:pPr>
        <w:spacing w:after="160"/>
        <w:jc w:val="center"/>
      </w:pPr>
      <w:r>
        <w:rPr>
          <w:rFonts w:ascii="Calibri" w:hAnsi="Calibri"/>
          <w:color w:val="22C55E"/>
          <w:sz w:val="32"/>
        </w:rPr>
        <w:t>The Operating System for Cross-Border Life</w:t>
      </w:r>
    </w:p>
    <w:p>
      <w:pPr>
        <w:jc w:val="center"/>
      </w:pPr>
      <w:r>
        <w:rPr>
          <w:color w:val="22C55E"/>
          <w:sz w:val="16"/>
        </w:rPr>
        <w:t>━━━━━━━━━━━━━━━━━━━━━━━━━━━━━━</w:t>
      </w:r>
    </w:p>
    <w:p>
      <w:pPr>
        <w:spacing w:after="160"/>
      </w:pPr>
    </w:p>
    <w:p>
      <w:pPr>
        <w:spacing w:after="80"/>
        <w:jc w:val="center"/>
      </w:pPr>
      <w:r>
        <w:rPr>
          <w:i/>
          <w:color w:val="1E293B"/>
          <w:sz w:val="26"/>
        </w:rPr>
        <w:t>If you miss a single deadline when moving abroad,</w:t>
      </w:r>
    </w:p>
    <w:p>
      <w:pPr>
        <w:spacing w:after="240"/>
        <w:jc w:val="center"/>
      </w:pPr>
      <w:r>
        <w:rPr>
          <w:i/>
          <w:color w:val="1E293B"/>
          <w:sz w:val="26"/>
        </w:rPr>
        <w:t>you can face fines, delays — or even deportation.</w:t>
      </w:r>
    </w:p>
    <w:p>
      <w:pPr>
        <w:spacing w:after="80"/>
        <w:jc w:val="center"/>
      </w:pPr>
      <w:r>
        <w:rPr>
          <w:b/>
          <w:color w:val="0F172A"/>
          <w:sz w:val="28"/>
        </w:rPr>
        <w:t>Moving abroad isn't an information problem.</w:t>
      </w:r>
    </w:p>
    <w:p>
      <w:pPr>
        <w:spacing w:after="320"/>
        <w:jc w:val="center"/>
      </w:pPr>
      <w:r>
        <w:rPr>
          <w:b/>
          <w:color w:val="22C55E"/>
          <w:sz w:val="28"/>
        </w:rPr>
        <w:t>It's an execution problem.</w:t>
      </w:r>
    </w:p>
    <w:p>
      <w:pPr>
        <w:spacing w:after="240"/>
      </w:pPr>
    </w:p>
    <w:p>
      <w:pPr>
        <w:spacing w:after="240"/>
      </w:pPr>
    </w:p>
    <w:p>
      <w:pPr>
        <w:spacing w:after="240"/>
      </w:pPr>
    </w:p>
    <w:p>
      <w:pPr>
        <w:spacing w:after="240"/>
      </w:pPr>
    </w:p>
    <w:p>
      <w:pPr>
        <w:jc w:val="center"/>
      </w:pPr>
      <w:r>
        <w:rPr>
          <w:color w:val="64748B"/>
          <w:sz w:val="22"/>
        </w:rPr>
        <w:t>Axel Cornelius &amp; Roselle</w:t>
      </w:r>
    </w:p>
    <w:p>
      <w:pPr>
        <w:jc w:val="center"/>
      </w:pPr>
      <w:r>
        <w:rPr>
          <w:color w:val="64748B"/>
          <w:sz w:val="22"/>
        </w:rPr>
        <w:t>2026</w:t>
      </w:r>
    </w:p>
    <w:p>
      <w:r>
        <w:br w:type="page"/>
      </w:r>
    </w:p>
    <w:p>
      <w:pPr>
        <w:spacing w:before="560" w:after="120"/>
      </w:pPr>
      <w:r>
        <w:rPr>
          <w:b/>
          <w:color w:val="22C55E"/>
          <w:sz w:val="36"/>
        </w:rPr>
        <w:t xml:space="preserve">▌ </w:t>
      </w:r>
      <w:r>
        <w:rPr>
          <w:rFonts w:ascii="Calibri" w:hAnsi="Calibri"/>
          <w:b/>
          <w:color w:val="0F172A"/>
          <w:sz w:val="36"/>
        </w:rPr>
        <w:t>THE PROBLEM</w:t>
      </w:r>
    </w:p>
    <w:p>
      <w:pPr>
        <w:spacing w:before="80" w:after="80"/>
      </w:pPr>
      <w:r>
        <w:rPr>
          <w:color w:val="22C55E"/>
          <w:sz w:val="12"/>
        </w:rPr>
        <w:t>━━━━━━━━━━━━━━━━━━━━━━━━━━━━━━━━━━━━━━━━━━━━━━━━━━━━━━━━━━━━</w:t>
      </w:r>
    </w:p>
    <w:p>
      <w:pPr>
        <w:spacing w:after="120" w:line="320" w:lineRule="exact"/>
      </w:pPr>
      <w:r>
        <w:rPr>
          <w:color w:val="1E293B"/>
          <w:sz w:val="22"/>
        </w:rPr>
        <w:t>Moving abroad is one of life's biggest projects — and one of the worst supported.</w:t>
      </w:r>
    </w:p>
    <w:tbl>
      <w:tblPr>
        <w:tblW w:type="auto" w:w="0"/>
        <w:jc w:val="center"/>
        <w:tblLook w:firstColumn="1" w:firstRow="1" w:lastColumn="0" w:lastRow="0" w:noHBand="0" w:noVBand="1" w:val="04A0"/>
      </w:tblPr>
      <w:tblGrid>
        <w:gridCol w:w="9406"/>
      </w:tblGrid>
      <w:tr>
        <w:tc>
          <w:tcPr>
            <w:tcW w:type="dxa" w:w="9406"/>
            <w:shd w:fill="ECFDF5" w:val="clear"/>
            <w:tcBorders>
              <w:left w:val="single" w:sz="24" w:color="22C55E" w:space="0"/>
              <w:top w:val="none" w:sz="0" w:color="auto" w:space="0"/>
              <w:bottom w:val="none" w:sz="0" w:color="auto" w:space="0"/>
              <w:right w:val="none" w:sz="0" w:color="auto" w:space="0"/>
            </w:tcBorders>
          </w:tcPr>
          <w:p>
            <w:pPr>
              <w:spacing w:after="80" w:before="80"/>
            </w:pPr>
            <w:r>
              <w:rPr>
                <w:rFonts w:ascii="Calibri" w:hAnsi="Calibri"/>
                <w:i/>
                <w:color w:val="1B3A2D"/>
                <w:sz w:val="24"/>
              </w:rPr>
              <w:t>It's not the information that's missing. It's the execution.</w:t>
            </w:r>
          </w:p>
        </w:tc>
      </w:tr>
    </w:tbl>
    <w:p>
      <w:pPr>
        <w:spacing w:after="40"/>
      </w:pPr>
    </w:p>
    <w:p>
      <w:pPr>
        <w:spacing w:after="120" w:line="320" w:lineRule="exact"/>
      </w:pPr>
      <w:r>
        <w:rPr>
          <w:color w:val="1E293B"/>
          <w:sz w:val="22"/>
        </w:rPr>
        <w:t>Anyone can google a visa in five minutes. But everything else — where to register your residency, how to open a bank account, what deadlines you have, in what order things need to happen — it's a mess. And that mess is unique to every country, every situation, every person.</w:t>
      </w:r>
    </w:p>
    <w:p>
      <w:pPr>
        <w:spacing w:after="120" w:line="320" w:lineRule="exact"/>
      </w:pPr>
      <w:r>
        <w:rPr>
          <w:b/>
          <w:color w:val="0F172A"/>
          <w:sz w:val="22"/>
        </w:rPr>
        <w:t xml:space="preserve">Time-critical deadlines slip through the cracks. </w:t>
      </w:r>
      <w:r>
        <w:rPr>
          <w:color w:val="1E293B"/>
          <w:sz w:val="22"/>
        </w:rPr>
        <w:t>Population registration within 7 days. Tax registration within 30 days. Residence permit before your first day of work. Miss a deadline and you risk fines, deportation, or months of extra waiting.</w:t>
      </w:r>
    </w:p>
    <w:p>
      <w:pPr>
        <w:spacing w:after="120" w:line="320" w:lineRule="exact"/>
      </w:pPr>
      <w:r>
        <w:rPr>
          <w:b/>
          <w:color w:val="0F172A"/>
          <w:sz w:val="22"/>
        </w:rPr>
        <w:t xml:space="preserve">No service covers the full journey. </w:t>
      </w:r>
      <w:r>
        <w:rPr>
          <w:color w:val="1E293B"/>
          <w:sz w:val="22"/>
        </w:rPr>
        <w:t>Relocation agencies cost $2,000–5,000 and focus on corporations, not individuals. Expat forums have anecdotes, not structured plans. Google gives generic lists that don't account for your specific situation. ChatGPT hallucinates, has no compliance tracking, and no way to verify against official sources.</w:t>
      </w:r>
    </w:p>
    <w:p>
      <w:pPr>
        <w:spacing w:after="120" w:line="320" w:lineRule="exact"/>
      </w:pPr>
      <w:r>
        <w:rPr>
          <w:b/>
          <w:color w:val="0F172A"/>
          <w:sz w:val="22"/>
        </w:rPr>
        <w:t xml:space="preserve">The result: </w:t>
      </w:r>
      <w:r>
        <w:rPr>
          <w:color w:val="1E293B"/>
          <w:sz w:val="22"/>
        </w:rPr>
        <w:t>Many spend 50–100 hours on research, still miss critical steps, and feel lost when they arrive.</w:t>
      </w:r>
    </w:p>
    <w:tbl>
      <w:tblPr>
        <w:tblW w:type="auto" w:w="0"/>
        <w:jc w:val="center"/>
        <w:tblLook w:firstColumn="1" w:firstRow="1" w:lastColumn="0" w:lastRow="0" w:noHBand="0" w:noVBand="1" w:val="04A0"/>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2351"/>
        <w:gridCol w:w="2351"/>
        <w:gridCol w:w="2351"/>
        <w:gridCol w:w="2351"/>
      </w:tblGrid>
      <w:tr>
        <w:tc>
          <w:tcPr>
            <w:tcW w:type="dxa" w:w="2351"/>
            <w:shd w:fill="ECFDF5" w:val="clear"/>
          </w:tcPr>
          <w:p>
            <w:pPr>
              <w:jc w:val="center"/>
            </w:pPr>
            <w:r>
              <w:rPr>
                <w:rFonts w:ascii="Calibri" w:hAnsi="Calibri"/>
                <w:b/>
                <w:color w:val="22C55E"/>
                <w:sz w:val="44"/>
              </w:rPr>
              <w:t>50–100h</w:t>
            </w:r>
          </w:p>
        </w:tc>
        <w:tc>
          <w:tcPr>
            <w:tcW w:type="dxa" w:w="2351"/>
            <w:shd w:fill="ECFDF5" w:val="clear"/>
          </w:tcPr>
          <w:p>
            <w:pPr>
              <w:jc w:val="center"/>
            </w:pPr>
            <w:r>
              <w:rPr>
                <w:rFonts w:ascii="Calibri" w:hAnsi="Calibri"/>
                <w:b/>
                <w:color w:val="22C55E"/>
                <w:sz w:val="44"/>
              </w:rPr>
              <w:t>$2–5k</w:t>
            </w:r>
          </w:p>
        </w:tc>
        <w:tc>
          <w:tcPr>
            <w:tcW w:type="dxa" w:w="2351"/>
            <w:shd w:fill="ECFDF5" w:val="clear"/>
          </w:tcPr>
          <w:p>
            <w:pPr>
              <w:jc w:val="center"/>
            </w:pPr>
            <w:r>
              <w:rPr>
                <w:rFonts w:ascii="Calibri" w:hAnsi="Calibri"/>
                <w:b/>
                <w:color w:val="22C55E"/>
                <w:sz w:val="44"/>
              </w:rPr>
              <w:t>7 days</w:t>
            </w:r>
          </w:p>
        </w:tc>
        <w:tc>
          <w:tcPr>
            <w:tcW w:type="dxa" w:w="2351"/>
            <w:shd w:fill="ECFDF5" w:val="clear"/>
          </w:tcPr>
          <w:p>
            <w:pPr>
              <w:jc w:val="center"/>
            </w:pPr>
            <w:r>
              <w:rPr>
                <w:rFonts w:ascii="Calibri" w:hAnsi="Calibri"/>
                <w:b/>
                <w:color w:val="22C55E"/>
                <w:sz w:val="44"/>
              </w:rPr>
              <w:t>0</w:t>
            </w:r>
          </w:p>
        </w:tc>
      </w:tr>
      <w:tr>
        <w:tc>
          <w:tcPr>
            <w:tcW w:type="dxa" w:w="2351"/>
            <w:shd w:fill="ECFDF5" w:val="clear"/>
          </w:tcPr>
          <w:p>
            <w:pPr>
              <w:jc w:val="center"/>
            </w:pPr>
            <w:r>
              <w:rPr>
                <w:rFonts w:ascii="Calibri" w:hAnsi="Calibri"/>
                <w:color w:val="64748B"/>
                <w:sz w:val="18"/>
              </w:rPr>
              <w:t>Research time wasted</w:t>
            </w:r>
          </w:p>
        </w:tc>
        <w:tc>
          <w:tcPr>
            <w:tcW w:type="dxa" w:w="2351"/>
            <w:shd w:fill="ECFDF5" w:val="clear"/>
          </w:tcPr>
          <w:p>
            <w:pPr>
              <w:jc w:val="center"/>
            </w:pPr>
            <w:r>
              <w:rPr>
                <w:rFonts w:ascii="Calibri" w:hAnsi="Calibri"/>
                <w:color w:val="64748B"/>
                <w:sz w:val="18"/>
              </w:rPr>
              <w:t>Agency cost (corporate only)</w:t>
            </w:r>
          </w:p>
        </w:tc>
        <w:tc>
          <w:tcPr>
            <w:tcW w:type="dxa" w:w="2351"/>
            <w:shd w:fill="ECFDF5" w:val="clear"/>
          </w:tcPr>
          <w:p>
            <w:pPr>
              <w:jc w:val="center"/>
            </w:pPr>
            <w:r>
              <w:rPr>
                <w:rFonts w:ascii="Calibri" w:hAnsi="Calibri"/>
                <w:color w:val="64748B"/>
                <w:sz w:val="18"/>
              </w:rPr>
              <w:t>Miss one deadline = fines</w:t>
            </w:r>
          </w:p>
        </w:tc>
        <w:tc>
          <w:tcPr>
            <w:tcW w:type="dxa" w:w="2351"/>
            <w:shd w:fill="ECFDF5" w:val="clear"/>
          </w:tcPr>
          <w:p>
            <w:pPr>
              <w:jc w:val="center"/>
            </w:pPr>
            <w:r>
              <w:rPr>
                <w:rFonts w:ascii="Calibri" w:hAnsi="Calibri"/>
                <w:color w:val="64748B"/>
                <w:sz w:val="18"/>
              </w:rPr>
              <w:t>Solutions for individuals</w:t>
            </w:r>
          </w:p>
        </w:tc>
      </w:tr>
    </w:tbl>
    <w:p>
      <w:pPr>
        <w:spacing w:after="80"/>
      </w:pPr>
    </w:p>
    <w:p>
      <w:pPr>
        <w:spacing w:before="560" w:after="120"/>
      </w:pPr>
      <w:r>
        <w:rPr>
          <w:b/>
          <w:color w:val="22C55E"/>
          <w:sz w:val="36"/>
        </w:rPr>
        <w:t xml:space="preserve">▌ </w:t>
      </w:r>
      <w:r>
        <w:rPr>
          <w:rFonts w:ascii="Calibri" w:hAnsi="Calibri"/>
          <w:b/>
          <w:color w:val="0F172A"/>
          <w:sz w:val="36"/>
        </w:rPr>
        <w:t>WHY NOW</w:t>
      </w:r>
    </w:p>
    <w:p>
      <w:pPr>
        <w:spacing w:before="80" w:after="80"/>
      </w:pPr>
      <w:r>
        <w:rPr>
          <w:color w:val="22C55E"/>
          <w:sz w:val="12"/>
        </w:rPr>
        <w:t>━━━━━━━━━━━━━━━━━━━━━━━━━━━━━━━━━━━━━━━━━━━━━━━━━━━━━━━━━━━━</w:t>
      </w:r>
    </w:p>
    <w:p>
      <w:pPr>
        <w:spacing w:after="120" w:line="320" w:lineRule="exact"/>
      </w:pPr>
      <w:r>
        <w:rPr>
          <w:color w:val="1E293B"/>
          <w:sz w:val="22"/>
        </w:rPr>
        <w:t>Four forces are colliding — creating a window:</w:t>
      </w:r>
    </w:p>
    <w:p>
      <w:pPr>
        <w:spacing w:after="120" w:line="320" w:lineRule="exact"/>
      </w:pPr>
      <w:r>
        <w:rPr>
          <w:b/>
          <w:color w:val="0F172A"/>
          <w:sz w:val="22"/>
        </w:rPr>
        <w:t xml:space="preserve">1. The remote work explosion. </w:t>
      </w:r>
      <w:r>
        <w:rPr>
          <w:color w:val="1E293B"/>
          <w:sz w:val="22"/>
        </w:rPr>
        <w:t>Post-COVID, remote work has gone from exception to norm. Millions of people can now choose where they live — and are doing so. Digital nomad visas have grown from 5 to 50+ countries in three years.</w:t>
      </w:r>
    </w:p>
    <w:p>
      <w:pPr>
        <w:spacing w:after="120" w:line="320" w:lineRule="exact"/>
      </w:pPr>
      <w:r>
        <w:rPr>
          <w:b/>
          <w:color w:val="0F172A"/>
          <w:sz w:val="22"/>
        </w:rPr>
        <w:t xml:space="preserve">2. Governments are tightening regulations. </w:t>
      </w:r>
      <w:r>
        <w:rPr>
          <w:color w:val="1E293B"/>
          <w:sz w:val="22"/>
        </w:rPr>
        <w:t>Countries are introducing stricter compliance requirements, shorter deadlines, and higher fines. Portugal, Spain, Germany — all have tightened their rules in 2024–2026. The consequences of missing a deadline are growing.</w:t>
      </w:r>
    </w:p>
    <w:p>
      <w:pPr>
        <w:spacing w:after="120" w:line="320" w:lineRule="exact"/>
      </w:pPr>
      <w:r>
        <w:rPr>
          <w:b/>
          <w:color w:val="0F172A"/>
          <w:sz w:val="22"/>
        </w:rPr>
        <w:t xml:space="preserve">3. Individuals are on their own. </w:t>
      </w:r>
      <w:r>
        <w:rPr>
          <w:color w:val="1E293B"/>
          <w:sz w:val="22"/>
        </w:rPr>
        <w:t>Companies have relocation agencies. Individuals have Google. The gap is enormous — and it's growing as more people relocate independently.</w:t>
      </w:r>
    </w:p>
    <w:p>
      <w:pPr>
        <w:spacing w:after="120" w:line="320" w:lineRule="exact"/>
      </w:pPr>
      <w:r>
        <w:rPr>
          <w:b/>
          <w:color w:val="0F172A"/>
          <w:sz w:val="22"/>
        </w:rPr>
        <w:t xml:space="preserve">4. AI makes this possible only now. </w:t>
      </w:r>
      <w:r>
        <w:rPr>
          <w:color w:val="1E293B"/>
          <w:sz w:val="22"/>
        </w:rPr>
        <w:t>Three years ago, this product was impossible. Web research pipelines, LLM synthesis, and real-time personalization — all of this is functional only now. GoMate isn't an idea waiting for the technology. The technology has arrived.</w:t>
      </w:r>
    </w:p>
    <w:p>
      <w:pPr>
        <w:spacing w:before="560" w:after="120"/>
      </w:pPr>
      <w:r>
        <w:rPr>
          <w:b/>
          <w:color w:val="22C55E"/>
          <w:sz w:val="36"/>
        </w:rPr>
        <w:t xml:space="preserve">▌ </w:t>
      </w:r>
      <w:r>
        <w:rPr>
          <w:rFonts w:ascii="Calibri" w:hAnsi="Calibri"/>
          <w:b/>
          <w:color w:val="0F172A"/>
          <w:sz w:val="36"/>
        </w:rPr>
        <w:t>ORIGIN</w:t>
      </w:r>
    </w:p>
    <w:p>
      <w:pPr>
        <w:spacing w:before="80" w:after="80"/>
      </w:pPr>
      <w:r>
        <w:rPr>
          <w:color w:val="22C55E"/>
          <w:sz w:val="12"/>
        </w:rPr>
        <w:t>━━━━━━━━━━━━━━━━━━━━━━━━━━━━━━━━━━━━━━━━━━━━━━━━━━━━━━━━━━━━</w:t>
      </w:r>
    </w:p>
    <w:p>
      <w:pPr>
        <w:spacing w:after="120" w:line="320" w:lineRule="exact"/>
      </w:pPr>
      <w:r>
        <w:rPr>
          <w:color w:val="1E293B"/>
          <w:sz w:val="22"/>
        </w:rPr>
        <w:t>GoMate shouldn't have needed to be built.</w:t>
      </w:r>
    </w:p>
    <w:p>
      <w:pPr>
        <w:spacing w:after="120" w:line="320" w:lineRule="exact"/>
      </w:pPr>
      <w:r>
        <w:rPr>
          <w:color w:val="1E293B"/>
          <w:sz w:val="22"/>
        </w:rPr>
        <w:t>My fiancée is from the Philippines. I'm from Sweden. We want to live together, which means one of us needs to relocate.</w:t>
      </w:r>
    </w:p>
    <w:p>
      <w:pPr>
        <w:spacing w:after="120" w:line="320" w:lineRule="exact"/>
      </w:pPr>
      <w:r>
        <w:rPr>
          <w:color w:val="1E293B"/>
          <w:sz w:val="22"/>
        </w:rPr>
        <w:t>I thought it would be straightforward — figure out the visa, apply, done. But it wasn't. I spent hours jumping between Reddit threads, forums, and government websites trying to understand what you actually need to do. Not just the visa, but everything around it — where to start, what happens when you land, what's expected of you locally.</w:t>
      </w:r>
    </w:p>
    <w:p>
      <w:pPr>
        <w:spacing w:after="120" w:line="320" w:lineRule="exact"/>
      </w:pPr>
      <w:r>
        <w:rPr>
          <w:color w:val="1E293B"/>
          <w:sz w:val="22"/>
        </w:rPr>
        <w:t>There was plenty of information. But nothing tailored to our situation.</w:t>
      </w:r>
    </w:p>
    <w:tbl>
      <w:tblPr>
        <w:tblW w:type="auto" w:w="0"/>
        <w:jc w:val="center"/>
        <w:tblLook w:firstColumn="1" w:firstRow="1" w:lastColumn="0" w:lastRow="0" w:noHBand="0" w:noVBand="1" w:val="04A0"/>
      </w:tblPr>
      <w:tblGrid>
        <w:gridCol w:w="9406"/>
      </w:tblGrid>
      <w:tr>
        <w:tc>
          <w:tcPr>
            <w:tcW w:type="dxa" w:w="9406"/>
            <w:shd w:fill="ECFDF5" w:val="clear"/>
            <w:tcBorders>
              <w:left w:val="single" w:sz="24" w:color="22C55E" w:space="0"/>
              <w:top w:val="none" w:sz="0" w:color="auto" w:space="0"/>
              <w:bottom w:val="none" w:sz="0" w:color="auto" w:space="0"/>
              <w:right w:val="none" w:sz="0" w:color="auto" w:space="0"/>
            </w:tcBorders>
          </w:tcPr>
          <w:p>
            <w:pPr>
              <w:spacing w:after="80" w:before="80"/>
            </w:pPr>
            <w:r>
              <w:rPr>
                <w:rFonts w:ascii="Calibri" w:hAnsi="Calibri"/>
                <w:i/>
                <w:color w:val="1B3A2D"/>
                <w:sz w:val="24"/>
              </w:rPr>
              <w:t>That's when it clicked: this isn't an information problem —</w:t>
            </w:r>
          </w:p>
          <w:p>
            <w:pPr>
              <w:spacing w:after="80" w:before="80"/>
            </w:pPr>
            <w:r>
              <w:rPr>
                <w:rFonts w:ascii="Calibri" w:hAnsi="Calibri"/>
                <w:i/>
                <w:color w:val="1B3A2D"/>
                <w:sz w:val="24"/>
              </w:rPr>
              <w:t>it's an execution problem.</w:t>
            </w:r>
          </w:p>
          <w:p>
            <w:pPr>
              <w:spacing w:after="80" w:before="80"/>
            </w:pPr>
            <w:r>
              <w:rPr>
                <w:rFonts w:ascii="Calibri" w:hAnsi="Calibri"/>
                <w:i/>
                <w:color w:val="1B3A2D"/>
                <w:sz w:val="24"/>
              </w:rPr>
              <w:t>And there's no tool that actually helps you get through</w:t>
            </w:r>
          </w:p>
          <w:p>
            <w:pPr>
              <w:spacing w:after="80" w:before="80"/>
            </w:pPr>
            <w:r>
              <w:rPr>
                <w:rFonts w:ascii="Calibri" w:hAnsi="Calibri"/>
                <w:i/>
                <w:color w:val="1B3A2D"/>
                <w:sz w:val="24"/>
              </w:rPr>
              <w:t>the entire process step by step.</w:t>
            </w:r>
          </w:p>
        </w:tc>
      </w:tr>
    </w:tbl>
    <w:p>
      <w:pPr>
        <w:spacing w:after="40"/>
      </w:pPr>
    </w:p>
    <w:p>
      <w:pPr>
        <w:spacing w:after="120" w:line="320" w:lineRule="exact"/>
      </w:pPr>
      <w:r>
        <w:rPr>
          <w:color w:val="1E293B"/>
          <w:sz w:val="22"/>
        </w:rPr>
        <w:t>What can I expect as a Swede in the Philippines? What can she expect as a Filipina in Sweden? The answers exist — scattered across hundreds of sites, in different formats, in different languages. Someone needs to pull it together and make it executable.</w:t>
      </w:r>
    </w:p>
    <w:p>
      <w:pPr>
        <w:spacing w:after="120" w:line="320" w:lineRule="exact"/>
      </w:pPr>
      <w:r>
        <w:rPr>
          <w:color w:val="1E293B"/>
          <w:sz w:val="22"/>
        </w:rPr>
        <w:t>So we built it. Not as a guide — but as a system that actually runs the process.</w:t>
      </w:r>
    </w:p>
    <w:p>
      <w:r>
        <w:br w:type="page"/>
      </w:r>
    </w:p>
    <w:p>
      <w:pPr>
        <w:spacing w:before="560" w:after="120"/>
      </w:pPr>
      <w:r>
        <w:rPr>
          <w:b/>
          <w:color w:val="22C55E"/>
          <w:sz w:val="36"/>
        </w:rPr>
        <w:t xml:space="preserve">▌ </w:t>
      </w:r>
      <w:r>
        <w:rPr>
          <w:rFonts w:ascii="Calibri" w:hAnsi="Calibri"/>
          <w:b/>
          <w:color w:val="0F172A"/>
          <w:sz w:val="36"/>
        </w:rPr>
        <w:t>THE SOLUTION</w:t>
      </w:r>
    </w:p>
    <w:p>
      <w:pPr>
        <w:spacing w:before="80" w:after="80"/>
      </w:pPr>
      <w:r>
        <w:rPr>
          <w:color w:val="22C55E"/>
          <w:sz w:val="12"/>
        </w:rPr>
        <w:t>━━━━━━━━━━━━━━━━━━━━━━━━━━━━━━━━━━━━━━━━━━━━━━━━━━━━━━━━━━━━</w:t>
      </w:r>
    </w:p>
    <w:p>
      <w:pPr>
        <w:spacing w:after="120" w:line="320" w:lineRule="exact"/>
      </w:pPr>
      <w:r>
        <w:rPr>
          <w:color w:val="1E293B"/>
          <w:sz w:val="22"/>
        </w:rPr>
        <w:t>GoMate is an AI-powered relocation operating system that builds a complete, personalized relocation plan based on a 15-minute chat interview — and then follows you through the entire settling-in process.</w:t>
      </w:r>
    </w:p>
    <w:p>
      <w:pPr>
        <w:spacing w:before="200" w:after="40"/>
      </w:pPr>
      <w:r>
        <w:rPr>
          <w:b/>
          <w:color w:val="22C55E"/>
          <w:sz w:val="40"/>
        </w:rPr>
        <w:t xml:space="preserve">  01  </w:t>
      </w:r>
      <w:r>
        <w:rPr>
          <w:b/>
          <w:color w:val="0F172A"/>
          <w:sz w:val="24"/>
        </w:rPr>
        <w:t>Describe your situation (15 min)</w:t>
      </w:r>
    </w:p>
    <w:p>
      <w:pPr>
        <w:spacing w:after="120" w:line="320" w:lineRule="exact"/>
        <w:ind w:left="680"/>
      </w:pPr>
      <w:r>
        <w:rPr>
          <w:color w:val="1E293B"/>
          <w:sz w:val="22"/>
        </w:rPr>
        <w:t>An AI assistant asks questions in a natural conversation. No forms, no dropdowns — just a conversation. Under the surface, GoMate builds a profile with 65+ data points: citizenship, destination, purpose, family situation, budget, work experience, language skills, health needs, and more.</w:t>
      </w:r>
    </w:p>
    <w:p>
      <w:pPr>
        <w:spacing w:before="200" w:after="40"/>
      </w:pPr>
      <w:r>
        <w:rPr>
          <w:b/>
          <w:color w:val="22C55E"/>
          <w:sz w:val="40"/>
        </w:rPr>
        <w:t xml:space="preserve">  02  </w:t>
      </w:r>
      <w:r>
        <w:rPr>
          <w:b/>
          <w:color w:val="0F172A"/>
          <w:sz w:val="24"/>
        </w:rPr>
        <w:t>Get your plan (automatically)</w:t>
      </w:r>
    </w:p>
    <w:p>
      <w:pPr>
        <w:spacing w:after="120" w:line="320" w:lineRule="exact"/>
        <w:ind w:left="680"/>
      </w:pPr>
      <w:r>
        <w:rPr>
          <w:color w:val="1E293B"/>
          <w:sz w:val="22"/>
        </w:rPr>
        <w:t>Once the profile is complete, an AI-driven research pipeline searches official sources (embassies, immigration websites, government agencies) via web scraping, analyzes and synthesizes the information with AI, and builds a tailored guide with 15+ sections.</w:t>
      </w:r>
    </w:p>
    <w:p>
      <w:pPr>
        <w:spacing w:before="200" w:after="40"/>
      </w:pPr>
      <w:r>
        <w:rPr>
          <w:b/>
          <w:color w:val="22C55E"/>
          <w:sz w:val="40"/>
        </w:rPr>
        <w:t xml:space="preserve">  03  </w:t>
      </w:r>
      <w:r>
        <w:rPr>
          <w:b/>
          <w:color w:val="0F172A"/>
          <w:sz w:val="24"/>
        </w:rPr>
        <w:t>Act with confidence</w:t>
      </w:r>
    </w:p>
    <w:p>
      <w:pPr>
        <w:spacing w:after="120" w:line="320" w:lineRule="exact"/>
        <w:ind w:left="680"/>
      </w:pPr>
      <w:r>
        <w:rPr>
          <w:color w:val="1E293B"/>
          <w:sz w:val="22"/>
        </w:rPr>
        <w:t>Your plan contains everything you need:</w:t>
      </w:r>
    </w:p>
    <w:tbl>
      <w:tblPr>
        <w:tblW w:type="auto" w:w="0"/>
        <w:jc w:val="center"/>
        <w:tblLayout w:type="autofit"/>
        <w:tblLook w:firstColumn="1" w:firstRow="1" w:lastColumn="0" w:lastRow="0" w:noHBand="0" w:noVBand="1" w:val="04A0"/>
        <w:tblBorders>
          <w:top w:val="single" w:sz="4" w:color="E2E8F0" w:space="0"/>
          <w:left w:val="single" w:sz="4" w:color="E2E8F0" w:space="0"/>
          <w:bottom w:val="single" w:sz="4" w:color="E2E8F0" w:space="0"/>
          <w:right w:val="single" w:sz="4" w:color="E2E8F0" w:space="0"/>
          <w:insideH w:val="single" w:sz="4" w:color="E2E8F0" w:space="0"/>
          <w:insideV w:val="single" w:sz="4" w:color="E2E8F0" w:space="0"/>
        </w:tblBorders>
      </w:tblPr>
      <w:tblGrid>
        <w:gridCol w:w="4703"/>
        <w:gridCol w:w="4703"/>
      </w:tblGrid>
      <w:tr>
        <w:tc>
          <w:tcPr>
            <w:tcW w:type="dxa" w:w="4703"/>
            <w:shd w:fill="1B3A2D" w:val="clear"/>
          </w:tcPr>
          <w:p>
            <w:pPr>
              <w:jc w:val="left"/>
            </w:pPr>
            <w:r>
              <w:rPr>
                <w:rFonts w:ascii="Calibri" w:hAnsi="Calibri"/>
                <w:b/>
                <w:color w:val="FFFFFF"/>
                <w:sz w:val="20"/>
              </w:rPr>
              <w:t>Section</w:t>
            </w:r>
          </w:p>
        </w:tc>
        <w:tc>
          <w:tcPr>
            <w:tcW w:type="dxa" w:w="4703"/>
            <w:shd w:fill="1B3A2D" w:val="clear"/>
          </w:tcPr>
          <w:p>
            <w:pPr>
              <w:jc w:val="left"/>
            </w:pPr>
            <w:r>
              <w:rPr>
                <w:rFonts w:ascii="Calibri" w:hAnsi="Calibri"/>
                <w:b/>
                <w:color w:val="FFFFFF"/>
                <w:sz w:val="20"/>
              </w:rPr>
              <w:t>What you get</w:t>
            </w:r>
          </w:p>
        </w:tc>
      </w:tr>
      <w:tr>
        <w:tc>
          <w:tcPr>
            <w:tcW w:type="dxa" w:w="4703"/>
            <w:shd w:fill="FFFFFF" w:val="clear"/>
          </w:tcPr>
          <w:p>
            <w:r>
              <w:rPr>
                <w:rFonts w:ascii="Calibri" w:hAnsi="Calibri"/>
                <w:b/>
                <w:color w:val="0F172A"/>
                <w:sz w:val="20"/>
              </w:rPr>
              <w:t>Visa recommendations</w:t>
            </w:r>
          </w:p>
        </w:tc>
        <w:tc>
          <w:tcPr>
            <w:tcW w:type="dxa" w:w="4703"/>
            <w:shd w:fill="FFFFFF" w:val="clear"/>
          </w:tcPr>
          <w:p>
            <w:r>
              <w:rPr>
                <w:rFonts w:ascii="Calibri" w:hAnsi="Calibri"/>
                <w:color w:val="1E293B"/>
                <w:sz w:val="20"/>
              </w:rPr>
              <w:t>3–8 visa types ranked by your profile, with requirements, cost, processing time, and step-by-step instructions</w:t>
            </w:r>
          </w:p>
        </w:tc>
      </w:tr>
      <w:tr>
        <w:tc>
          <w:tcPr>
            <w:tcW w:type="dxa" w:w="4703"/>
            <w:shd w:fill="F1F5F9" w:val="clear"/>
          </w:tcPr>
          <w:p>
            <w:r>
              <w:rPr>
                <w:rFonts w:ascii="Calibri" w:hAnsi="Calibri"/>
                <w:b/>
                <w:color w:val="0F172A"/>
                <w:sz w:val="20"/>
              </w:rPr>
              <w:t>Budget &amp; cost of living</w:t>
            </w:r>
          </w:p>
        </w:tc>
        <w:tc>
          <w:tcPr>
            <w:tcW w:type="dxa" w:w="4703"/>
            <w:shd w:fill="F1F5F9" w:val="clear"/>
          </w:tcPr>
          <w:p>
            <w:r>
              <w:rPr>
                <w:rFonts w:ascii="Calibri" w:hAnsi="Calibri"/>
                <w:color w:val="1E293B"/>
                <w:sz w:val="20"/>
              </w:rPr>
              <w:t>Real-time data for your city with month-by-month budget (minimum vs comfortable)</w:t>
            </w:r>
          </w:p>
        </w:tc>
      </w:tr>
      <w:tr>
        <w:tc>
          <w:tcPr>
            <w:tcW w:type="dxa" w:w="4703"/>
            <w:shd w:fill="FFFFFF" w:val="clear"/>
          </w:tcPr>
          <w:p>
            <w:r>
              <w:rPr>
                <w:rFonts w:ascii="Calibri" w:hAnsi="Calibri"/>
                <w:b/>
                <w:color w:val="0F172A"/>
                <w:sz w:val="20"/>
              </w:rPr>
              <w:t>Document checklist</w:t>
            </w:r>
          </w:p>
        </w:tc>
        <w:tc>
          <w:tcPr>
            <w:tcW w:type="dxa" w:w="4703"/>
            <w:shd w:fill="FFFFFF" w:val="clear"/>
          </w:tcPr>
          <w:p>
            <w:r>
              <w:rPr>
                <w:rFonts w:ascii="Calibri" w:hAnsi="Calibri"/>
                <w:color w:val="1E293B"/>
                <w:sz w:val="20"/>
              </w:rPr>
              <w:t>Prioritized documents (critical/high/medium/low) with where to obtain them</w:t>
            </w:r>
          </w:p>
        </w:tc>
      </w:tr>
      <w:tr>
        <w:tc>
          <w:tcPr>
            <w:tcW w:type="dxa" w:w="4703"/>
            <w:shd w:fill="F1F5F9" w:val="clear"/>
          </w:tcPr>
          <w:p>
            <w:r>
              <w:rPr>
                <w:rFonts w:ascii="Calibri" w:hAnsi="Calibri"/>
                <w:b/>
                <w:color w:val="0F172A"/>
                <w:sz w:val="20"/>
              </w:rPr>
              <w:t>Housing guide</w:t>
            </w:r>
          </w:p>
        </w:tc>
        <w:tc>
          <w:tcPr>
            <w:tcW w:type="dxa" w:w="4703"/>
            <w:shd w:fill="F1F5F9" w:val="clear"/>
          </w:tcPr>
          <w:p>
            <w:r>
              <w:rPr>
                <w:rFonts w:ascii="Calibri" w:hAnsi="Calibri"/>
                <w:color w:val="1E293B"/>
                <w:sz w:val="20"/>
              </w:rPr>
              <w:t>Rent by area, platforms, deposit rules</w:t>
            </w:r>
          </w:p>
        </w:tc>
      </w:tr>
      <w:tr>
        <w:tc>
          <w:tcPr>
            <w:tcW w:type="dxa" w:w="4703"/>
            <w:shd w:fill="FFFFFF" w:val="clear"/>
          </w:tcPr>
          <w:p>
            <w:r>
              <w:rPr>
                <w:rFonts w:ascii="Calibri" w:hAnsi="Calibri"/>
                <w:b/>
                <w:color w:val="0F172A"/>
                <w:sz w:val="20"/>
              </w:rPr>
              <w:t>Healthcare, banking, jobs, culture</w:t>
            </w:r>
          </w:p>
        </w:tc>
        <w:tc>
          <w:tcPr>
            <w:tcW w:type="dxa" w:w="4703"/>
            <w:shd w:fill="FFFFFF" w:val="clear"/>
          </w:tcPr>
          <w:p>
            <w:r>
              <w:rPr>
                <w:rFonts w:ascii="Calibri" w:hAnsi="Calibri"/>
                <w:color w:val="1E293B"/>
                <w:sz w:val="20"/>
              </w:rPr>
              <w:t>Everything tailored to your country, your city, your situation</w:t>
            </w:r>
          </w:p>
        </w:tc>
      </w:tr>
      <w:tr>
        <w:tc>
          <w:tcPr>
            <w:tcW w:type="dxa" w:w="4703"/>
            <w:shd w:fill="F1F5F9" w:val="clear"/>
          </w:tcPr>
          <w:p>
            <w:r>
              <w:rPr>
                <w:rFonts w:ascii="Calibri" w:hAnsi="Calibri"/>
                <w:b/>
                <w:color w:val="0F172A"/>
                <w:sz w:val="20"/>
              </w:rPr>
              <w:t>Flight search</w:t>
            </w:r>
          </w:p>
        </w:tc>
        <w:tc>
          <w:tcPr>
            <w:tcW w:type="dxa" w:w="4703"/>
            <w:shd w:fill="F1F5F9" w:val="clear"/>
          </w:tcPr>
          <w:p>
            <w:r>
              <w:rPr>
                <w:rFonts w:ascii="Calibri" w:hAnsi="Calibri"/>
                <w:color w:val="1E293B"/>
                <w:sz w:val="20"/>
              </w:rPr>
              <w:t>Comparisons from 5 booking sites</w:t>
            </w:r>
          </w:p>
        </w:tc>
      </w:tr>
      <w:tr>
        <w:tc>
          <w:tcPr>
            <w:tcW w:type="dxa" w:w="4703"/>
            <w:shd w:fill="FFFFFF" w:val="clear"/>
          </w:tcPr>
          <w:p>
            <w:r>
              <w:rPr>
                <w:rFonts w:ascii="Calibri" w:hAnsi="Calibri"/>
                <w:b/>
                <w:color w:val="0F172A"/>
                <w:sz w:val="20"/>
              </w:rPr>
              <w:t>Timeline</w:t>
            </w:r>
          </w:p>
        </w:tc>
        <w:tc>
          <w:tcPr>
            <w:tcW w:type="dxa" w:w="4703"/>
            <w:shd w:fill="FFFFFF" w:val="clear"/>
          </w:tcPr>
          <w:p>
            <w:r>
              <w:rPr>
                <w:rFonts w:ascii="Calibri" w:hAnsi="Calibri"/>
                <w:color w:val="1E293B"/>
                <w:sz w:val="20"/>
              </w:rPr>
              <w:t>Milestones from now to arrival</w:t>
            </w:r>
          </w:p>
        </w:tc>
      </w:tr>
    </w:tbl>
    <w:p>
      <w:pPr>
        <w:spacing w:after="80"/>
      </w:pPr>
    </w:p>
    <w:p>
      <w:pPr>
        <w:spacing w:before="200" w:after="40"/>
      </w:pPr>
      <w:r>
        <w:rPr>
          <w:b/>
          <w:color w:val="22C55E"/>
          <w:sz w:val="40"/>
        </w:rPr>
        <w:t xml:space="preserve">  04  </w:t>
      </w:r>
      <w:r>
        <w:rPr>
          <w:b/>
          <w:color w:val="0F172A"/>
          <w:sz w:val="24"/>
        </w:rPr>
        <w:t>Land and get established (Pro+)</w:t>
      </w:r>
    </w:p>
    <w:p>
      <w:pPr>
        <w:spacing w:after="120" w:line="320" w:lineRule="exact"/>
        <w:ind w:left="680"/>
      </w:pPr>
      <w:r>
        <w:rPr>
          <w:color w:val="1E293B"/>
          <w:sz w:val="22"/>
        </w:rPr>
        <w:t>When you arrive, you activate post-arrival mode:</w:t>
      </w:r>
    </w:p>
    <w:p>
      <w:pPr>
        <w:spacing w:after="60" w:line="320" w:lineRule="exact"/>
        <w:ind w:left="567"/>
      </w:pPr>
      <w:r>
        <w:rPr>
          <w:color w:val="22C55E"/>
          <w:sz w:val="18"/>
        </w:rPr>
        <w:t xml:space="preserve">● </w:t>
      </w:r>
      <w:r>
        <w:rPr>
          <w:b/>
          <w:color w:val="0F172A"/>
          <w:sz w:val="22"/>
        </w:rPr>
        <w:t>Task graph with dependencies —</w:t>
      </w:r>
      <w:r>
        <w:rPr>
          <w:color w:val="1E293B"/>
          <w:sz w:val="22"/>
        </w:rPr>
        <w:t xml:space="preserve"> A bank account can't be opened until you've registered your residency — and GoMate knows that</w:t>
      </w:r>
    </w:p>
    <w:p>
      <w:pPr>
        <w:spacing w:after="60" w:line="320" w:lineRule="exact"/>
        <w:ind w:left="567"/>
      </w:pPr>
      <w:r>
        <w:rPr>
          <w:color w:val="22C55E"/>
          <w:sz w:val="18"/>
        </w:rPr>
        <w:t xml:space="preserve">● </w:t>
      </w:r>
      <w:r>
        <w:rPr>
          <w:b/>
          <w:color w:val="0F172A"/>
          <w:sz w:val="22"/>
        </w:rPr>
        <w:t xml:space="preserve">Deadlines tied to your arrival date — </w:t>
      </w:r>
      <w:r>
        <w:rPr>
          <w:color w:val="1E293B"/>
          <w:sz w:val="22"/>
        </w:rPr>
        <w:t xml:space="preserve"> "Register with the tax authority within 7 days"</w:t>
      </w:r>
    </w:p>
    <w:p>
      <w:pPr>
        <w:spacing w:after="60" w:line="320" w:lineRule="exact"/>
        <w:ind w:left="567"/>
      </w:pPr>
      <w:r>
        <w:rPr>
          <w:color w:val="22C55E"/>
          <w:sz w:val="18"/>
        </w:rPr>
        <w:t xml:space="preserve">● </w:t>
      </w:r>
      <w:r>
        <w:rPr>
          <w:b/>
          <w:color w:val="0F172A"/>
          <w:sz w:val="22"/>
        </w:rPr>
        <w:t>Compliance alerts —</w:t>
      </w:r>
      <w:r>
        <w:rPr>
          <w:color w:val="1E293B"/>
          <w:sz w:val="22"/>
        </w:rPr>
        <w:t xml:space="preserve"> Overdue / urgent / approaching — so you never miss anything legally critical</w:t>
      </w:r>
    </w:p>
    <w:p>
      <w:pPr>
        <w:spacing w:after="60" w:line="320" w:lineRule="exact"/>
        <w:ind w:left="567"/>
      </w:pPr>
      <w:r>
        <w:rPr>
          <w:color w:val="22C55E"/>
          <w:sz w:val="18"/>
        </w:rPr>
        <w:t xml:space="preserve">● </w:t>
      </w:r>
      <w:r>
        <w:rPr>
          <w:b/>
          <w:color w:val="0F172A"/>
          <w:sz w:val="22"/>
        </w:rPr>
        <w:t>AI chat for questions —</w:t>
      </w:r>
      <w:r>
        <w:rPr>
          <w:color w:val="1E293B"/>
          <w:sz w:val="22"/>
        </w:rPr>
        <w:t xml:space="preserve"> Ask anything about your new city and get answers based on your profile and plan</w:t>
      </w:r>
    </w:p>
    <w:p>
      <w:pPr>
        <w:spacing w:before="560" w:after="120"/>
      </w:pPr>
      <w:r>
        <w:rPr>
          <w:b/>
          <w:color w:val="22C55E"/>
          <w:sz w:val="36"/>
        </w:rPr>
        <w:t xml:space="preserve">▌ </w:t>
      </w:r>
      <w:r>
        <w:rPr>
          <w:rFonts w:ascii="Calibri" w:hAnsi="Calibri"/>
          <w:b/>
          <w:color w:val="0F172A"/>
          <w:sz w:val="36"/>
        </w:rPr>
        <w:t>WEDGE</w:t>
      </w:r>
    </w:p>
    <w:p>
      <w:pPr>
        <w:spacing w:before="80" w:after="80"/>
      </w:pPr>
      <w:r>
        <w:rPr>
          <w:color w:val="22C55E"/>
          <w:sz w:val="12"/>
        </w:rPr>
        <w:t>━━━━━━━━━━━━━━━━━━━━━━━━━━━━━━━━━━━━━━━━━━━━━━━━━━━━━━━━━━━━</w:t>
      </w:r>
    </w:p>
    <w:p>
      <w:pPr>
        <w:spacing w:after="120" w:line="320" w:lineRule="exact"/>
      </w:pPr>
      <w:r>
        <w:rPr>
          <w:color w:val="1E293B"/>
          <w:sz w:val="22"/>
        </w:rPr>
        <w:t>We don't start with "everyone who moves abroad." We start here:</w:t>
      </w:r>
    </w:p>
    <w:tbl>
      <w:tblPr>
        <w:tblW w:type="auto" w:w="0"/>
        <w:jc w:val="center"/>
        <w:tblLook w:firstColumn="1" w:firstRow="1" w:lastColumn="0" w:lastRow="0" w:noHBand="0" w:noVBand="1" w:val="04A0"/>
      </w:tblPr>
      <w:tblGrid>
        <w:gridCol w:w="9406"/>
      </w:tblGrid>
      <w:tr>
        <w:tc>
          <w:tcPr>
            <w:tcW w:type="dxa" w:w="9406"/>
            <w:shd w:fill="ECFDF5" w:val="clear"/>
            <w:tcBorders>
              <w:left w:val="single" w:sz="24" w:color="22C55E" w:space="0"/>
              <w:top w:val="none" w:sz="0" w:color="auto" w:space="0"/>
              <w:bottom w:val="none" w:sz="0" w:color="auto" w:space="0"/>
              <w:right w:val="none" w:sz="0" w:color="auto" w:space="0"/>
            </w:tcBorders>
          </w:tcPr>
          <w:p>
            <w:pPr>
              <w:spacing w:after="80" w:before="80"/>
            </w:pPr>
            <w:r>
              <w:rPr>
                <w:rFonts w:ascii="Calibri" w:hAnsi="Calibri"/>
                <w:i/>
                <w:color w:val="1B3A2D"/>
                <w:sz w:val="24"/>
              </w:rPr>
              <w:t>Professionals and couples relocating within and to/from Europe.</w:t>
            </w:r>
          </w:p>
        </w:tc>
      </w:tr>
    </w:tbl>
    <w:p>
      <w:pPr>
        <w:spacing w:after="40"/>
      </w:pPr>
    </w:p>
    <w:p>
      <w:pPr>
        <w:spacing w:after="120" w:line="320" w:lineRule="exact"/>
      </w:pPr>
      <w:r>
        <w:rPr>
          <w:color w:val="1E293B"/>
          <w:sz w:val="22"/>
        </w:rPr>
        <w:t>This is the segment with the highest frequency, highest compliance complexity, and highest urgency — and where there is currently no solution for individuals.</w:t>
      </w:r>
    </w:p>
    <w:p>
      <w:pPr>
        <w:spacing w:after="120" w:line="320" w:lineRule="exact"/>
      </w:pPr>
      <w:r>
        <w:rPr>
          <w:color w:val="1E293B"/>
          <w:sz w:val="22"/>
        </w:rPr>
        <w:t>EU freedom of movement sounds simple, but the reality is different: every country has unique requirements for residency registration, tax registration, insurance, and bank account opening. Deadlines are strict. Consequences are real.</w:t>
      </w:r>
    </w:p>
    <w:p>
      <w:pPr>
        <w:spacing w:after="60" w:line="320" w:lineRule="exact"/>
        <w:ind w:left="567"/>
      </w:pPr>
      <w:r>
        <w:rPr>
          <w:color w:val="22C55E"/>
          <w:sz w:val="18"/>
        </w:rPr>
        <w:t xml:space="preserve">● </w:t>
      </w:r>
      <w:r>
        <w:rPr>
          <w:b/>
          <w:color w:val="0F172A"/>
          <w:sz w:val="22"/>
        </w:rPr>
        <w:t>Fast feedback loops —</w:t>
      </w:r>
      <w:r>
        <w:rPr>
          <w:color w:val="1E293B"/>
          <w:sz w:val="22"/>
        </w:rPr>
        <w:t xml:space="preserve"> High relocation frequency, short cycles</w:t>
      </w:r>
    </w:p>
    <w:p>
      <w:pPr>
        <w:spacing w:after="60" w:line="320" w:lineRule="exact"/>
        <w:ind w:left="567"/>
      </w:pPr>
      <w:r>
        <w:rPr>
          <w:color w:val="22C55E"/>
          <w:sz w:val="18"/>
        </w:rPr>
        <w:t xml:space="preserve">● </w:t>
      </w:r>
      <w:r>
        <w:rPr>
          <w:b/>
          <w:color w:val="0F172A"/>
          <w:sz w:val="22"/>
        </w:rPr>
        <w:t>Repeatable flows —</w:t>
      </w:r>
      <w:r>
        <w:rPr>
          <w:color w:val="1E293B"/>
          <w:sz w:val="22"/>
        </w:rPr>
        <w:t xml:space="preserve"> The same compliance requirements recur country by country</w:t>
      </w:r>
    </w:p>
    <w:p>
      <w:pPr>
        <w:spacing w:after="60" w:line="320" w:lineRule="exact"/>
        <w:ind w:left="567"/>
      </w:pPr>
      <w:r>
        <w:rPr>
          <w:color w:val="22C55E"/>
          <w:sz w:val="18"/>
        </w:rPr>
        <w:t xml:space="preserve">● </w:t>
      </w:r>
      <w:r>
        <w:rPr>
          <w:b/>
          <w:color w:val="0F172A"/>
          <w:sz w:val="22"/>
        </w:rPr>
        <w:t>High urgency —</w:t>
      </w:r>
      <w:r>
        <w:rPr>
          <w:color w:val="1E293B"/>
          <w:sz w:val="22"/>
        </w:rPr>
        <w:t xml:space="preserve"> Deadlines with legal consequences drive willingness to pay</w:t>
      </w:r>
    </w:p>
    <w:p>
      <w:pPr>
        <w:spacing w:after="120" w:line="320" w:lineRule="exact"/>
      </w:pPr>
      <w:r>
        <w:rPr>
          <w:color w:val="1E293B"/>
          <w:sz w:val="22"/>
        </w:rPr>
        <w:t>From there, we expand to digital nomads, global relocations, and more country combinations.</w:t>
      </w:r>
    </w:p>
    <w:p>
      <w:r>
        <w:br w:type="page"/>
      </w:r>
    </w:p>
    <w:p>
      <w:pPr>
        <w:spacing w:before="560" w:after="120"/>
      </w:pPr>
      <w:r>
        <w:rPr>
          <w:b/>
          <w:color w:val="22C55E"/>
          <w:sz w:val="36"/>
        </w:rPr>
        <w:t xml:space="preserve">▌ </w:t>
      </w:r>
      <w:r>
        <w:rPr>
          <w:rFonts w:ascii="Calibri" w:hAnsi="Calibri"/>
          <w:b/>
          <w:color w:val="0F172A"/>
          <w:sz w:val="36"/>
        </w:rPr>
        <w:t>TRUST</w:t>
      </w:r>
    </w:p>
    <w:p>
      <w:pPr>
        <w:spacing w:before="80" w:after="80"/>
      </w:pPr>
      <w:r>
        <w:rPr>
          <w:color w:val="22C55E"/>
          <w:sz w:val="12"/>
        </w:rPr>
        <w:t>━━━━━━━━━━━━━━━━━━━━━━━━━━━━━━━━━━━━━━━━━━━━━━━━━━━━━━━━━━━━</w:t>
      </w:r>
    </w:p>
    <w:tbl>
      <w:tblPr>
        <w:tblW w:type="auto" w:w="0"/>
        <w:jc w:val="center"/>
        <w:tblLook w:firstColumn="1" w:firstRow="1" w:lastColumn="0" w:lastRow="0" w:noHBand="0" w:noVBand="1" w:val="04A0"/>
      </w:tblPr>
      <w:tblGrid>
        <w:gridCol w:w="9406"/>
      </w:tblGrid>
      <w:tr>
        <w:tc>
          <w:tcPr>
            <w:tcW w:type="dxa" w:w="9406"/>
            <w:shd w:fill="ECFDF5" w:val="clear"/>
            <w:tcBorders>
              <w:left w:val="single" w:sz="24" w:color="22C55E" w:space="0"/>
              <w:top w:val="none" w:sz="0" w:color="auto" w:space="0"/>
              <w:bottom w:val="none" w:sz="0" w:color="auto" w:space="0"/>
              <w:right w:val="none" w:sz="0" w:color="auto" w:space="0"/>
            </w:tcBorders>
          </w:tcPr>
          <w:p>
            <w:pPr>
              <w:spacing w:after="80" w:before="80"/>
            </w:pPr>
            <w:r>
              <w:rPr>
                <w:rFonts w:ascii="Calibri" w:hAnsi="Calibri"/>
                <w:i/>
                <w:color w:val="1B3A2D"/>
                <w:sz w:val="24"/>
              </w:rPr>
              <w:t>We don't generate advice.</w:t>
            </w:r>
          </w:p>
          <w:p>
            <w:pPr>
              <w:spacing w:after="80" w:before="80"/>
            </w:pPr>
            <w:r>
              <w:rPr>
                <w:rFonts w:ascii="Calibri" w:hAnsi="Calibri"/>
                <w:i/>
                <w:color w:val="1B3A2D"/>
                <w:sz w:val="24"/>
              </w:rPr>
              <w:t>We generate verifiable, time-bound instructions</w:t>
            </w:r>
          </w:p>
          <w:p>
            <w:pPr>
              <w:spacing w:after="80" w:before="80"/>
            </w:pPr>
            <w:r>
              <w:rPr>
                <w:rFonts w:ascii="Calibri" w:hAnsi="Calibri"/>
                <w:i/>
                <w:color w:val="1B3A2D"/>
                <w:sz w:val="24"/>
              </w:rPr>
              <w:t>tied to official sources.</w:t>
            </w:r>
          </w:p>
        </w:tc>
      </w:tr>
    </w:tbl>
    <w:p>
      <w:pPr>
        <w:spacing w:after="40"/>
      </w:pPr>
    </w:p>
    <w:p>
      <w:pPr>
        <w:spacing w:after="120" w:line="320" w:lineRule="exact"/>
      </w:pPr>
      <w:r>
        <w:rPr>
          <w:color w:val="1E293B"/>
          <w:sz w:val="22"/>
        </w:rPr>
        <w:t>Every recommendation in GoMate is:</w:t>
      </w:r>
    </w:p>
    <w:p>
      <w:pPr>
        <w:spacing w:after="60" w:line="320" w:lineRule="exact"/>
        <w:ind w:left="567"/>
      </w:pPr>
      <w:r>
        <w:rPr>
          <w:color w:val="22C55E"/>
          <w:sz w:val="18"/>
        </w:rPr>
        <w:t xml:space="preserve">● </w:t>
      </w:r>
      <w:r>
        <w:rPr>
          <w:b/>
          <w:color w:val="0F172A"/>
          <w:sz w:val="22"/>
        </w:rPr>
        <w:t>Backed by an official source —</w:t>
      </w:r>
      <w:r>
        <w:rPr>
          <w:color w:val="1E293B"/>
          <w:sz w:val="22"/>
        </w:rPr>
        <w:t xml:space="preserve"> Embassies, immigration authorities, government agencies. Linked so the user can verify.</w:t>
      </w:r>
    </w:p>
    <w:p>
      <w:pPr>
        <w:spacing w:after="60" w:line="320" w:lineRule="exact"/>
        <w:ind w:left="567"/>
      </w:pPr>
      <w:r>
        <w:rPr>
          <w:color w:val="22C55E"/>
          <w:sz w:val="18"/>
        </w:rPr>
        <w:t xml:space="preserve">● </w:t>
      </w:r>
      <w:r>
        <w:rPr>
          <w:b/>
          <w:color w:val="0F172A"/>
          <w:sz w:val="22"/>
        </w:rPr>
        <w:t>Timestamped —</w:t>
      </w:r>
      <w:r>
        <w:rPr>
          <w:color w:val="1E293B"/>
          <w:sz w:val="22"/>
        </w:rPr>
        <w:t xml:space="preserve"> The user sees when the information was retrieved.</w:t>
      </w:r>
    </w:p>
    <w:p>
      <w:pPr>
        <w:spacing w:after="60" w:line="320" w:lineRule="exact"/>
        <w:ind w:left="567"/>
      </w:pPr>
      <w:r>
        <w:rPr>
          <w:color w:val="22C55E"/>
          <w:sz w:val="18"/>
        </w:rPr>
        <w:t xml:space="preserve">● </w:t>
      </w:r>
      <w:r>
        <w:rPr>
          <w:b/>
          <w:color w:val="0F172A"/>
          <w:sz w:val="22"/>
        </w:rPr>
        <w:t>Quality-rated —</w:t>
      </w:r>
      <w:r>
        <w:rPr>
          <w:color w:val="1E293B"/>
          <w:sz w:val="22"/>
        </w:rPr>
        <w:t xml:space="preserve"> Full (complete data from official sources), partial (incomplete), or fallback (AI-based). Nothing is presented as more certain than it is.</w:t>
      </w:r>
    </w:p>
    <w:p>
      <w:pPr>
        <w:spacing w:after="120" w:line="320" w:lineRule="exact"/>
      </w:pPr>
      <w:r>
        <w:rPr>
          <w:color w:val="1E293B"/>
          <w:sz w:val="22"/>
        </w:rPr>
        <w:t>When a profile changes or research is older than 7 days, the guide is automatically marked as stale. Nothing is ever presented as current unless it is.</w:t>
      </w:r>
    </w:p>
    <w:p>
      <w:pPr>
        <w:spacing w:after="120" w:line="320" w:lineRule="exact"/>
      </w:pPr>
      <w:r>
        <w:rPr>
          <w:color w:val="1E293B"/>
          <w:sz w:val="22"/>
        </w:rPr>
        <w:t>Next step is continuous re-validation: when a source changes, your plan updates — before it becomes your problem.</w:t>
      </w:r>
    </w:p>
    <w:p>
      <w:pPr>
        <w:spacing w:after="120" w:line="320" w:lineRule="exact"/>
      </w:pPr>
      <w:r>
        <w:rPr>
          <w:color w:val="1E293B"/>
          <w:sz w:val="22"/>
        </w:rPr>
        <w:t>Profile data extracted from the chat interview is tagged with a confidence level: explicit, inferred, or assumed. Assumed data is always confirmed with the user before it's used.</w:t>
      </w:r>
    </w:p>
    <w:p>
      <w:pPr>
        <w:spacing w:after="120" w:line="320" w:lineRule="exact"/>
      </w:pPr>
      <w:r>
        <w:rPr>
          <w:color w:val="1E293B"/>
          <w:sz w:val="22"/>
        </w:rPr>
        <w:t>GoMate is not a lawyer, advisor, or government authority. We help you find, structure, and execute — but the final responsibility is always yours. This is communicated clearly in the product.</w:t>
      </w:r>
    </w:p>
    <w:p>
      <w:pPr>
        <w:spacing w:before="560" w:after="120"/>
      </w:pPr>
      <w:r>
        <w:rPr>
          <w:b/>
          <w:color w:val="22C55E"/>
          <w:sz w:val="36"/>
        </w:rPr>
        <w:t xml:space="preserve">▌ </w:t>
      </w:r>
      <w:r>
        <w:rPr>
          <w:rFonts w:ascii="Calibri" w:hAnsi="Calibri"/>
          <w:b/>
          <w:color w:val="0F172A"/>
          <w:sz w:val="36"/>
        </w:rPr>
        <w:t>MOAT</w:t>
      </w:r>
    </w:p>
    <w:p>
      <w:pPr>
        <w:spacing w:before="80" w:after="80"/>
      </w:pPr>
      <w:r>
        <w:rPr>
          <w:color w:val="22C55E"/>
          <w:sz w:val="12"/>
        </w:rPr>
        <w:t>━━━━━━━━━━━━━━━━━━━━━━━━━━━━━━━━━━━━━━━━━━━━━━━━━━━━━━━━━━━━</w:t>
      </w:r>
    </w:p>
    <w:tbl>
      <w:tblPr>
        <w:tblW w:type="auto" w:w="0"/>
        <w:jc w:val="center"/>
        <w:tblLook w:firstColumn="1" w:firstRow="1" w:lastColumn="0" w:lastRow="0" w:noHBand="0" w:noVBand="1" w:val="04A0"/>
      </w:tblPr>
      <w:tblGrid>
        <w:gridCol w:w="9406"/>
      </w:tblGrid>
      <w:tr>
        <w:tc>
          <w:tcPr>
            <w:tcW w:type="dxa" w:w="9406"/>
            <w:shd w:fill="ECFDF5" w:val="clear"/>
            <w:tcBorders>
              <w:left w:val="single" w:sz="24" w:color="22C55E" w:space="0"/>
              <w:top w:val="none" w:sz="0" w:color="auto" w:space="0"/>
              <w:bottom w:val="none" w:sz="0" w:color="auto" w:space="0"/>
              <w:right w:val="none" w:sz="0" w:color="auto" w:space="0"/>
            </w:tcBorders>
          </w:tcPr>
          <w:p>
            <w:pPr>
              <w:spacing w:after="80" w:before="80"/>
            </w:pPr>
            <w:r>
              <w:rPr>
                <w:rFonts w:ascii="Calibri" w:hAnsi="Calibri"/>
                <w:i/>
                <w:color w:val="1B3A2D"/>
                <w:sz w:val="24"/>
              </w:rPr>
              <w:t>Most players in this space build guides.</w:t>
            </w:r>
          </w:p>
          <w:p>
            <w:pPr>
              <w:spacing w:after="80" w:before="80"/>
            </w:pPr>
            <w:r>
              <w:rPr>
                <w:rFonts w:ascii="Calibri" w:hAnsi="Calibri"/>
                <w:i/>
                <w:color w:val="1B3A2D"/>
                <w:sz w:val="24"/>
              </w:rPr>
              <w:t>We build infrastructure.</w:t>
            </w:r>
          </w:p>
        </w:tc>
      </w:tr>
    </w:tbl>
    <w:p>
      <w:pPr>
        <w:spacing w:after="40"/>
      </w:pPr>
    </w:p>
    <w:p>
      <w:pPr>
        <w:spacing w:after="120" w:line="320" w:lineRule="exact"/>
      </w:pPr>
      <w:r>
        <w:rPr>
          <w:b/>
          <w:color w:val="0F172A"/>
          <w:sz w:val="22"/>
        </w:rPr>
        <w:t xml:space="preserve">1. The compliance engine. </w:t>
      </w:r>
      <w:r>
        <w:rPr>
          <w:color w:val="1E293B"/>
          <w:sz w:val="22"/>
        </w:rPr>
        <w:t>A DAG-based task graph where every task has dependencies, deadlines relative to arrival date, legal-requirement flags, and urgency computation. It's not a checklist — it's an operational system that computes what you need to do, in what order, and warns you when you're about to miss something. Building this correctly took 11 build phases. It's not a feature — it's an engine.</w:t>
      </w:r>
    </w:p>
    <w:p>
      <w:pPr>
        <w:spacing w:after="120" w:line="320" w:lineRule="exact"/>
      </w:pPr>
      <w:r>
        <w:rPr>
          <w:b/>
          <w:color w:val="0F172A"/>
          <w:sz w:val="22"/>
        </w:rPr>
        <w:t xml:space="preserve">2. Profile depth. </w:t>
      </w:r>
      <w:r>
        <w:rPr>
          <w:color w:val="1E293B"/>
          <w:sz w:val="22"/>
        </w:rPr>
        <w:t>65+ data points with intelligent branching — your purpose (work/study/digital nomad/family) determines which questions are asked, which research is triggered, and which output you get. Every new profile makes the platform's output quality better.</w:t>
      </w:r>
    </w:p>
    <w:p>
      <w:pPr>
        <w:spacing w:after="120" w:line="320" w:lineRule="exact"/>
      </w:pPr>
      <w:r>
        <w:rPr>
          <w:b/>
          <w:color w:val="0F172A"/>
          <w:sz w:val="22"/>
        </w:rPr>
        <w:t xml:space="preserve">3. Research pipeline with web grounding. </w:t>
      </w:r>
      <w:r>
        <w:rPr>
          <w:color w:val="1E293B"/>
          <w:sz w:val="22"/>
        </w:rPr>
        <w:t>Not just LLM generation — but real-time scraping of official sources + AI synthesis. Every result has source attribution. Next step is continuous monitoring: when a source changes, it gets flagged.</w:t>
      </w:r>
    </w:p>
    <w:tbl>
      <w:tblPr>
        <w:tblW w:type="auto" w:w="0"/>
        <w:jc w:val="center"/>
        <w:tblLook w:firstColumn="1" w:firstRow="1" w:lastColumn="0" w:lastRow="0" w:noHBand="0" w:noVBand="1" w:val="04A0"/>
      </w:tblPr>
      <w:tblGrid>
        <w:gridCol w:w="9406"/>
      </w:tblGrid>
      <w:tr>
        <w:tc>
          <w:tcPr>
            <w:tcW w:type="dxa" w:w="9406"/>
            <w:shd w:fill="ECFDF5" w:val="clear"/>
            <w:tcBorders>
              <w:left w:val="single" w:sz="24" w:color="22C55E" w:space="0"/>
              <w:top w:val="none" w:sz="0" w:color="auto" w:space="0"/>
              <w:bottom w:val="none" w:sz="0" w:color="auto" w:space="0"/>
              <w:right w:val="none" w:sz="0" w:color="auto" w:space="0"/>
            </w:tcBorders>
          </w:tcPr>
          <w:p>
            <w:pPr>
              <w:spacing w:after="80" w:before="80"/>
            </w:pPr>
            <w:r>
              <w:rPr>
                <w:rFonts w:ascii="Calibri" w:hAnsi="Calibri"/>
                <w:i/>
                <w:color w:val="1B3A2D"/>
                <w:sz w:val="24"/>
              </w:rPr>
              <w:t>This is not a feature problem. It's a systems problem.</w:t>
            </w:r>
          </w:p>
          <w:p>
            <w:pPr>
              <w:spacing w:after="80" w:before="80"/>
            </w:pPr>
            <w:r>
              <w:rPr>
                <w:rFonts w:ascii="Calibri" w:hAnsi="Calibri"/>
                <w:i/>
                <w:color w:val="1B3A2D"/>
                <w:sz w:val="24"/>
              </w:rPr>
              <w:t>And systems — once built correctly —</w:t>
            </w:r>
          </w:p>
          <w:p>
            <w:pPr>
              <w:spacing w:after="80" w:before="80"/>
            </w:pPr>
            <w:r>
              <w:rPr>
                <w:rFonts w:ascii="Calibri" w:hAnsi="Calibri"/>
                <w:i/>
                <w:color w:val="1B3A2D"/>
                <w:sz w:val="24"/>
              </w:rPr>
              <w:t>are extremely hard to replace.</w:t>
            </w:r>
          </w:p>
        </w:tc>
      </w:tr>
    </w:tbl>
    <w:p>
      <w:pPr>
        <w:spacing w:after="40"/>
      </w:pPr>
    </w:p>
    <w:p>
      <w:pPr>
        <w:spacing w:after="120" w:line="320" w:lineRule="exact"/>
      </w:pPr>
      <w:r>
        <w:rPr>
          <w:color w:val="1E293B"/>
          <w:sz w:val="22"/>
        </w:rPr>
        <w:t>Someone can build a relocation chatbot in a weekend. No one can build a compliance engine with DAG dependencies, deadline computation, web-grounded research, and 65-field profile personalization in a weekend.</w:t>
      </w:r>
    </w:p>
    <w:p>
      <w:pPr>
        <w:spacing w:before="560" w:after="120"/>
      </w:pPr>
      <w:r>
        <w:rPr>
          <w:b/>
          <w:color w:val="22C55E"/>
          <w:sz w:val="36"/>
        </w:rPr>
        <w:t xml:space="preserve">▌ </w:t>
      </w:r>
      <w:r>
        <w:rPr>
          <w:rFonts w:ascii="Calibri" w:hAnsi="Calibri"/>
          <w:b/>
          <w:color w:val="0F172A"/>
          <w:sz w:val="36"/>
        </w:rPr>
        <w:t>BUSINESS MODEL</w:t>
      </w:r>
    </w:p>
    <w:p>
      <w:pPr>
        <w:spacing w:before="80" w:after="80"/>
      </w:pPr>
      <w:r>
        <w:rPr>
          <w:color w:val="22C55E"/>
          <w:sz w:val="12"/>
        </w:rPr>
        <w:t>━━━━━━━━━━━━━━━━━━━━━━━━━━━━━━━━━━━━━━━━━━━━━━━━━━━━━━━━━━━━</w:t>
      </w:r>
    </w:p>
    <w:tbl>
      <w:tblPr>
        <w:tblW w:type="auto" w:w="0"/>
        <w:jc w:val="center"/>
        <w:tblLayout w:type="autofit"/>
        <w:tblLook w:firstColumn="1" w:firstRow="1" w:lastColumn="0" w:lastRow="0" w:noHBand="0" w:noVBand="1" w:val="04A0"/>
        <w:tblBorders>
          <w:top w:val="single" w:sz="4" w:color="E2E8F0" w:space="0"/>
          <w:left w:val="single" w:sz="4" w:color="E2E8F0" w:space="0"/>
          <w:bottom w:val="single" w:sz="4" w:color="E2E8F0" w:space="0"/>
          <w:right w:val="single" w:sz="4" w:color="E2E8F0" w:space="0"/>
          <w:insideH w:val="single" w:sz="4" w:color="E2E8F0" w:space="0"/>
          <w:insideV w:val="single" w:sz="4" w:color="E2E8F0" w:space="0"/>
        </w:tblBorders>
      </w:tblPr>
      <w:tblGrid>
        <w:gridCol w:w="3135"/>
        <w:gridCol w:w="3135"/>
        <w:gridCol w:w="3135"/>
      </w:tblGrid>
      <w:tr>
        <w:tc>
          <w:tcPr>
            <w:tcW w:type="dxa" w:w="3135"/>
            <w:shd w:fill="1B3A2D" w:val="clear"/>
          </w:tcPr>
          <w:p>
            <w:pPr>
              <w:jc w:val="left"/>
            </w:pPr>
            <w:r>
              <w:rPr>
                <w:rFonts w:ascii="Calibri" w:hAnsi="Calibri"/>
                <w:b/>
                <w:color w:val="FFFFFF"/>
                <w:sz w:val="20"/>
              </w:rPr>
              <w:t>Tier</w:t>
            </w:r>
          </w:p>
        </w:tc>
        <w:tc>
          <w:tcPr>
            <w:tcW w:type="dxa" w:w="3135"/>
            <w:shd w:fill="1B3A2D" w:val="clear"/>
          </w:tcPr>
          <w:p>
            <w:pPr>
              <w:jc w:val="left"/>
            </w:pPr>
            <w:r>
              <w:rPr>
                <w:rFonts w:ascii="Calibri" w:hAnsi="Calibri"/>
                <w:b/>
                <w:color w:val="FFFFFF"/>
                <w:sz w:val="20"/>
              </w:rPr>
              <w:t>Price</w:t>
            </w:r>
          </w:p>
        </w:tc>
        <w:tc>
          <w:tcPr>
            <w:tcW w:type="dxa" w:w="3135"/>
            <w:shd w:fill="1B3A2D" w:val="clear"/>
          </w:tcPr>
          <w:p>
            <w:pPr>
              <w:jc w:val="left"/>
            </w:pPr>
            <w:r>
              <w:rPr>
                <w:rFonts w:ascii="Calibri" w:hAnsi="Calibri"/>
                <w:b/>
                <w:color w:val="FFFFFF"/>
                <w:sz w:val="20"/>
              </w:rPr>
              <w:t>Includes</w:t>
            </w:r>
          </w:p>
        </w:tc>
      </w:tr>
      <w:tr>
        <w:tc>
          <w:tcPr>
            <w:tcW w:type="dxa" w:w="3135"/>
            <w:shd w:fill="FFFFFF" w:val="clear"/>
          </w:tcPr>
          <w:p>
            <w:r>
              <w:rPr>
                <w:rFonts w:ascii="Calibri" w:hAnsi="Calibri"/>
                <w:b/>
                <w:color w:val="0F172A"/>
                <w:sz w:val="20"/>
              </w:rPr>
              <w:t>Free</w:t>
            </w:r>
          </w:p>
        </w:tc>
        <w:tc>
          <w:tcPr>
            <w:tcW w:type="dxa" w:w="3135"/>
            <w:shd w:fill="FFFFFF" w:val="clear"/>
          </w:tcPr>
          <w:p>
            <w:r>
              <w:rPr>
                <w:rFonts w:ascii="Calibri" w:hAnsi="Calibri"/>
                <w:color w:val="1E293B"/>
                <w:sz w:val="20"/>
              </w:rPr>
              <w:t>$0</w:t>
            </w:r>
          </w:p>
        </w:tc>
        <w:tc>
          <w:tcPr>
            <w:tcW w:type="dxa" w:w="3135"/>
            <w:shd w:fill="FFFFFF" w:val="clear"/>
          </w:tcPr>
          <w:p>
            <w:r>
              <w:rPr>
                <w:rFonts w:ascii="Calibri" w:hAnsi="Calibri"/>
                <w:color w:val="1E293B"/>
                <w:sz w:val="20"/>
              </w:rPr>
              <w:t>Chat interview + profile + overview</w:t>
            </w:r>
          </w:p>
        </w:tc>
      </w:tr>
      <w:tr>
        <w:tc>
          <w:tcPr>
            <w:tcW w:type="dxa" w:w="3135"/>
            <w:shd w:fill="F1F5F9" w:val="clear"/>
          </w:tcPr>
          <w:p>
            <w:r>
              <w:rPr>
                <w:rFonts w:ascii="Calibri" w:hAnsi="Calibri"/>
                <w:b/>
                <w:color w:val="0F172A"/>
                <w:sz w:val="20"/>
              </w:rPr>
              <w:t>Pro</w:t>
            </w:r>
          </w:p>
        </w:tc>
        <w:tc>
          <w:tcPr>
            <w:tcW w:type="dxa" w:w="3135"/>
            <w:shd w:fill="F1F5F9" w:val="clear"/>
          </w:tcPr>
          <w:p>
            <w:r>
              <w:rPr>
                <w:rFonts w:ascii="Calibri" w:hAnsi="Calibri"/>
                <w:color w:val="1E293B"/>
                <w:sz w:val="20"/>
              </w:rPr>
              <w:t>$189 (one-time)</w:t>
            </w:r>
          </w:p>
        </w:tc>
        <w:tc>
          <w:tcPr>
            <w:tcW w:type="dxa" w:w="3135"/>
            <w:shd w:fill="F1F5F9" w:val="clear"/>
          </w:tcPr>
          <w:p>
            <w:r>
              <w:rPr>
                <w:rFonts w:ascii="Calibri" w:hAnsi="Calibri"/>
                <w:color w:val="1E293B"/>
                <w:sz w:val="20"/>
              </w:rPr>
              <w:t>Full guide, visa research, budget, documents, flight search</w:t>
            </w:r>
          </w:p>
        </w:tc>
      </w:tr>
      <w:tr>
        <w:tc>
          <w:tcPr>
            <w:tcW w:type="dxa" w:w="3135"/>
            <w:shd w:fill="FFFFFF" w:val="clear"/>
          </w:tcPr>
          <w:p>
            <w:r>
              <w:rPr>
                <w:rFonts w:ascii="Calibri" w:hAnsi="Calibri"/>
                <w:b/>
                <w:color w:val="0F172A"/>
                <w:sz w:val="20"/>
              </w:rPr>
              <w:t>Pro+</w:t>
            </w:r>
          </w:p>
        </w:tc>
        <w:tc>
          <w:tcPr>
            <w:tcW w:type="dxa" w:w="3135"/>
            <w:shd w:fill="FFFFFF" w:val="clear"/>
          </w:tcPr>
          <w:p>
            <w:r>
              <w:rPr>
                <w:rFonts w:ascii="Calibri" w:hAnsi="Calibri"/>
                <w:color w:val="1E293B"/>
                <w:sz w:val="20"/>
              </w:rPr>
              <w:t>$39/mo</w:t>
            </w:r>
          </w:p>
        </w:tc>
        <w:tc>
          <w:tcPr>
            <w:tcW w:type="dxa" w:w="3135"/>
            <w:shd w:fill="FFFFFF" w:val="clear"/>
          </w:tcPr>
          <w:p>
            <w:r>
              <w:rPr>
                <w:rFonts w:ascii="Calibri" w:hAnsi="Calibri"/>
                <w:color w:val="1E293B"/>
                <w:sz w:val="20"/>
              </w:rPr>
              <w:t>Everything in Pro + unlimited plans, post-arrival compliance OS, AI assistant</w:t>
            </w:r>
          </w:p>
        </w:tc>
      </w:tr>
    </w:tbl>
    <w:p>
      <w:pPr>
        <w:spacing w:after="80"/>
      </w:pPr>
    </w:p>
    <w:p>
      <w:pPr>
        <w:spacing w:after="120" w:line="320" w:lineRule="exact"/>
      </w:pPr>
      <w:r>
        <w:rPr>
          <w:color w:val="1E293B"/>
          <w:sz w:val="22"/>
        </w:rPr>
        <w:t>Pro+ bundles: 3 months ($95), 6 months ($169), annual ($289).</w:t>
      </w:r>
    </w:p>
    <w:p>
      <w:pPr>
        <w:spacing w:after="120" w:line="320" w:lineRule="exact"/>
      </w:pPr>
      <w:r>
        <w:rPr>
          <w:b/>
          <w:color w:val="0F172A"/>
          <w:sz w:val="22"/>
        </w:rPr>
        <w:t xml:space="preserve">Why this pricing: </w:t>
      </w:r>
      <w:r>
        <w:rPr>
          <w:color w:val="1E293B"/>
          <w:sz w:val="22"/>
        </w:rPr>
        <w:t>A relocation agency costs $2,000–5,000. GoMate delivers 80% of the value at 5% of the price. $189 for Pro is less than a single hour of consultation — but you get a complete, AI-driven plan.</w:t>
      </w:r>
    </w:p>
    <w:p>
      <w:pPr>
        <w:spacing w:after="120" w:line="320" w:lineRule="exact"/>
      </w:pPr>
      <w:r>
        <w:rPr>
          <w:b/>
          <w:color w:val="0F172A"/>
          <w:sz w:val="22"/>
        </w:rPr>
        <w:t xml:space="preserve">Unit economics are strong: </w:t>
      </w:r>
      <w:r>
        <w:rPr>
          <w:color w:val="1E293B"/>
          <w:sz w:val="22"/>
        </w:rPr>
        <w:t>Marginal cost per user is LLM calls (~$0.50–1.50) + Firecrawl search (~$0.20–0.50). No human advisors, no manual research. Gross margin &gt;90%.</w:t>
      </w:r>
    </w:p>
    <w:tbl>
      <w:tblPr>
        <w:tblW w:type="auto" w:w="0"/>
        <w:jc w:val="center"/>
        <w:tblLook w:firstColumn="1" w:firstRow="1" w:lastColumn="0" w:lastRow="0" w:noHBand="0" w:noVBand="1" w:val="04A0"/>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2351"/>
        <w:gridCol w:w="2351"/>
        <w:gridCol w:w="2351"/>
        <w:gridCol w:w="2351"/>
      </w:tblGrid>
      <w:tr>
        <w:tc>
          <w:tcPr>
            <w:tcW w:type="dxa" w:w="2351"/>
            <w:shd w:fill="ECFDF5" w:val="clear"/>
          </w:tcPr>
          <w:p>
            <w:pPr>
              <w:jc w:val="center"/>
            </w:pPr>
            <w:r>
              <w:rPr>
                <w:rFonts w:ascii="Calibri" w:hAnsi="Calibri"/>
                <w:b/>
                <w:color w:val="22C55E"/>
                <w:sz w:val="44"/>
              </w:rPr>
              <w:t>&gt;90%</w:t>
            </w:r>
          </w:p>
        </w:tc>
        <w:tc>
          <w:tcPr>
            <w:tcW w:type="dxa" w:w="2351"/>
            <w:shd w:fill="ECFDF5" w:val="clear"/>
          </w:tcPr>
          <w:p>
            <w:pPr>
              <w:jc w:val="center"/>
            </w:pPr>
            <w:r>
              <w:rPr>
                <w:rFonts w:ascii="Calibri" w:hAnsi="Calibri"/>
                <w:b/>
                <w:color w:val="22C55E"/>
                <w:sz w:val="44"/>
              </w:rPr>
              <w:t>~$1–2</w:t>
            </w:r>
          </w:p>
        </w:tc>
        <w:tc>
          <w:tcPr>
            <w:tcW w:type="dxa" w:w="2351"/>
            <w:shd w:fill="ECFDF5" w:val="clear"/>
          </w:tcPr>
          <w:p>
            <w:pPr>
              <w:jc w:val="center"/>
            </w:pPr>
            <w:r>
              <w:rPr>
                <w:rFonts w:ascii="Calibri" w:hAnsi="Calibri"/>
                <w:b/>
                <w:color w:val="22C55E"/>
                <w:sz w:val="44"/>
              </w:rPr>
              <w:t>$189+</w:t>
            </w:r>
          </w:p>
        </w:tc>
        <w:tc>
          <w:tcPr>
            <w:tcW w:type="dxa" w:w="2351"/>
            <w:shd w:fill="ECFDF5" w:val="clear"/>
          </w:tcPr>
          <w:p>
            <w:pPr>
              <w:jc w:val="center"/>
            </w:pPr>
            <w:r>
              <w:rPr>
                <w:rFonts w:ascii="Calibri" w:hAnsi="Calibri"/>
                <w:b/>
                <w:color w:val="22C55E"/>
                <w:sz w:val="44"/>
              </w:rPr>
              <w:t>95x+</w:t>
            </w:r>
          </w:p>
        </w:tc>
      </w:tr>
      <w:tr>
        <w:tc>
          <w:tcPr>
            <w:tcW w:type="dxa" w:w="2351"/>
            <w:shd w:fill="ECFDF5" w:val="clear"/>
          </w:tcPr>
          <w:p>
            <w:pPr>
              <w:jc w:val="center"/>
            </w:pPr>
            <w:r>
              <w:rPr>
                <w:rFonts w:ascii="Calibri" w:hAnsi="Calibri"/>
                <w:color w:val="64748B"/>
                <w:sz w:val="18"/>
              </w:rPr>
              <w:t>Gross margin</w:t>
            </w:r>
          </w:p>
        </w:tc>
        <w:tc>
          <w:tcPr>
            <w:tcW w:type="dxa" w:w="2351"/>
            <w:shd w:fill="ECFDF5" w:val="clear"/>
          </w:tcPr>
          <w:p>
            <w:pPr>
              <w:jc w:val="center"/>
            </w:pPr>
            <w:r>
              <w:rPr>
                <w:rFonts w:ascii="Calibri" w:hAnsi="Calibri"/>
                <w:color w:val="64748B"/>
                <w:sz w:val="18"/>
              </w:rPr>
              <w:t>Cost per plan</w:t>
            </w:r>
          </w:p>
        </w:tc>
        <w:tc>
          <w:tcPr>
            <w:tcW w:type="dxa" w:w="2351"/>
            <w:shd w:fill="ECFDF5" w:val="clear"/>
          </w:tcPr>
          <w:p>
            <w:pPr>
              <w:jc w:val="center"/>
            </w:pPr>
            <w:r>
              <w:rPr>
                <w:rFonts w:ascii="Calibri" w:hAnsi="Calibri"/>
                <w:color w:val="64748B"/>
                <w:sz w:val="18"/>
              </w:rPr>
              <w:t>Revenue per user</w:t>
            </w:r>
          </w:p>
        </w:tc>
        <w:tc>
          <w:tcPr>
            <w:tcW w:type="dxa" w:w="2351"/>
            <w:shd w:fill="ECFDF5" w:val="clear"/>
          </w:tcPr>
          <w:p>
            <w:pPr>
              <w:jc w:val="center"/>
            </w:pPr>
            <w:r>
              <w:rPr>
                <w:rFonts w:ascii="Calibri" w:hAnsi="Calibri"/>
                <w:color w:val="64748B"/>
                <w:sz w:val="18"/>
              </w:rPr>
              <w:t>LTV/CAC potential</w:t>
            </w:r>
          </w:p>
        </w:tc>
      </w:tr>
    </w:tbl>
    <w:p>
      <w:pPr>
        <w:spacing w:after="80"/>
      </w:pPr>
    </w:p>
    <w:p>
      <w:pPr>
        <w:spacing w:before="560" w:after="120"/>
      </w:pPr>
      <w:r>
        <w:rPr>
          <w:b/>
          <w:color w:val="22C55E"/>
          <w:sz w:val="36"/>
        </w:rPr>
        <w:t xml:space="preserve">▌ </w:t>
      </w:r>
      <w:r>
        <w:rPr>
          <w:rFonts w:ascii="Calibri" w:hAnsi="Calibri"/>
          <w:b/>
          <w:color w:val="0F172A"/>
          <w:sz w:val="36"/>
        </w:rPr>
        <w:t>DISTRIBUTION</w:t>
      </w:r>
    </w:p>
    <w:p>
      <w:pPr>
        <w:spacing w:before="80" w:after="80"/>
      </w:pPr>
      <w:r>
        <w:rPr>
          <w:color w:val="22C55E"/>
          <w:sz w:val="12"/>
        </w:rPr>
        <w:t>━━━━━━━━━━━━━━━━━━━━━━━━━━━━━━━━━━━━━━━━━━━━━━━━━━━━━━━━━━━━</w:t>
      </w:r>
    </w:p>
    <w:p>
      <w:pPr>
        <w:spacing w:before="320" w:after="80"/>
      </w:pPr>
      <w:r>
        <w:rPr>
          <w:rFonts w:ascii="Calibri" w:hAnsi="Calibri"/>
          <w:b/>
          <w:color w:val="1B3A2D"/>
          <w:sz w:val="26"/>
        </w:rPr>
        <w:t>Growth Engine</w:t>
      </w:r>
    </w:p>
    <w:p>
      <w:pPr>
        <w:spacing w:after="120" w:line="320" w:lineRule="exact"/>
      </w:pPr>
      <w:r>
        <w:rPr>
          <w:color w:val="1E293B"/>
          <w:sz w:val="22"/>
        </w:rPr>
        <w:t>Every relocation plan we generate can become a structured, indexed guide. Over time, this creates thousands of high-intent landing pages — continuously updated with real user patterns — where every guide improves the next.</w:t>
      </w:r>
    </w:p>
    <w:tbl>
      <w:tblPr>
        <w:tblW w:type="auto" w:w="0"/>
        <w:jc w:val="center"/>
        <w:tblLook w:firstColumn="1" w:firstRow="1" w:lastColumn="0" w:lastRow="0" w:noHBand="0" w:noVBand="1" w:val="04A0"/>
      </w:tblPr>
      <w:tblGrid>
        <w:gridCol w:w="9406"/>
      </w:tblGrid>
      <w:tr>
        <w:tc>
          <w:tcPr>
            <w:tcW w:type="dxa" w:w="9406"/>
            <w:shd w:fill="ECFDF5" w:val="clear"/>
            <w:tcBorders>
              <w:left w:val="single" w:sz="24" w:color="22C55E" w:space="0"/>
              <w:top w:val="none" w:sz="0" w:color="auto" w:space="0"/>
              <w:bottom w:val="none" w:sz="0" w:color="auto" w:space="0"/>
              <w:right w:val="none" w:sz="0" w:color="auto" w:space="0"/>
            </w:tcBorders>
          </w:tcPr>
          <w:p>
            <w:pPr>
              <w:spacing w:after="80" w:before="80"/>
            </w:pPr>
            <w:r>
              <w:rPr>
                <w:rFonts w:ascii="Calibri" w:hAnsi="Calibri"/>
                <w:i/>
                <w:color w:val="1B3A2D"/>
                <w:sz w:val="24"/>
              </w:rPr>
              <w:t>This is not content.</w:t>
            </w:r>
          </w:p>
          <w:p>
            <w:pPr>
              <w:spacing w:after="80" w:before="80"/>
            </w:pPr>
            <w:r>
              <w:rPr>
                <w:rFonts w:ascii="Calibri" w:hAnsi="Calibri"/>
                <w:i/>
                <w:color w:val="1B3A2D"/>
                <w:sz w:val="24"/>
              </w:rPr>
              <w:t>It's a self-improving distribution engine.</w:t>
            </w:r>
          </w:p>
        </w:tc>
      </w:tr>
    </w:tbl>
    <w:p>
      <w:pPr>
        <w:spacing w:after="40"/>
      </w:pPr>
    </w:p>
    <w:p>
      <w:pPr>
        <w:spacing w:before="320" w:after="80"/>
      </w:pPr>
      <w:r>
        <w:rPr>
          <w:rFonts w:ascii="Calibri" w:hAnsi="Calibri"/>
          <w:b/>
          <w:color w:val="1B3A2D"/>
          <w:sz w:val="26"/>
        </w:rPr>
        <w:t>Phase 1: Organic + SEO (0–6 months)</w:t>
      </w:r>
    </w:p>
    <w:p>
      <w:pPr>
        <w:spacing w:after="120" w:line="320" w:lineRule="exact"/>
      </w:pPr>
      <w:r>
        <w:rPr>
          <w:b/>
          <w:color w:val="0F172A"/>
          <w:sz w:val="22"/>
        </w:rPr>
        <w:t xml:space="preserve">Country-specific guides as SEO magnets. </w:t>
      </w:r>
      <w:r>
        <w:rPr>
          <w:color w:val="1E293B"/>
          <w:sz w:val="22"/>
        </w:rPr>
        <w:t>GoMate already generates 15+ section guides for every country-destination combination. Publish the best as standalone landing pages: "Moving to Spain from the UK — complete guide 2026." Every guide is a top-of-funnel leading to signup.</w:t>
      </w:r>
    </w:p>
    <w:p>
      <w:pPr>
        <w:spacing w:after="120" w:line="320" w:lineRule="exact"/>
      </w:pPr>
      <w:r>
        <w:rPr>
          <w:b/>
          <w:color w:val="0F172A"/>
          <w:sz w:val="22"/>
        </w:rPr>
        <w:t xml:space="preserve">Expat communities. </w:t>
      </w:r>
      <w:r>
        <w:rPr>
          <w:color w:val="1E293B"/>
          <w:sz w:val="22"/>
        </w:rPr>
        <w:t>Reddit (r/expats, r/digitalnomad, r/IWantOut), Facebook groups, InterNations. Not spam — genuine presence with answers that demonstrate the product's depth.</w:t>
      </w:r>
    </w:p>
    <w:p>
      <w:pPr>
        <w:spacing w:after="120" w:line="320" w:lineRule="exact"/>
      </w:pPr>
      <w:r>
        <w:rPr>
          <w:b/>
          <w:color w:val="0F172A"/>
          <w:sz w:val="22"/>
        </w:rPr>
        <w:t xml:space="preserve">Content on TikTok/YouTube. </w:t>
      </w:r>
      <w:r>
        <w:rPr>
          <w:color w:val="1E293B"/>
          <w:sz w:val="22"/>
        </w:rPr>
        <w:t>Short videos: "3 deadlines you MUST NOT miss when moving to Germany." Relocation content has high engagement and low competition.</w:t>
      </w:r>
    </w:p>
    <w:p>
      <w:pPr>
        <w:spacing w:before="320" w:after="80"/>
      </w:pPr>
      <w:r>
        <w:rPr>
          <w:rFonts w:ascii="Calibri" w:hAnsi="Calibri"/>
          <w:b/>
          <w:color w:val="1B3A2D"/>
          <w:sz w:val="26"/>
        </w:rPr>
        <w:t>Phase 2: Partnerships (6–12 months)</w:t>
      </w:r>
    </w:p>
    <w:p>
      <w:pPr>
        <w:spacing w:after="120" w:line="320" w:lineRule="exact"/>
      </w:pPr>
      <w:r>
        <w:rPr>
          <w:b/>
          <w:color w:val="0F172A"/>
          <w:sz w:val="22"/>
        </w:rPr>
        <w:t xml:space="preserve">Expat platforms. </w:t>
      </w:r>
      <w:r>
        <w:rPr>
          <w:color w:val="1E293B"/>
          <w:sz w:val="22"/>
        </w:rPr>
        <w:t>Integration with InterNations, Expatica, or similar — "Powered by GoMate compliance tracking."</w:t>
      </w:r>
    </w:p>
    <w:p>
      <w:pPr>
        <w:spacing w:after="120" w:line="320" w:lineRule="exact"/>
      </w:pPr>
      <w:r>
        <w:rPr>
          <w:b/>
          <w:color w:val="0F172A"/>
          <w:sz w:val="22"/>
        </w:rPr>
        <w:t xml:space="preserve">Companies with international hires. </w:t>
      </w:r>
      <w:r>
        <w:rPr>
          <w:color w:val="1E293B"/>
          <w:sz w:val="22"/>
        </w:rPr>
        <w:t>Small businesses that can't afford relocation agencies but hire internationally. GoMate as the onboarding tool for new hires.</w:t>
      </w:r>
    </w:p>
    <w:p>
      <w:pPr>
        <w:spacing w:after="120" w:line="320" w:lineRule="exact"/>
      </w:pPr>
      <w:r>
        <w:rPr>
          <w:b/>
          <w:color w:val="0F172A"/>
          <w:sz w:val="22"/>
        </w:rPr>
        <w:t xml:space="preserve">Government agencies and educational institutions. </w:t>
      </w:r>
      <w:r>
        <w:rPr>
          <w:color w:val="1E293B"/>
          <w:sz w:val="22"/>
        </w:rPr>
        <w:t>Universities with international students. Migration organizations. GoMate as a "recommended tool."</w:t>
      </w:r>
    </w:p>
    <w:p>
      <w:pPr>
        <w:spacing w:before="320" w:after="80"/>
      </w:pPr>
      <w:r>
        <w:rPr>
          <w:rFonts w:ascii="Calibri" w:hAnsi="Calibri"/>
          <w:b/>
          <w:color w:val="1B3A2D"/>
          <w:sz w:val="26"/>
        </w:rPr>
        <w:t>Phase 3: Platform Expansion (12+ months)</w:t>
      </w:r>
    </w:p>
    <w:p>
      <w:pPr>
        <w:spacing w:after="120" w:line="320" w:lineRule="exact"/>
      </w:pPr>
      <w:r>
        <w:rPr>
          <w:color w:val="1E293B"/>
          <w:sz w:val="22"/>
        </w:rPr>
        <w:t>Every completed relocation generates data about what works in which countries. This data makes the next user's plan better — a data flywheel that accelerates over time.</w:t>
      </w:r>
    </w:p>
    <w:p>
      <w:r>
        <w:br w:type="page"/>
      </w:r>
    </w:p>
    <w:p>
      <w:pPr>
        <w:spacing w:before="560" w:after="120"/>
      </w:pPr>
      <w:r>
        <w:rPr>
          <w:b/>
          <w:color w:val="22C55E"/>
          <w:sz w:val="36"/>
        </w:rPr>
        <w:t xml:space="preserve">▌ </w:t>
      </w:r>
      <w:r>
        <w:rPr>
          <w:rFonts w:ascii="Calibri" w:hAnsi="Calibri"/>
          <w:b/>
          <w:color w:val="0F172A"/>
          <w:sz w:val="36"/>
        </w:rPr>
        <w:t>MARKET</w:t>
      </w:r>
    </w:p>
    <w:p>
      <w:pPr>
        <w:spacing w:before="80" w:after="80"/>
      </w:pPr>
      <w:r>
        <w:rPr>
          <w:color w:val="22C55E"/>
          <w:sz w:val="12"/>
        </w:rPr>
        <w:t>━━━━━━━━━━━━━━━━━━━━━━━━━━━━━━━━━━━━━━━━━━━━━━━━━━━━━━━━━━━━</w:t>
      </w:r>
    </w:p>
    <w:tbl>
      <w:tblPr>
        <w:tblW w:type="auto" w:w="0"/>
        <w:jc w:val="center"/>
        <w:tblLook w:firstColumn="1" w:firstRow="1" w:lastColumn="0" w:lastRow="0" w:noHBand="0" w:noVBand="1" w:val="04A0"/>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2351"/>
        <w:gridCol w:w="2351"/>
        <w:gridCol w:w="2351"/>
        <w:gridCol w:w="2351"/>
      </w:tblGrid>
      <w:tr>
        <w:tc>
          <w:tcPr>
            <w:tcW w:type="dxa" w:w="2351"/>
            <w:shd w:fill="ECFDF5" w:val="clear"/>
          </w:tcPr>
          <w:p>
            <w:pPr>
              <w:jc w:val="center"/>
            </w:pPr>
            <w:r>
              <w:rPr>
                <w:rFonts w:ascii="Calibri" w:hAnsi="Calibri"/>
                <w:b/>
                <w:color w:val="22C55E"/>
                <w:sz w:val="44"/>
              </w:rPr>
              <w:t>3M+</w:t>
            </w:r>
          </w:p>
        </w:tc>
        <w:tc>
          <w:tcPr>
            <w:tcW w:type="dxa" w:w="2351"/>
            <w:shd w:fill="ECFDF5" w:val="clear"/>
          </w:tcPr>
          <w:p>
            <w:pPr>
              <w:jc w:val="center"/>
            </w:pPr>
            <w:r>
              <w:rPr>
                <w:rFonts w:ascii="Calibri" w:hAnsi="Calibri"/>
                <w:b/>
                <w:color w:val="22C55E"/>
                <w:sz w:val="44"/>
              </w:rPr>
              <w:t>$20B+</w:t>
            </w:r>
          </w:p>
        </w:tc>
        <w:tc>
          <w:tcPr>
            <w:tcW w:type="dxa" w:w="2351"/>
            <w:shd w:fill="ECFDF5" w:val="clear"/>
          </w:tcPr>
          <w:p>
            <w:pPr>
              <w:jc w:val="center"/>
            </w:pPr>
            <w:r>
              <w:rPr>
                <w:rFonts w:ascii="Calibri" w:hAnsi="Calibri"/>
                <w:b/>
                <w:color w:val="22C55E"/>
                <w:sz w:val="44"/>
              </w:rPr>
              <w:t>50+</w:t>
            </w:r>
          </w:p>
        </w:tc>
        <w:tc>
          <w:tcPr>
            <w:tcW w:type="dxa" w:w="2351"/>
            <w:shd w:fill="ECFDF5" w:val="clear"/>
          </w:tcPr>
          <w:p>
            <w:pPr>
              <w:jc w:val="center"/>
            </w:pPr>
            <w:r>
              <w:rPr>
                <w:rFonts w:ascii="Calibri" w:hAnsi="Calibri"/>
                <w:b/>
                <w:color w:val="22C55E"/>
                <w:sz w:val="44"/>
              </w:rPr>
              <w:t>20%+</w:t>
            </w:r>
          </w:p>
        </w:tc>
      </w:tr>
      <w:tr>
        <w:tc>
          <w:tcPr>
            <w:tcW w:type="dxa" w:w="2351"/>
            <w:shd w:fill="ECFDF5" w:val="clear"/>
          </w:tcPr>
          <w:p>
            <w:pPr>
              <w:jc w:val="center"/>
            </w:pPr>
            <w:r>
              <w:rPr>
                <w:rFonts w:ascii="Calibri" w:hAnsi="Calibri"/>
                <w:color w:val="64748B"/>
                <w:sz w:val="18"/>
              </w:rPr>
              <w:t>Relocations/year (OECD)</w:t>
            </w:r>
          </w:p>
        </w:tc>
        <w:tc>
          <w:tcPr>
            <w:tcW w:type="dxa" w:w="2351"/>
            <w:shd w:fill="ECFDF5" w:val="clear"/>
          </w:tcPr>
          <w:p>
            <w:pPr>
              <w:jc w:val="center"/>
            </w:pPr>
            <w:r>
              <w:rPr>
                <w:rFonts w:ascii="Calibri" w:hAnsi="Calibri"/>
                <w:color w:val="64748B"/>
                <w:sz w:val="18"/>
              </w:rPr>
              <w:t>Global relocation market</w:t>
            </w:r>
          </w:p>
        </w:tc>
        <w:tc>
          <w:tcPr>
            <w:tcW w:type="dxa" w:w="2351"/>
            <w:shd w:fill="ECFDF5" w:val="clear"/>
          </w:tcPr>
          <w:p>
            <w:pPr>
              <w:jc w:val="center"/>
            </w:pPr>
            <w:r>
              <w:rPr>
                <w:rFonts w:ascii="Calibri" w:hAnsi="Calibri"/>
                <w:color w:val="64748B"/>
                <w:sz w:val="18"/>
              </w:rPr>
              <w:t>Countries with nomad visas</w:t>
            </w:r>
          </w:p>
        </w:tc>
        <w:tc>
          <w:tcPr>
            <w:tcW w:type="dxa" w:w="2351"/>
            <w:shd w:fill="ECFDF5" w:val="clear"/>
          </w:tcPr>
          <w:p>
            <w:pPr>
              <w:jc w:val="center"/>
            </w:pPr>
            <w:r>
              <w:rPr>
                <w:rFonts w:ascii="Calibri" w:hAnsi="Calibri"/>
                <w:color w:val="64748B"/>
                <w:sz w:val="18"/>
              </w:rPr>
              <w:t>Annual nomad market growth</w:t>
            </w:r>
          </w:p>
        </w:tc>
      </w:tr>
    </w:tbl>
    <w:p>
      <w:pPr>
        <w:spacing w:after="80"/>
      </w:pPr>
    </w:p>
    <w:tbl>
      <w:tblPr>
        <w:tblW w:type="auto" w:w="0"/>
        <w:jc w:val="center"/>
        <w:tblLayout w:type="autofit"/>
        <w:tblLook w:firstColumn="1" w:firstRow="1" w:lastColumn="0" w:lastRow="0" w:noHBand="0" w:noVBand="1" w:val="04A0"/>
        <w:tblBorders>
          <w:top w:val="single" w:sz="4" w:color="E2E8F0" w:space="0"/>
          <w:left w:val="single" w:sz="4" w:color="E2E8F0" w:space="0"/>
          <w:bottom w:val="single" w:sz="4" w:color="E2E8F0" w:space="0"/>
          <w:right w:val="single" w:sz="4" w:color="E2E8F0" w:space="0"/>
          <w:insideH w:val="single" w:sz="4" w:color="E2E8F0" w:space="0"/>
          <w:insideV w:val="single" w:sz="4" w:color="E2E8F0" w:space="0"/>
        </w:tblBorders>
      </w:tblPr>
      <w:tblGrid>
        <w:gridCol w:w="4703"/>
        <w:gridCol w:w="4703"/>
      </w:tblGrid>
      <w:tr>
        <w:tc>
          <w:tcPr>
            <w:tcW w:type="dxa" w:w="4703"/>
            <w:shd w:fill="1B3A2D" w:val="clear"/>
          </w:tcPr>
          <w:p>
            <w:pPr>
              <w:jc w:val="left"/>
            </w:pPr>
            <w:r>
              <w:rPr>
                <w:rFonts w:ascii="Calibri" w:hAnsi="Calibri"/>
                <w:b/>
                <w:color w:val="FFFFFF"/>
                <w:sz w:val="20"/>
              </w:rPr>
              <w:t>Alternative</w:t>
            </w:r>
          </w:p>
        </w:tc>
        <w:tc>
          <w:tcPr>
            <w:tcW w:type="dxa" w:w="4703"/>
            <w:shd w:fill="1B3A2D" w:val="clear"/>
          </w:tcPr>
          <w:p>
            <w:pPr>
              <w:jc w:val="left"/>
            </w:pPr>
            <w:r>
              <w:rPr>
                <w:rFonts w:ascii="Calibri" w:hAnsi="Calibri"/>
                <w:b/>
                <w:color w:val="FFFFFF"/>
                <w:sz w:val="20"/>
              </w:rPr>
              <w:t>Problem</w:t>
            </w:r>
          </w:p>
        </w:tc>
      </w:tr>
      <w:tr>
        <w:tc>
          <w:tcPr>
            <w:tcW w:type="dxa" w:w="4703"/>
            <w:shd w:fill="FFFFFF" w:val="clear"/>
          </w:tcPr>
          <w:p>
            <w:r>
              <w:rPr>
                <w:rFonts w:ascii="Calibri" w:hAnsi="Calibri"/>
                <w:b/>
                <w:color w:val="0F172A"/>
                <w:sz w:val="20"/>
              </w:rPr>
              <w:t>Relocation agencies</w:t>
            </w:r>
          </w:p>
        </w:tc>
        <w:tc>
          <w:tcPr>
            <w:tcW w:type="dxa" w:w="4703"/>
            <w:shd w:fill="FFFFFF" w:val="clear"/>
          </w:tcPr>
          <w:p>
            <w:r>
              <w:rPr>
                <w:rFonts w:ascii="Calibri" w:hAnsi="Calibri"/>
                <w:color w:val="1E293B"/>
                <w:sz w:val="20"/>
              </w:rPr>
              <w:t>$2,000–5,000, focused on corporations</w:t>
            </w:r>
          </w:p>
        </w:tc>
      </w:tr>
      <w:tr>
        <w:tc>
          <w:tcPr>
            <w:tcW w:type="dxa" w:w="4703"/>
            <w:shd w:fill="F1F5F9" w:val="clear"/>
          </w:tcPr>
          <w:p>
            <w:r>
              <w:rPr>
                <w:rFonts w:ascii="Calibri" w:hAnsi="Calibri"/>
                <w:b/>
                <w:color w:val="0F172A"/>
                <w:sz w:val="20"/>
              </w:rPr>
              <w:t>Expat forums</w:t>
            </w:r>
          </w:p>
        </w:tc>
        <w:tc>
          <w:tcPr>
            <w:tcW w:type="dxa" w:w="4703"/>
            <w:shd w:fill="F1F5F9" w:val="clear"/>
          </w:tcPr>
          <w:p>
            <w:r>
              <w:rPr>
                <w:rFonts w:ascii="Calibri" w:hAnsi="Calibri"/>
                <w:color w:val="1E293B"/>
                <w:sz w:val="20"/>
              </w:rPr>
              <w:t>Anecdotal, unstructured, impersonal</w:t>
            </w:r>
          </w:p>
        </w:tc>
      </w:tr>
      <w:tr>
        <w:tc>
          <w:tcPr>
            <w:tcW w:type="dxa" w:w="4703"/>
            <w:shd w:fill="FFFFFF" w:val="clear"/>
          </w:tcPr>
          <w:p>
            <w:r>
              <w:rPr>
                <w:rFonts w:ascii="Calibri" w:hAnsi="Calibri"/>
                <w:b/>
                <w:color w:val="0F172A"/>
                <w:sz w:val="20"/>
              </w:rPr>
              <w:t>Generic guides</w:t>
            </w:r>
          </w:p>
        </w:tc>
        <w:tc>
          <w:tcPr>
            <w:tcW w:type="dxa" w:w="4703"/>
            <w:shd w:fill="FFFFFF" w:val="clear"/>
          </w:tcPr>
          <w:p>
            <w:r>
              <w:rPr>
                <w:rFonts w:ascii="Calibri" w:hAnsi="Calibri"/>
                <w:color w:val="1E293B"/>
                <w:sz w:val="20"/>
              </w:rPr>
              <w:t>Not personalized, quickly outdated</w:t>
            </w:r>
          </w:p>
        </w:tc>
      </w:tr>
      <w:tr>
        <w:tc>
          <w:tcPr>
            <w:tcW w:type="dxa" w:w="4703"/>
            <w:shd w:fill="F1F5F9" w:val="clear"/>
          </w:tcPr>
          <w:p>
            <w:r>
              <w:rPr>
                <w:rFonts w:ascii="Calibri" w:hAnsi="Calibri"/>
                <w:b/>
                <w:color w:val="0F172A"/>
                <w:sz w:val="20"/>
              </w:rPr>
              <w:t>ChatGPT directly</w:t>
            </w:r>
          </w:p>
        </w:tc>
        <w:tc>
          <w:tcPr>
            <w:tcW w:type="dxa" w:w="4703"/>
            <w:shd w:fill="F1F5F9" w:val="clear"/>
          </w:tcPr>
          <w:p>
            <w:r>
              <w:rPr>
                <w:rFonts w:ascii="Calibri" w:hAnsi="Calibri"/>
                <w:color w:val="1E293B"/>
                <w:sz w:val="20"/>
              </w:rPr>
              <w:t>Hallucinates, no compliance tracking, no web grounding</w:t>
            </w:r>
          </w:p>
        </w:tc>
      </w:tr>
    </w:tbl>
    <w:p>
      <w:pPr>
        <w:spacing w:after="80"/>
      </w:pPr>
    </w:p>
    <w:p>
      <w:pPr>
        <w:spacing w:after="120" w:line="320" w:lineRule="exact"/>
      </w:pPr>
      <w:r>
        <w:rPr>
          <w:color w:val="1E293B"/>
          <w:sz w:val="22"/>
        </w:rPr>
        <w:t>GoMate is the first service that gives individuals access to personalized relocation intelligence with compliance tracking — at a fraction of the cost.</w:t>
      </w:r>
    </w:p>
    <w:p>
      <w:pPr>
        <w:spacing w:before="560" w:after="120"/>
      </w:pPr>
      <w:r>
        <w:rPr>
          <w:b/>
          <w:color w:val="22C55E"/>
          <w:sz w:val="36"/>
        </w:rPr>
        <w:t xml:space="preserve">▌ </w:t>
      </w:r>
      <w:r>
        <w:rPr>
          <w:rFonts w:ascii="Calibri" w:hAnsi="Calibri"/>
          <w:b/>
          <w:color w:val="0F172A"/>
          <w:sz w:val="36"/>
        </w:rPr>
        <w:t>TEAM</w:t>
      </w:r>
    </w:p>
    <w:p>
      <w:pPr>
        <w:spacing w:before="80" w:after="80"/>
      </w:pPr>
      <w:r>
        <w:rPr>
          <w:color w:val="22C55E"/>
          <w:sz w:val="12"/>
        </w:rPr>
        <w:t>━━━━━━━━━━━━━━━━━━━━━━━━━━━━━━━━━━━━━━━━━━━━━━━━━━━━━━━━━━━━</w:t>
      </w:r>
    </w:p>
    <w:p>
      <w:pPr>
        <w:spacing w:after="120" w:line="320" w:lineRule="exact"/>
      </w:pPr>
      <w:r>
        <w:rPr>
          <w:b/>
          <w:color w:val="0F172A"/>
          <w:sz w:val="22"/>
        </w:rPr>
        <w:t>Axel — Product, System Design &amp; AI Engineering</w:t>
      </w:r>
      <w:r>
        <w:rPr>
          <w:color w:val="1E293B"/>
          <w:sz w:val="22"/>
        </w:rPr>
      </w:r>
    </w:p>
    <w:p>
      <w:pPr>
        <w:spacing w:after="120" w:line="320" w:lineRule="exact"/>
      </w:pPr>
      <w:r>
        <w:rPr>
          <w:color w:val="1E293B"/>
          <w:sz w:val="22"/>
        </w:rPr>
        <w:t>Not a programmer — a problem solver. Understands systems, how they're expected to work, and what the output should look like. Finds abstract solutions to complex problems. Built all of GoMate — architecture, compliance engine, research pipeline, 24 system definitions, engineering contracts — using AI as the tool. Uses ChatGPT for system design and Claude Code for implementation, governed through detailed contracts and specifications. Background in scaling GTM systems, SEO/AEO infrastructure, and onboarding processes for sales and marketing teams.</w:t>
      </w:r>
    </w:p>
    <w:p>
      <w:pPr>
        <w:spacing w:after="120" w:line="320" w:lineRule="exact"/>
      </w:pPr>
      <w:r>
        <w:rPr>
          <w:b/>
          <w:color w:val="0F172A"/>
          <w:sz w:val="22"/>
        </w:rPr>
        <w:t>Roselle — Design &amp; User Experience</w:t>
      </w:r>
      <w:r>
        <w:rPr>
          <w:color w:val="1E293B"/>
          <w:sz w:val="22"/>
        </w:rPr>
      </w:r>
    </w:p>
    <w:p>
      <w:pPr>
        <w:spacing w:after="120" w:line="320" w:lineRule="exact"/>
      </w:pPr>
      <w:r>
        <w:rPr>
          <w:color w:val="1E293B"/>
          <w:sz w:val="22"/>
        </w:rPr>
        <w:t>Trained teacher with a background as Virtual Assistant and Executive Assistant. Designs all of GoMate's user flows — taking a chaotic problem and making it navigable. The teaching background gives the ability to take something complex and make it understandable. Operational experience from the EA role provides deep understanding of complex processes, deadlines, and workflows — exactly what GoMate's UX demands.</w:t>
      </w:r>
    </w:p>
    <w:tbl>
      <w:tblPr>
        <w:tblW w:type="auto" w:w="0"/>
        <w:jc w:val="center"/>
        <w:tblLook w:firstColumn="1" w:firstRow="1" w:lastColumn="0" w:lastRow="0" w:noHBand="0" w:noVBand="1" w:val="04A0"/>
      </w:tblPr>
      <w:tblGrid>
        <w:gridCol w:w="9406"/>
      </w:tblGrid>
      <w:tr>
        <w:tc>
          <w:tcPr>
            <w:tcW w:type="dxa" w:w="9406"/>
            <w:shd w:fill="ECFDF5" w:val="clear"/>
            <w:tcBorders>
              <w:left w:val="single" w:sz="24" w:color="22C55E" w:space="0"/>
              <w:top w:val="none" w:sz="0" w:color="auto" w:space="0"/>
              <w:bottom w:val="none" w:sz="0" w:color="auto" w:space="0"/>
              <w:right w:val="none" w:sz="0" w:color="auto" w:space="0"/>
            </w:tcBorders>
          </w:tcPr>
          <w:p>
            <w:pPr>
              <w:spacing w:after="80" w:before="80"/>
            </w:pPr>
            <w:r>
              <w:rPr>
                <w:rFonts w:ascii="Calibri" w:hAnsi="Calibri"/>
                <w:i/>
                <w:color w:val="1B3A2D"/>
                <w:sz w:val="24"/>
              </w:rPr>
              <w:t>We didn't start with a market thesis.</w:t>
            </w:r>
          </w:p>
          <w:p>
            <w:pPr>
              <w:spacing w:after="80" w:before="80"/>
            </w:pPr>
            <w:r>
              <w:rPr>
                <w:rFonts w:ascii="Calibri" w:hAnsi="Calibri"/>
                <w:i/>
                <w:color w:val="1B3A2D"/>
                <w:sz w:val="24"/>
              </w:rPr>
              <w:t>We started with a real cross-border relocation</w:t>
            </w:r>
          </w:p>
          <w:p>
            <w:pPr>
              <w:spacing w:after="80" w:before="80"/>
            </w:pPr>
            <w:r>
              <w:rPr>
                <w:rFonts w:ascii="Calibri" w:hAnsi="Calibri"/>
                <w:i/>
                <w:color w:val="1B3A2D"/>
                <w:sz w:val="24"/>
              </w:rPr>
              <w:t>between Sweden and the Philippines —</w:t>
            </w:r>
          </w:p>
          <w:p>
            <w:pPr>
              <w:spacing w:after="80" w:before="80"/>
            </w:pPr>
            <w:r>
              <w:rPr>
                <w:rFonts w:ascii="Calibri" w:hAnsi="Calibri"/>
                <w:i/>
                <w:color w:val="1B3A2D"/>
                <w:sz w:val="24"/>
              </w:rPr>
              <w:t>and built the tool we couldn't find.</w:t>
            </w:r>
          </w:p>
        </w:tc>
      </w:tr>
    </w:tbl>
    <w:p>
      <w:pPr>
        <w:spacing w:after="40"/>
      </w:pPr>
    </w:p>
    <w:p>
      <w:pPr>
        <w:spacing w:before="560" w:after="120"/>
      </w:pPr>
      <w:r>
        <w:rPr>
          <w:b/>
          <w:color w:val="22C55E"/>
          <w:sz w:val="36"/>
        </w:rPr>
        <w:t xml:space="preserve">▌ </w:t>
      </w:r>
      <w:r>
        <w:rPr>
          <w:rFonts w:ascii="Calibri" w:hAnsi="Calibri"/>
          <w:b/>
          <w:color w:val="0F172A"/>
          <w:sz w:val="36"/>
        </w:rPr>
        <w:t>TECHNOLOGY</w:t>
      </w:r>
    </w:p>
    <w:p>
      <w:pPr>
        <w:spacing w:before="80" w:after="80"/>
      </w:pPr>
      <w:r>
        <w:rPr>
          <w:color w:val="22C55E"/>
          <w:sz w:val="12"/>
        </w:rPr>
        <w:t>━━━━━━━━━━━━━━━━━━━━━━━━━━━━━━━━━━━━━━━━━━━━━━━━━━━━━━━━━━━━</w:t>
      </w:r>
    </w:p>
    <w:tbl>
      <w:tblPr>
        <w:tblW w:type="auto" w:w="0"/>
        <w:jc w:val="center"/>
        <w:tblLayout w:type="autofit"/>
        <w:tblLook w:firstColumn="1" w:firstRow="1" w:lastColumn="0" w:lastRow="0" w:noHBand="0" w:noVBand="1" w:val="04A0"/>
        <w:tblBorders>
          <w:top w:val="single" w:sz="4" w:color="E2E8F0" w:space="0"/>
          <w:left w:val="single" w:sz="4" w:color="E2E8F0" w:space="0"/>
          <w:bottom w:val="single" w:sz="4" w:color="E2E8F0" w:space="0"/>
          <w:right w:val="single" w:sz="4" w:color="E2E8F0" w:space="0"/>
          <w:insideH w:val="single" w:sz="4" w:color="E2E8F0" w:space="0"/>
          <w:insideV w:val="single" w:sz="4" w:color="E2E8F0" w:space="0"/>
        </w:tblBorders>
      </w:tblPr>
      <w:tblGrid>
        <w:gridCol w:w="4703"/>
        <w:gridCol w:w="4703"/>
      </w:tblGrid>
      <w:tr>
        <w:tc>
          <w:tcPr>
            <w:tcW w:type="dxa" w:w="4703"/>
            <w:shd w:fill="1B3A2D" w:val="clear"/>
          </w:tcPr>
          <w:p>
            <w:pPr>
              <w:jc w:val="left"/>
            </w:pPr>
            <w:r>
              <w:rPr>
                <w:rFonts w:ascii="Calibri" w:hAnsi="Calibri"/>
                <w:b/>
                <w:color w:val="FFFFFF"/>
                <w:sz w:val="20"/>
              </w:rPr>
              <w:t>Layer</w:t>
            </w:r>
          </w:p>
        </w:tc>
        <w:tc>
          <w:tcPr>
            <w:tcW w:type="dxa" w:w="4703"/>
            <w:shd w:fill="1B3A2D" w:val="clear"/>
          </w:tcPr>
          <w:p>
            <w:pPr>
              <w:jc w:val="left"/>
            </w:pPr>
            <w:r>
              <w:rPr>
                <w:rFonts w:ascii="Calibri" w:hAnsi="Calibri"/>
                <w:b/>
                <w:color w:val="FFFFFF"/>
                <w:sz w:val="20"/>
              </w:rPr>
              <w:t>Technology</w:t>
            </w:r>
          </w:p>
        </w:tc>
      </w:tr>
      <w:tr>
        <w:tc>
          <w:tcPr>
            <w:tcW w:type="dxa" w:w="4703"/>
            <w:shd w:fill="FFFFFF" w:val="clear"/>
          </w:tcPr>
          <w:p>
            <w:r>
              <w:rPr>
                <w:rFonts w:ascii="Calibri" w:hAnsi="Calibri"/>
                <w:b/>
                <w:color w:val="0F172A"/>
                <w:sz w:val="20"/>
              </w:rPr>
              <w:t>Frontend</w:t>
            </w:r>
          </w:p>
        </w:tc>
        <w:tc>
          <w:tcPr>
            <w:tcW w:type="dxa" w:w="4703"/>
            <w:shd w:fill="FFFFFF" w:val="clear"/>
          </w:tcPr>
          <w:p>
            <w:r>
              <w:rPr>
                <w:rFonts w:ascii="Calibri" w:hAnsi="Calibri"/>
                <w:color w:val="1E293B"/>
                <w:sz w:val="20"/>
              </w:rPr>
              <w:t>Next.js 16, React 19, Tailwind CSS, shadcn/ui</w:t>
            </w:r>
          </w:p>
        </w:tc>
      </w:tr>
      <w:tr>
        <w:tc>
          <w:tcPr>
            <w:tcW w:type="dxa" w:w="4703"/>
            <w:shd w:fill="F1F5F9" w:val="clear"/>
          </w:tcPr>
          <w:p>
            <w:r>
              <w:rPr>
                <w:rFonts w:ascii="Calibri" w:hAnsi="Calibri"/>
                <w:b/>
                <w:color w:val="0F172A"/>
                <w:sz w:val="20"/>
              </w:rPr>
              <w:t>Backend</w:t>
            </w:r>
          </w:p>
        </w:tc>
        <w:tc>
          <w:tcPr>
            <w:tcW w:type="dxa" w:w="4703"/>
            <w:shd w:fill="F1F5F9" w:val="clear"/>
          </w:tcPr>
          <w:p>
            <w:r>
              <w:rPr>
                <w:rFonts w:ascii="Calibri" w:hAnsi="Calibri"/>
                <w:color w:val="1E293B"/>
                <w:sz w:val="20"/>
              </w:rPr>
              <w:t>Vercel serverless, Supabase (PostgreSQL + auth)</w:t>
            </w:r>
          </w:p>
        </w:tc>
      </w:tr>
      <w:tr>
        <w:tc>
          <w:tcPr>
            <w:tcW w:type="dxa" w:w="4703"/>
            <w:shd w:fill="FFFFFF" w:val="clear"/>
          </w:tcPr>
          <w:p>
            <w:r>
              <w:rPr>
                <w:rFonts w:ascii="Calibri" w:hAnsi="Calibri"/>
                <w:b/>
                <w:color w:val="0F172A"/>
                <w:sz w:val="20"/>
              </w:rPr>
              <w:t>AI — chat &amp; extraction</w:t>
            </w:r>
          </w:p>
        </w:tc>
        <w:tc>
          <w:tcPr>
            <w:tcW w:type="dxa" w:w="4703"/>
            <w:shd w:fill="FFFFFF" w:val="clear"/>
          </w:tcPr>
          <w:p>
            <w:r>
              <w:rPr>
                <w:rFonts w:ascii="Calibri" w:hAnsi="Calibri"/>
                <w:color w:val="1E293B"/>
                <w:sz w:val="20"/>
              </w:rPr>
              <w:t>GPT-4o via OpenRouter</w:t>
            </w:r>
          </w:p>
        </w:tc>
      </w:tr>
      <w:tr>
        <w:tc>
          <w:tcPr>
            <w:tcW w:type="dxa" w:w="4703"/>
            <w:shd w:fill="F1F5F9" w:val="clear"/>
          </w:tcPr>
          <w:p>
            <w:r>
              <w:rPr>
                <w:rFonts w:ascii="Calibri" w:hAnsi="Calibri"/>
                <w:b/>
                <w:color w:val="0F172A"/>
                <w:sz w:val="20"/>
              </w:rPr>
              <w:t>AI — generation &amp; research</w:t>
            </w:r>
          </w:p>
        </w:tc>
        <w:tc>
          <w:tcPr>
            <w:tcW w:type="dxa" w:w="4703"/>
            <w:shd w:fill="F1F5F9" w:val="clear"/>
          </w:tcPr>
          <w:p>
            <w:r>
              <w:rPr>
                <w:rFonts w:ascii="Calibri" w:hAnsi="Calibri"/>
                <w:color w:val="1E293B"/>
                <w:sz w:val="20"/>
              </w:rPr>
              <w:t>Claude Sonnet 4 via OpenRouter</w:t>
            </w:r>
          </w:p>
        </w:tc>
      </w:tr>
      <w:tr>
        <w:tc>
          <w:tcPr>
            <w:tcW w:type="dxa" w:w="4703"/>
            <w:shd w:fill="FFFFFF" w:val="clear"/>
          </w:tcPr>
          <w:p>
            <w:r>
              <w:rPr>
                <w:rFonts w:ascii="Calibri" w:hAnsi="Calibri"/>
                <w:b/>
                <w:color w:val="0F172A"/>
                <w:sz w:val="20"/>
              </w:rPr>
              <w:t>Web research</w:t>
            </w:r>
          </w:p>
        </w:tc>
        <w:tc>
          <w:tcPr>
            <w:tcW w:type="dxa" w:w="4703"/>
            <w:shd w:fill="FFFFFF" w:val="clear"/>
          </w:tcPr>
          <w:p>
            <w:r>
              <w:rPr>
                <w:rFonts w:ascii="Calibri" w:hAnsi="Calibri"/>
                <w:color w:val="1E293B"/>
                <w:sz w:val="20"/>
              </w:rPr>
              <w:t>Firecrawl (search + scrape)</w:t>
            </w:r>
          </w:p>
        </w:tc>
      </w:tr>
      <w:tr>
        <w:tc>
          <w:tcPr>
            <w:tcW w:type="dxa" w:w="4703"/>
            <w:shd w:fill="F1F5F9" w:val="clear"/>
          </w:tcPr>
          <w:p>
            <w:r>
              <w:rPr>
                <w:rFonts w:ascii="Calibri" w:hAnsi="Calibri"/>
                <w:b/>
                <w:color w:val="0F172A"/>
                <w:sz w:val="20"/>
              </w:rPr>
              <w:t>Data</w:t>
            </w:r>
          </w:p>
        </w:tc>
        <w:tc>
          <w:tcPr>
            <w:tcW w:type="dxa" w:w="4703"/>
            <w:shd w:fill="F1F5F9" w:val="clear"/>
          </w:tcPr>
          <w:p>
            <w:r>
              <w:rPr>
                <w:rFonts w:ascii="Calibri" w:hAnsi="Calibri"/>
                <w:color w:val="1E293B"/>
                <w:sz w:val="20"/>
              </w:rPr>
              <w:t>Numbeo (cost of living), 5 flight booking sites</w:t>
            </w:r>
          </w:p>
        </w:tc>
      </w:tr>
    </w:tbl>
    <w:p>
      <w:pPr>
        <w:spacing w:after="80"/>
      </w:pPr>
    </w:p>
    <w:p>
      <w:pPr>
        <w:spacing w:before="560" w:after="120"/>
      </w:pPr>
      <w:r>
        <w:rPr>
          <w:b/>
          <w:color w:val="22C55E"/>
          <w:sz w:val="36"/>
        </w:rPr>
        <w:t xml:space="preserve">▌ </w:t>
      </w:r>
      <w:r>
        <w:rPr>
          <w:rFonts w:ascii="Calibri" w:hAnsi="Calibri"/>
          <w:b/>
          <w:color w:val="0F172A"/>
          <w:sz w:val="36"/>
        </w:rPr>
        <w:t>STATUS</w:t>
      </w:r>
    </w:p>
    <w:p>
      <w:pPr>
        <w:spacing w:before="80" w:after="80"/>
      </w:pPr>
      <w:r>
        <w:rPr>
          <w:color w:val="22C55E"/>
          <w:sz w:val="12"/>
        </w:rPr>
        <w:t>━━━━━━━━━━━━━━━━━━━━━━━━━━━━━━━━━━━━━━━━━━━━━━━━━━━━━━━━━━━━</w:t>
      </w:r>
    </w:p>
    <w:p>
      <w:pPr>
        <w:spacing w:after="120" w:line="320" w:lineRule="exact"/>
      </w:pPr>
      <w:r>
        <w:rPr>
          <w:color w:val="1E293B"/>
          <w:sz w:val="22"/>
        </w:rPr>
        <w:t>GoMate v1 is live. 11 build phases completed. Core functionality works end-to-end:</w:t>
      </w:r>
    </w:p>
    <w:p>
      <w:pPr>
        <w:spacing w:after="60" w:line="320" w:lineRule="exact"/>
        <w:ind w:left="567"/>
      </w:pPr>
      <w:r>
        <w:rPr>
          <w:color w:val="22C55E"/>
          <w:sz w:val="18"/>
        </w:rPr>
        <w:t xml:space="preserve">● </w:t>
      </w:r>
      <w:r>
        <w:rPr>
          <w:color w:val="1E293B"/>
          <w:sz w:val="22"/>
        </w:rPr>
        <w:t>Chat interview with profile building (65+ fields, intelligent branching)</w:t>
      </w:r>
    </w:p>
    <w:p>
      <w:pPr>
        <w:spacing w:after="60" w:line="320" w:lineRule="exact"/>
        <w:ind w:left="567"/>
      </w:pPr>
      <w:r>
        <w:rPr>
          <w:color w:val="22C55E"/>
          <w:sz w:val="18"/>
        </w:rPr>
        <w:t xml:space="preserve">● </w:t>
      </w:r>
      <w:r>
        <w:rPr>
          <w:color w:val="1E293B"/>
          <w:sz w:val="22"/>
        </w:rPr>
        <w:t>AI-driven visa and requirements research (web-grounded, source attribution)</w:t>
      </w:r>
    </w:p>
    <w:p>
      <w:pPr>
        <w:spacing w:after="60" w:line="320" w:lineRule="exact"/>
        <w:ind w:left="567"/>
      </w:pPr>
      <w:r>
        <w:rPr>
          <w:color w:val="22C55E"/>
          <w:sz w:val="18"/>
        </w:rPr>
        <w:t xml:space="preserve">● </w:t>
      </w:r>
      <w:r>
        <w:rPr>
          <w:color w:val="1E293B"/>
          <w:sz w:val="22"/>
        </w:rPr>
        <w:t>Complete guide generation (15+ sections, staleness detection)</w:t>
      </w:r>
    </w:p>
    <w:p>
      <w:pPr>
        <w:spacing w:after="60" w:line="320" w:lineRule="exact"/>
        <w:ind w:left="567"/>
      </w:pPr>
      <w:r>
        <w:rPr>
          <w:color w:val="22C55E"/>
          <w:sz w:val="18"/>
        </w:rPr>
        <w:t xml:space="preserve">● </w:t>
      </w:r>
      <w:r>
        <w:rPr>
          <w:color w:val="1E293B"/>
          <w:sz w:val="22"/>
        </w:rPr>
        <w:t>Cost of living analysis with currency conversion</w:t>
      </w:r>
    </w:p>
    <w:p>
      <w:pPr>
        <w:spacing w:after="60" w:line="320" w:lineRule="exact"/>
        <w:ind w:left="567"/>
      </w:pPr>
      <w:r>
        <w:rPr>
          <w:color w:val="22C55E"/>
          <w:sz w:val="18"/>
        </w:rPr>
        <w:t xml:space="preserve">● </w:t>
      </w:r>
      <w:r>
        <w:rPr>
          <w:color w:val="1E293B"/>
          <w:sz w:val="22"/>
        </w:rPr>
        <w:t>Document checklist with prioritization</w:t>
      </w:r>
    </w:p>
    <w:p>
      <w:pPr>
        <w:spacing w:after="60" w:line="320" w:lineRule="exact"/>
        <w:ind w:left="567"/>
      </w:pPr>
      <w:r>
        <w:rPr>
          <w:color w:val="22C55E"/>
          <w:sz w:val="18"/>
        </w:rPr>
        <w:t xml:space="preserve">● </w:t>
      </w:r>
      <w:r>
        <w:rPr>
          <w:color w:val="1E293B"/>
          <w:sz w:val="22"/>
        </w:rPr>
        <w:t>Post-arrival task graph with DAG dependencies and deadline tracking</w:t>
      </w:r>
    </w:p>
    <w:p>
      <w:pPr>
        <w:spacing w:after="60" w:line="320" w:lineRule="exact"/>
        <w:ind w:left="567"/>
      </w:pPr>
      <w:r>
        <w:rPr>
          <w:color w:val="22C55E"/>
          <w:sz w:val="18"/>
        </w:rPr>
        <w:t xml:space="preserve">● </w:t>
      </w:r>
      <w:r>
        <w:rPr>
          <w:color w:val="1E293B"/>
          <w:sz w:val="22"/>
        </w:rPr>
        <w:t>Compliance alerts (overdue/urgent/approaching)</w:t>
      </w:r>
    </w:p>
    <w:p>
      <w:pPr>
        <w:spacing w:after="60" w:line="320" w:lineRule="exact"/>
        <w:ind w:left="567"/>
      </w:pPr>
      <w:r>
        <w:rPr>
          <w:color w:val="22C55E"/>
          <w:sz w:val="18"/>
        </w:rPr>
        <w:t xml:space="preserve">● </w:t>
      </w:r>
      <w:r>
        <w:rPr>
          <w:color w:val="1E293B"/>
          <w:sz w:val="22"/>
        </w:rPr>
        <w:t>Confidence scoring on extracted profile data</w:t>
      </w:r>
    </w:p>
    <w:p>
      <w:pPr>
        <w:spacing w:after="60" w:line="320" w:lineRule="exact"/>
        <w:ind w:left="567"/>
      </w:pPr>
      <w:r>
        <w:rPr>
          <w:color w:val="22C55E"/>
          <w:sz w:val="18"/>
        </w:rPr>
        <w:t xml:space="preserve">● </w:t>
      </w:r>
      <w:r>
        <w:rPr>
          <w:color w:val="1E293B"/>
          <w:sz w:val="22"/>
        </w:rPr>
        <w:t>Subscription management (Free / Pro / Pro+)</w:t>
      </w:r>
    </w:p>
    <w:p>
      <w:pPr>
        <w:spacing w:before="560" w:after="120"/>
      </w:pPr>
      <w:r>
        <w:rPr>
          <w:b/>
          <w:color w:val="22C55E"/>
          <w:sz w:val="36"/>
        </w:rPr>
        <w:t xml:space="preserve">▌ </w:t>
      </w:r>
      <w:r>
        <w:rPr>
          <w:rFonts w:ascii="Calibri" w:hAnsi="Calibri"/>
          <w:b/>
          <w:color w:val="0F172A"/>
          <w:sz w:val="36"/>
        </w:rPr>
        <w:t>VISION</w:t>
      </w:r>
    </w:p>
    <w:p>
      <w:pPr>
        <w:spacing w:before="80" w:after="80"/>
      </w:pPr>
      <w:r>
        <w:rPr>
          <w:color w:val="22C55E"/>
          <w:sz w:val="12"/>
        </w:rPr>
        <w:t>━━━━━━━━━━━━━━━━━━━━━━━━━━━━━━━━━━━━━━━━━━━━━━━━━━━━━━━━━━━━</w:t>
      </w:r>
    </w:p>
    <w:tbl>
      <w:tblPr>
        <w:tblW w:type="auto" w:w="0"/>
        <w:jc w:val="center"/>
        <w:tblLook w:firstColumn="1" w:firstRow="1" w:lastColumn="0" w:lastRow="0" w:noHBand="0" w:noVBand="1" w:val="04A0"/>
      </w:tblPr>
      <w:tblGrid>
        <w:gridCol w:w="9406"/>
      </w:tblGrid>
      <w:tr>
        <w:tc>
          <w:tcPr>
            <w:tcW w:type="dxa" w:w="9406"/>
            <w:shd w:fill="ECFDF5" w:val="clear"/>
            <w:tcBorders>
              <w:left w:val="single" w:sz="24" w:color="22C55E" w:space="0"/>
              <w:top w:val="none" w:sz="0" w:color="auto" w:space="0"/>
              <w:bottom w:val="none" w:sz="0" w:color="auto" w:space="0"/>
              <w:right w:val="none" w:sz="0" w:color="auto" w:space="0"/>
            </w:tcBorders>
          </w:tcPr>
          <w:p>
            <w:pPr>
              <w:spacing w:after="80" w:before="80"/>
            </w:pPr>
            <w:r>
              <w:rPr>
                <w:rFonts w:ascii="Calibri" w:hAnsi="Calibri"/>
                <w:i/>
                <w:color w:val="1B3A2D"/>
                <w:sz w:val="24"/>
              </w:rPr>
              <w:t>GoMate is not a relocation tool.</w:t>
            </w:r>
          </w:p>
          <w:p>
            <w:pPr>
              <w:spacing w:after="80" w:before="80"/>
            </w:pPr>
            <w:r>
              <w:rPr>
                <w:rFonts w:ascii="Calibri" w:hAnsi="Calibri"/>
                <w:i/>
                <w:color w:val="1B3A2D"/>
                <w:sz w:val="24"/>
              </w:rPr>
              <w:t>It is the first operating system for cross-border life —</w:t>
            </w:r>
          </w:p>
          <w:p>
            <w:pPr>
              <w:spacing w:after="80" w:before="80"/>
            </w:pPr>
            <w:r>
              <w:rPr>
                <w:rFonts w:ascii="Calibri" w:hAnsi="Calibri"/>
                <w:i/>
                <w:color w:val="1B3A2D"/>
                <w:sz w:val="24"/>
              </w:rPr>
              <w:t>starting with relocation, expanding into everything</w:t>
            </w:r>
          </w:p>
          <w:p>
            <w:pPr>
              <w:spacing w:after="80" w:before="80"/>
            </w:pPr>
            <w:r>
              <w:rPr>
                <w:rFonts w:ascii="Calibri" w:hAnsi="Calibri"/>
                <w:i/>
                <w:color w:val="1B3A2D"/>
                <w:sz w:val="24"/>
              </w:rPr>
              <w:t>that happens after.</w:t>
            </w:r>
          </w:p>
        </w:tc>
      </w:tr>
    </w:tbl>
    <w:p>
      <w:pPr>
        <w:spacing w:after="40"/>
      </w:pPr>
    </w:p>
    <w:tbl>
      <w:tblPr>
        <w:tblW w:type="auto" w:w="0"/>
        <w:jc w:val="center"/>
        <w:tblLayout w:type="autofit"/>
        <w:tblLook w:firstColumn="1" w:firstRow="1" w:lastColumn="0" w:lastRow="0" w:noHBand="0" w:noVBand="1" w:val="04A0"/>
        <w:tblBorders>
          <w:top w:val="single" w:sz="4" w:color="E2E8F0" w:space="0"/>
          <w:left w:val="single" w:sz="4" w:color="E2E8F0" w:space="0"/>
          <w:bottom w:val="single" w:sz="4" w:color="E2E8F0" w:space="0"/>
          <w:right w:val="single" w:sz="4" w:color="E2E8F0" w:space="0"/>
          <w:insideH w:val="single" w:sz="4" w:color="E2E8F0" w:space="0"/>
          <w:insideV w:val="single" w:sz="4" w:color="E2E8F0" w:space="0"/>
        </w:tblBorders>
      </w:tblPr>
      <w:tblGrid>
        <w:gridCol w:w="4703"/>
        <w:gridCol w:w="4703"/>
      </w:tblGrid>
      <w:tr>
        <w:tc>
          <w:tcPr>
            <w:tcW w:type="dxa" w:w="4703"/>
            <w:shd w:fill="1B3A2D" w:val="clear"/>
          </w:tcPr>
          <w:p>
            <w:pPr>
              <w:jc w:val="left"/>
            </w:pPr>
            <w:r>
              <w:rPr>
                <w:rFonts w:ascii="Calibri" w:hAnsi="Calibri"/>
                <w:b/>
                <w:color w:val="FFFFFF"/>
                <w:sz w:val="20"/>
              </w:rPr>
              <w:t>Phase</w:t>
            </w:r>
          </w:p>
        </w:tc>
        <w:tc>
          <w:tcPr>
            <w:tcW w:type="dxa" w:w="4703"/>
            <w:shd w:fill="1B3A2D" w:val="clear"/>
          </w:tcPr>
          <w:p>
            <w:pPr>
              <w:jc w:val="left"/>
            </w:pPr>
            <w:r>
              <w:rPr>
                <w:rFonts w:ascii="Calibri" w:hAnsi="Calibri"/>
                <w:b/>
                <w:color w:val="FFFFFF"/>
                <w:sz w:val="20"/>
              </w:rPr>
              <w:t>Expansion</w:t>
            </w:r>
          </w:p>
        </w:tc>
      </w:tr>
      <w:tr>
        <w:tc>
          <w:tcPr>
            <w:tcW w:type="dxa" w:w="4703"/>
            <w:shd w:fill="FFFFFF" w:val="clear"/>
          </w:tcPr>
          <w:p>
            <w:r>
              <w:rPr>
                <w:rFonts w:ascii="Calibri" w:hAnsi="Calibri"/>
                <w:b/>
                <w:color w:val="0F172A"/>
                <w:sz w:val="20"/>
              </w:rPr>
              <w:t>v1 (now)</w:t>
            </w:r>
          </w:p>
        </w:tc>
        <w:tc>
          <w:tcPr>
            <w:tcW w:type="dxa" w:w="4703"/>
            <w:shd w:fill="FFFFFF" w:val="clear"/>
          </w:tcPr>
          <w:p>
            <w:r>
              <w:rPr>
                <w:rFonts w:ascii="Calibri" w:hAnsi="Calibri"/>
                <w:color w:val="1E293B"/>
                <w:sz w:val="20"/>
              </w:rPr>
              <w:t>Relocation OS — visa, guide, compliance, post-arrival</w:t>
            </w:r>
          </w:p>
        </w:tc>
      </w:tr>
      <w:tr>
        <w:tc>
          <w:tcPr>
            <w:tcW w:type="dxa" w:w="4703"/>
            <w:shd w:fill="F1F5F9" w:val="clear"/>
          </w:tcPr>
          <w:p>
            <w:r>
              <w:rPr>
                <w:rFonts w:ascii="Calibri" w:hAnsi="Calibri"/>
                <w:b/>
                <w:color w:val="0F172A"/>
                <w:sz w:val="20"/>
              </w:rPr>
              <w:t>v2</w:t>
            </w:r>
          </w:p>
        </w:tc>
        <w:tc>
          <w:tcPr>
            <w:tcW w:type="dxa" w:w="4703"/>
            <w:shd w:fill="F1F5F9" w:val="clear"/>
          </w:tcPr>
          <w:p>
            <w:r>
              <w:rPr>
                <w:rFonts w:ascii="Calibri" w:hAnsi="Calibri"/>
                <w:color w:val="1E293B"/>
                <w:sz w:val="20"/>
              </w:rPr>
              <w:t>Job system — matching user profiles to open positions in the destination country</w:t>
            </w:r>
          </w:p>
        </w:tc>
      </w:tr>
      <w:tr>
        <w:tc>
          <w:tcPr>
            <w:tcW w:type="dxa" w:w="4703"/>
            <w:shd w:fill="FFFFFF" w:val="clear"/>
          </w:tcPr>
          <w:p>
            <w:r>
              <w:rPr>
                <w:rFonts w:ascii="Calibri" w:hAnsi="Calibri"/>
                <w:b/>
                <w:color w:val="0F172A"/>
                <w:sz w:val="20"/>
              </w:rPr>
              <w:t>v3</w:t>
            </w:r>
          </w:p>
        </w:tc>
        <w:tc>
          <w:tcPr>
            <w:tcW w:type="dxa" w:w="4703"/>
            <w:shd w:fill="FFFFFF" w:val="clear"/>
          </w:tcPr>
          <w:p>
            <w:r>
              <w:rPr>
                <w:rFonts w:ascii="Calibri" w:hAnsi="Calibri"/>
                <w:color w:val="1E293B"/>
                <w:sz w:val="20"/>
              </w:rPr>
              <w:t>Artifact generation — CV adaptation, cover letters, application materials</w:t>
            </w:r>
          </w:p>
        </w:tc>
      </w:tr>
      <w:tr>
        <w:tc>
          <w:tcPr>
            <w:tcW w:type="dxa" w:w="4703"/>
            <w:shd w:fill="F1F5F9" w:val="clear"/>
          </w:tcPr>
          <w:p>
            <w:r>
              <w:rPr>
                <w:rFonts w:ascii="Calibri" w:hAnsi="Calibri"/>
                <w:b/>
                <w:color w:val="0F172A"/>
                <w:sz w:val="20"/>
              </w:rPr>
              <w:t>v4</w:t>
            </w:r>
          </w:p>
        </w:tc>
        <w:tc>
          <w:tcPr>
            <w:tcW w:type="dxa" w:w="4703"/>
            <w:shd w:fill="F1F5F9" w:val="clear"/>
          </w:tcPr>
          <w:p>
            <w:r>
              <w:rPr>
                <w:rFonts w:ascii="Calibri" w:hAnsi="Calibri"/>
                <w:color w:val="1E293B"/>
                <w:sz w:val="20"/>
              </w:rPr>
              <w:t>Partner integration — direct connections to housing platforms, banks, insurance providers</w:t>
            </w:r>
          </w:p>
        </w:tc>
      </w:tr>
      <w:tr>
        <w:tc>
          <w:tcPr>
            <w:tcW w:type="dxa" w:w="4703"/>
            <w:shd w:fill="FFFFFF" w:val="clear"/>
          </w:tcPr>
          <w:p>
            <w:r>
              <w:rPr>
                <w:rFonts w:ascii="Calibri" w:hAnsi="Calibri"/>
                <w:b/>
                <w:color w:val="0F172A"/>
                <w:sz w:val="20"/>
              </w:rPr>
              <w:t>v5</w:t>
            </w:r>
          </w:p>
        </w:tc>
        <w:tc>
          <w:tcPr>
            <w:tcW w:type="dxa" w:w="4703"/>
            <w:shd w:fill="FFFFFF" w:val="clear"/>
          </w:tcPr>
          <w:p>
            <w:r>
              <w:rPr>
                <w:rFonts w:ascii="Calibri" w:hAnsi="Calibri"/>
                <w:color w:val="1E293B"/>
                <w:sz w:val="20"/>
              </w:rPr>
              <w:t>Community — matching with others moving to the same city</w:t>
            </w:r>
          </w:p>
        </w:tc>
      </w:tr>
      <w:tr>
        <w:tc>
          <w:tcPr>
            <w:tcW w:type="dxa" w:w="4703"/>
            <w:shd w:fill="F1F5F9" w:val="clear"/>
          </w:tcPr>
          <w:p>
            <w:r>
              <w:rPr>
                <w:rFonts w:ascii="Calibri" w:hAnsi="Calibri"/>
                <w:b/>
                <w:color w:val="0F172A"/>
                <w:sz w:val="20"/>
              </w:rPr>
              <w:t>Long-term</w:t>
            </w:r>
          </w:p>
        </w:tc>
        <w:tc>
          <w:tcPr>
            <w:tcW w:type="dxa" w:w="4703"/>
            <w:shd w:fill="F1F5F9" w:val="clear"/>
          </w:tcPr>
          <w:p>
            <w:r>
              <w:rPr>
                <w:rFonts w:ascii="Calibri" w:hAnsi="Calibri"/>
                <w:color w:val="1E293B"/>
                <w:sz w:val="20"/>
              </w:rPr>
              <w:t>Tax, insurance, pensions, citizenship — everything that moves across borders</w:t>
            </w:r>
          </w:p>
        </w:tc>
      </w:tr>
    </w:tbl>
    <w:p>
      <w:pPr>
        <w:spacing w:after="80"/>
      </w:pPr>
    </w:p>
    <w:p>
      <w:pPr>
        <w:spacing w:after="120" w:line="320" w:lineRule="exact"/>
      </w:pPr>
      <w:r>
        <w:rPr>
          <w:color w:val="1E293B"/>
          <w:sz w:val="22"/>
        </w:rPr>
        <w:t>Every step adds more data, more value creation, and higher switching cost.</w:t>
      </w:r>
    </w:p>
    <w:p>
      <w:pPr>
        <w:spacing w:after="240"/>
      </w:pPr>
    </w:p>
    <w:p>
      <w:pPr>
        <w:spacing w:after="240"/>
      </w:pPr>
    </w:p>
    <w:p>
      <w:pPr>
        <w:spacing w:after="240"/>
      </w:pPr>
    </w:p>
    <w:p>
      <w:pPr>
        <w:spacing w:before="480"/>
        <w:jc w:val="center"/>
      </w:pPr>
      <w:r>
        <w:rPr>
          <w:color w:val="22C55E"/>
          <w:sz w:val="16"/>
        </w:rPr>
        <w:t>━━━━━━━━━━━━━━━━━━━━</w:t>
      </w:r>
    </w:p>
    <w:p>
      <w:pPr>
        <w:spacing w:before="240"/>
        <w:jc w:val="center"/>
      </w:pPr>
      <w:r>
        <w:rPr>
          <w:b/>
          <w:color w:val="0F172A"/>
          <w:sz w:val="40"/>
        </w:rPr>
        <w:t>GoMate</w:t>
      </w:r>
    </w:p>
    <w:p>
      <w:pPr>
        <w:jc w:val="center"/>
      </w:pPr>
      <w:r>
        <w:rPr>
          <w:i/>
          <w:color w:val="22C55E"/>
          <w:sz w:val="26"/>
        </w:rPr>
        <w:t>The operating system for cross-border life.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