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EXERCISE QUIZ</w:t>
      </w:r>
    </w:p>
    <w:p>
      <w:bookmarkStart w:id="0" w:name="_GoBack"/>
      <w:bookmarkEnd w:id="0"/>
    </w:p>
    <w:p>
      <w:r>
        <w:t>Q. At the time of sports activity (like swimming, karate, gym) what to do to maintain the BSL?</w:t>
      </w:r>
    </w:p>
    <w:p/>
    <w:p>
      <w:r>
        <w:t>Ans. Check BSL before any sports activity if it is &gt; 250 avoid the activity or take correction dose and then do the activity. If BSL is below 100 then eat 1-2 exchange (15 to 30 grams) of carbs. Do BSL afterward also. It is very important to avoid post exercise hypo.</w:t>
      </w:r>
    </w:p>
    <w:p/>
    <w:p>
      <w:r>
        <w:t>Q. Can T1Ds trek at high altitudes?</w:t>
      </w:r>
    </w:p>
    <w:p/>
    <w:p>
      <w:r>
        <w:t>Ans. Yes absolutely. With right care, T1ds can participate in all activities and soprts.Talk to your doctor for necessary precautions.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1</Pages>
  <Words>99</Words>
  <Characters>449</Characters>
  <Lines>12</Lines>
  <Paragraphs>5</Paragraphs>
  <CharactersWithSpaces>543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2026-06-03T03:41:40Z</dcterms:modified>
</cp:coreProperties>
</file>