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边坡早期病害与光纤感知文献依据</w:t>
      </w:r>
    </w:p>
    <w:p>
      <w:r>
        <w:t>V4.0 工作稿　2026年10月27日　内容已保存 最终复核待完成</w:t>
      </w:r>
    </w:p>
    <w:p>
      <w:r>
        <w:t>本版研究横向光栅阵列能否识别边坡病害发生前的微小变形。研究需要回答三件事：病害是否有可重复的变形前兆；前兆能否传到横向感测组件；在相同误报条件下能否比指定对照更早检出。光栅灵敏度、病害位移检测限和预警能力须分别测量。</w:t>
      </w:r>
    </w:p>
    <w:p>
      <w:pPr>
        <w:pStyle w:val="Heading1"/>
      </w:pPr>
      <w:r>
        <w:t>1 病害分类与研究范围</w:t>
      </w:r>
    </w:p>
    <w:p>
      <w:r>
        <w:t>下列清单包括破坏类型、致灾过程和可见征兆，三者不应混作互斥类别。USGS按运动区分滑动、崩落、倾倒、侧向扩展和流动，并列出蠕动、侵蚀等相关过程[R01]。表中传感响应是本项目待验证的机制推断，不是这些病害均已具有光栅预警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85"/>
        <w:gridCol w:w="4272"/>
        <w:gridCol w:w="3378"/>
      </w:tblGrid>
      <w:tr>
        <w:trPr>
          <w:cantSplit/>
          <w:tblHeader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sz w:val="20"/>
              </w:rPr>
              <w:t>编号与对象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sz w:val="20"/>
              </w:rPr>
              <w:t>早期可测量及限制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sz w:val="20"/>
              </w:rPr>
              <w:t>首轮处理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D01 浅层平移滑动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局部相对位移及剪切带；整块同速移动未必产生横向伸长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优先研究局部差动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D02 深层平移滑动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深部剪切错动；浅埋线可能无响应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需深部节点，暂不由浅槽验证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D03 旋转滑动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弧形剪切、后缘下沉及转动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后期坡槽，不用平移台架冒充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D04 蠕滑及渐进破坏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位移速率变化、局部应变积累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先模拟缓慢运动，再做材料蠕变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D05 层间剪切错动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相邻层相对位移、界面滑移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优先，分层参考点不可同动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D06 坡顶及后缘拉裂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顺坡张开；裂缝常与等高线近似平行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横向直纤可能漏测，专设方向对照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D07 侧缘剪切裂缝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横坡两侧相对运动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优先，测线穿越两侧边界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D08 纵向或斜交裂缝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张开方向与测线夹角改变灵敏度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优先，设置方向扫描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D09 内部拉裂与剪切局部化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表面未开裂时的局部应变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以内部独立参考确认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D10 干缩裂缝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脱水收缩后局部张开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混淆组，也可单列病害研究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D11 不均匀沉降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沉降梯度、局部曲率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优先，法向位移模块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D12 局部空洞发展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支承损失、土拱形成；早期可能无明显变形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优先做支承卸载代理试验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D13 洞顶坍塌与内部塌陷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沉降、裂缝或突然塌落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不保证每次存在可测前兆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D14 潜蚀及管涌通道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颗粒流失、水路变化、可能伴随变形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需浊度及出砂量独立证据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D15 细颗粒迁移和骨架流失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孔隙结构变化；可能先水力变化后变形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扩展，普通应变FBG不直接测颗粒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D16 坡脚冲刷与掏空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局部支承降低、上方拉裂或沉陷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可控取土，区分工具扰动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D17 局部土体塌落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土块脱离前微位移或裂缝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后期破坏事件终点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D18 坡面片蚀及沟蚀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表面材料流失，未必有内部应变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录像和出砂量优先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D19 坡脚鼓胀与隆起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压缩、隆起及侧向挤出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作为滑动的伴随征兆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D20 岩体结构面张开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节理两侧微张开、剪切或转动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岩块夹具单独验证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D21 危岩倾倒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转角及裂隙变化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需岩块模块，不能以砂坡替代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D22 崩落及落石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脱离前变形可能短暂或缺失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振动检出与提前预警分开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D23 楔形及顺层岩滑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多结构面控制的错动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后期独立岩体分支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D24 侧向扩展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横向拉伸与剪裂，可能伴随液化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静态土箱不能验证地震液化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D25 土流与碎屑流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滑动转流动、快速运动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仅研究起动前阶段，另建水动力模型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D26 胀缩及冻融变形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含水温度循环引起变形和裂缝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作为混淆或后期专门病害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D27 支护脱空或连接松动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土与支护差动、节点力变化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需要支护模型，不能与裸坡混用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D28 多机制复合破坏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开裂、滑移、沉陷、冲刷依次或同时发生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基础机制可辨后再组合</w:t>
            </w:r>
          </w:p>
        </w:tc>
      </w:tr>
    </w:tbl>
    <w:p>
      <w:pPr>
        <w:spacing w:after="40"/>
      </w:pPr>
    </w:p>
    <w:p>
      <w:r>
        <w:t>D01—D09、D20—D25的运动分类参考R01；D10、D11及传感转换参考R04、R07、R11；D12—D18的因果链需水力、颗粒或支承量辅助判断，R01只给出地下侵蚀/坡脚侵蚀等致灾背景。不存在由一次应变峰值唯一识别上述28项的依据。</w:t>
      </w:r>
    </w:p>
    <w:p>
      <w:pPr>
        <w:pStyle w:val="Heading1"/>
      </w:pPr>
      <w:r>
        <w:t>2 首轮选择与可证伪假设</w:t>
      </w:r>
    </w:p>
    <w:p>
      <w:r>
        <w:t>首轮选四种可控机制：横向张开、顺坡差动剪切、法向局部沉陷、缓慢差动滑移。用平台给定位移只是在验证传感响应，不构成天然裂缝、滑坡或蠕变机理的证明。第二阶段把装置埋入土体，第三阶段才用降雨/取土检验自然形成的变形带。</w:t>
      </w:r>
    </w:p>
    <w:p>
      <w:r>
        <w:t>H1 横向直埋光纤能测到沿其轴线的局部伸长，但对均匀顺坡平移不敏感。H2 局部柔性弯曲节点可把横向两点的顺坡或法向差动转换为FBG轴向应变。H3 在低围压及湿态下，土纤界面滑移可能抵消仪器分辨率优势。H4 双面差分温补降低温漂的效果取决于两面温度和胶层一致性。以上假设均允许被实验否定。</w:t>
      </w:r>
    </w:p>
    <w:p>
      <w:pPr>
        <w:pStyle w:val="Heading1"/>
      </w:pPr>
      <w:r>
        <w:t>3 直接证据与方法文献</w:t>
      </w:r>
    </w:p>
    <w:p>
      <w:r>
        <w:t>证据状态以2026-10-27本次取得的正文或既有记录标记。全文核对指本次读取了论文相关方法和结论，不等于复现其试验。文献中的测量体系、数字或预测效果不能移植成本项目成绩。</w:t>
      </w:r>
    </w:p>
    <w:p>
      <w:pPr>
        <w:pStyle w:val="Heading2"/>
      </w:pPr>
      <w:r>
        <w:t>R01 USGS 2004 滑坡类型及过程</w:t>
      </w:r>
    </w:p>
    <w:p>
      <w:r>
        <w:t>理论与方法：按岩土材料及运动方式分类，区分平移、旋转、崩落、倾倒、扩展和流动；指出地下侵蚀、坡脚侵蚀、开挖、水位变化等诱因。不是传感器实验，无槽体尺寸、检测限或提前量。应用：规范病害名称及机制边界，不用诱因名称代替破坏标签。证据：机构正文。本次已核。</w:t>
      </w:r>
      <w:hyperlink r:id="rId10">
        <w:r>
          <w:rPr>
            <w:color w:val="245A75"/>
          </w:rPr>
          <w:t>https://pubs.usgs.gov/fs/2004/3072/fs-2004-3072.html</w:t>
        </w:r>
      </w:hyperlink>
      <w:r/>
    </w:p>
    <w:p>
      <w:pPr>
        <w:pStyle w:val="Heading2"/>
      </w:pPr>
      <w:r>
        <w:t>R02 Schenato 等 2017 浅层失稳前的分布式应变</w:t>
      </w:r>
    </w:p>
    <w:p>
      <w:r>
        <w:t>Distributed optical fibre sensing for early detection of shallow landslides triggering，Scientific Reports 7，14686。理论：入渗和剪切演化通过土缆耦合产生可测应变。方法：约6×2 m设施、约5 m坡长、32°坡面；松砂覆盖低渗床，沿坡四条主要直段位于距侧壁0.25、0.75、1.25、1.75 m处，OFDR厘米级空间分辨率，配水分/孔压探头。</w:t>
      </w:r>
    </w:p>
    <w:p>
      <w:r>
        <w:t>结论：存在外部尚无明显变形而纤维应变持续增加的阶段；破裂后脱耦使信号解释改变。137 min是该次降雨开始至破坏的历时，不是光纤提前量。应用：把“首次光纤报警”“独立内部运动”“表面可见”“宏观破坏”分开打时标。其主要测线纵向，不构成横向FBG布设已验证的证据。证据：本次正文方法、结果分阶段描述核对；材料补充数字仅沿用V3记录，不用于本版冻结配方。</w:t>
      </w:r>
      <w:hyperlink r:id="rId11">
        <w:r>
          <w:rPr>
            <w:color w:val="245A75"/>
          </w:rPr>
          <w:t>https://doi.org/10.1038/s41598-017-12610-1</w:t>
        </w:r>
      </w:hyperlink>
      <w:r/>
    </w:p>
    <w:p>
      <w:pPr>
        <w:pStyle w:val="Heading2"/>
      </w:pPr>
      <w:r>
        <w:t>R03 Zhang 等 2016 自制FBG杆监测人工滑坡</w:t>
      </w:r>
    </w:p>
    <w:p>
      <w:r>
        <w:t>Using Custom Fiber Bragg Grating-Based Sensors to Monitor Artificial Landslides。理论：土体变形使杆弯曲，引起杆上FBG应变。方法：南京人工开挖边坡，4根软/硬杆，每根上、下两FBG距杆顶50和100 cm；SM125静态解调。结论：深浅位置、杆刚度及距滑坡位置影响响应；柔杆出现趋势信号。应用：转换构件刚度和锚固位置必须作为变量；不能引用其趋势为本项目已知检测限或提前分钟数。证据：本次正文和结论核对。</w:t>
      </w:r>
      <w:hyperlink r:id="rId12">
        <w:r>
          <w:rPr>
            <w:color w:val="245A75"/>
          </w:rPr>
          <w:t>https://pmc.ncbi.nlm.nih.gov/articles/PMC5038695/</w:t>
        </w:r>
      </w:hyperlink>
      <w:r/>
    </w:p>
    <w:p>
      <w:pPr>
        <w:pStyle w:val="Heading2"/>
      </w:pPr>
      <w:r>
        <w:t>R04 Zhu Shi Zhang 2017 FBG地质灾害综述</w:t>
      </w:r>
    </w:p>
    <w:p>
      <w:r>
        <w:t>FBG-Based Monitoring of Geohazards: Current Status and Trends。理论：FBG通过传感构件转换应变、位移、压力、温度；测斜积分受边界和误差传播影响。方法：综述土钉、测斜、沉降、裂缝等应用；含两端边界确定的弯曲构件及土体开裂案例。结论：封装、安装及温补决定可用性；干缩裂缝和低覆土压力下的滑移值得注意。应用：采用成品校准、温补及干湿拉拔；综述中的案例作为检索线索，不冒充逐篇原始试验全文。证据：本次综述全文相关段核对。</w:t>
      </w:r>
      <w:hyperlink r:id="rId13">
        <w:r>
          <w:rPr>
            <w:color w:val="245A75"/>
          </w:rPr>
          <w:t>https://doi.org/10.3390/s17030452</w:t>
        </w:r>
      </w:hyperlink>
      <w:r/>
    </w:p>
    <w:p>
      <w:pPr>
        <w:pStyle w:val="Heading2"/>
      </w:pPr>
      <w:r>
        <w:t>R05 Sun 等 2017 加筋边坡应变和稳定性</w:t>
      </w:r>
    </w:p>
    <w:p>
      <w:r>
        <w:t>Application of FBG Sensing Technology in Stability Analysis of Geogrid-Reinforced Slope。方法：砂坡2.05×1×1.2 m、45°、两层格栅、7个FBG及电阻应变片，坡顶3 kN逐级加载；加载稳定条件为传感应变变化低于10 με/min。结论：格栅应变与计算安全系数拟合R²=0.9816，只适用于其材料、加筋和边界；原文对照应变片存在存活率差异，不能推出所有FBG精度更优。应用：同载体对照、独立测量及传感失效率报告；10 με/min不是我们病害报警阈值。证据：本次正文核对。</w:t>
      </w:r>
      <w:hyperlink r:id="rId14">
        <w:r>
          <w:rPr>
            <w:color w:val="245A75"/>
          </w:rPr>
          <w:t>https://doi.org/10.3390/s17030597</w:t>
        </w:r>
      </w:hyperlink>
      <w:r/>
    </w:p>
    <w:p>
      <w:pPr>
        <w:pStyle w:val="Heading2"/>
      </w:pPr>
      <w:r>
        <w:t>R06 Bastianini 等 2019 应变传递与光缆结构</w:t>
      </w:r>
    </w:p>
    <w:p>
      <w:r>
        <w:t>Optical Fiber Sensing Cables for Brillouin-Based Distributed Measurements。理论：土体/护套及护套/纤芯的剪切传递、滑移、黏弹性影响输出。方法：综述缆结构、黏结、机械传递和裂缝检测。结论：刚度、保护与传力存在取舍。应用：感测段保留确定传力路径、引线松套铠装、拉拔和滞后复测；布里渊光学系数不用于FBG解调。证据：本次综述相关正文核对。</w:t>
      </w:r>
      <w:hyperlink r:id="rId15">
        <w:r>
          <w:rPr>
            <w:color w:val="245A75"/>
          </w:rPr>
          <w:t>https://doi.org/10.3390/s19235172</w:t>
        </w:r>
      </w:hyperlink>
      <w:r/>
    </w:p>
    <w:p>
      <w:pPr>
        <w:pStyle w:val="Heading2"/>
      </w:pPr>
      <w:r>
        <w:t>R07 Zhang 等 2019 离心模型FBG系统</w:t>
      </w:r>
    </w:p>
    <w:p>
      <w:r>
        <w:t>An Fiber Bragg Grating-Based Monitoring System for Slope Deformation Studies in Geotechnical Centrifuges。理论：离心加速度改变土体应力，构件FBG与独立土压力/位移共同解释破坏。方法：模型使用微型锚杆、土压力传感和测斜系统；报告不同离心加速度下变形演化。应用：保留多物理量真值和构件标定；离心模型的滑面/加速度不能转为1g槽阈值。证据：本次原文相关方法和结论核对。</w:t>
      </w:r>
      <w:hyperlink r:id="rId16">
        <w:r>
          <w:rPr>
            <w:color w:val="245A75"/>
          </w:rPr>
          <w:t>https://doi.org/10.3390/s19071591</w:t>
        </w:r>
      </w:hyperlink>
      <w:r/>
    </w:p>
    <w:p>
      <w:pPr>
        <w:pStyle w:val="Heading2"/>
      </w:pPr>
      <w:r>
        <w:t>R08 Drusa 等 2021 格栅轴向应变</w:t>
      </w:r>
    </w:p>
    <w:p>
      <w:r>
        <w:t>Measurement of Axial Strain of Geogrid by Optical Sensors。理论：聚合物格栅及胶层控制FBG读数。方法：光学传感与加筋构件测试，比较材料和粘接安装。结论：不合适胶粘剂与构件相容性会导致损坏或错误传力。应用：记录胶牌号、胶层、固化、表面处理和湿态变化。证据：本次正文核对；不套用其构件数值到砂土。</w:t>
      </w:r>
      <w:hyperlink r:id="rId17">
        <w:r>
          <w:rPr>
            <w:color w:val="245A75"/>
          </w:rPr>
          <w:t>https://doi.org/10.3390/s21196404</w:t>
        </w:r>
      </w:hyperlink>
      <w:r/>
    </w:p>
    <w:p>
      <w:pPr>
        <w:pStyle w:val="Heading2"/>
      </w:pPr>
      <w:r>
        <w:t>R09 Nowak 等 2022 裂缝与剪切的方向效应</w:t>
      </w:r>
    </w:p>
    <w:p>
      <w:r>
        <w:t>Hybrid Fiber Optic Cable for Strain Profiling and Crack Growth Measurement in Rock, Cement, and Brittle Installation Media。理论：裂缝张开和剪切造成不同光缆变形，剪切反演涉及折弯长度。方法：脆性/注浆介质中混合光缆、单不连续面，受应变长度0.3 m。结论：应变到位移关系依赖标距、空间分辨率及相交角；现场不同角度须补充信息。应用：建立方向矩阵并测有效标距；脆性注浆界面的结论不能保证低围压松土耦合。证据：本次正文方法、限制核对。</w:t>
      </w:r>
      <w:hyperlink r:id="rId18">
        <w:r>
          <w:rPr>
            <w:color w:val="245A75"/>
          </w:rPr>
          <w:t>https://doi.org/10.3390/s22249685</w:t>
        </w:r>
      </w:hyperlink>
      <w:r/>
    </w:p>
    <w:p>
      <w:pPr>
        <w:pStyle w:val="Heading2"/>
      </w:pPr>
      <w:r>
        <w:t>R10 Zhao 等 2021 白水河现场测线</w:t>
      </w:r>
    </w:p>
    <w:p>
      <w:r>
        <w:t>PPP-BOTDA Distributed Optical Fiber Sensing Technology and Its Application to the Baishuihe Landslide。方法：前缘沿线布置应变与温补光缆，固定点结合直埋，与GPS和实地变形比较；缆后处理使用滤波和应变曲线面积差。结论：异常空间区域与现场观测具有一致性。应用：横向路线选址可参考前缘/侧缘，但原文路线不能等同本项目严格等高线布设；PPP-BOTDA不是离散FBG，不能移植定位精度和噪声。证据：本次现场布局和结论核对。</w:t>
      </w:r>
      <w:hyperlink r:id="rId19">
        <w:r>
          <w:rPr>
            <w:color w:val="245A75"/>
          </w:rPr>
          <w:t>https://doi.org/10.3389/feart.2021.660918</w:t>
        </w:r>
      </w:hyperlink>
      <w:r/>
    </w:p>
    <w:p>
      <w:pPr>
        <w:pStyle w:val="Heading2"/>
      </w:pPr>
      <w:r>
        <w:t>R11 Fang 等 2012 降雨松土滑坡</w:t>
      </w:r>
    </w:p>
    <w:p>
      <w:r>
        <w:t>Model testing on rainfall-induced landslide of loose soil in Wenchuan earthquake region。理论：水入渗、孔压和细颗粒迁移改变有效强度。原始模型尺寸等详见V3既有全文记录；本次出版社摘要核对其机理。应用：降雨、密度、初始水分作为独立控制变量；用渗流、出砂和水力测量区分“内部侵蚀”与单纯机械沉陷。限制：摘要不能支持本项目配方和微应变检测限。</w:t>
      </w:r>
      <w:hyperlink r:id="rId20">
        <w:r>
          <w:rPr>
            <w:color w:val="245A75"/>
          </w:rPr>
          <w:t>https://doi.org/10.5194/nhess-12-527-2012</w:t>
        </w:r>
      </w:hyperlink>
      <w:r/>
    </w:p>
    <w:p>
      <w:pPr>
        <w:pStyle w:val="Heading2"/>
      </w:pPr>
      <w:r>
        <w:t>R12 Cueva 等 2025 饱和度与滑带土强度</w:t>
      </w:r>
    </w:p>
    <w:p>
      <w:r>
        <w:t>Implications of the degree of saturation on the mechanical behaviour of a slow-moving landslide in the Three Gorges region, China。方法：黄土坡重塑滑带土，固结、反复直剪和环剪，改变饱和度。结论：水分状态影响压缩、峰值和残余强度。应用：配土含水率和吸力不得仅由总加水量代替；小箱位移试验不验证真实滑带材料参数。证据：本次摘要和结论全文核对。</w:t>
      </w:r>
      <w:hyperlink r:id="rId21">
        <w:r>
          <w:rPr>
            <w:color w:val="245A75"/>
          </w:rPr>
          <w:t>https://doi.org/10.1007/s10064-025-04237-8</w:t>
        </w:r>
      </w:hyperlink>
      <w:r/>
    </w:p>
    <w:p>
      <w:pPr>
        <w:pStyle w:val="Heading2"/>
      </w:pPr>
      <w:r>
        <w:t>R13 Sun 等 2026 滑带土蠕变</w:t>
      </w:r>
    </w:p>
    <w:p>
      <w:r>
        <w:t>Creep behavior and microstructural evolution of sliding zone soil in slow-moving landslides in the Three-Gorges Reservoir area。方法：分级剪切蠕变、扫描电镜及粒径分析，建立含微结构变量的Burgers类模型。结论：有瞬时、稳态和加速阶段，模型仍需现场验证。应用：以速率和残余变形研究缓变；电机匀速位移只能叫“缓慢运动模拟”，不能叫材料蠕变验证。证据：本次全文方法和结论核对。</w:t>
      </w:r>
      <w:hyperlink r:id="rId22">
        <w:r>
          <w:rPr>
            <w:color w:val="245A75"/>
          </w:rPr>
          <w:t>https://doi.org/10.1038/s41598-026-46115-7</w:t>
        </w:r>
      </w:hyperlink>
      <w:r/>
    </w:p>
    <w:p>
      <w:pPr>
        <w:pStyle w:val="Heading2"/>
      </w:pPr>
      <w:r>
        <w:t>R14 Wang 等 2026 超弱光栅声学感知</w:t>
      </w:r>
    </w:p>
    <w:p>
      <w:r>
        <w:t>Recent Advances in Ultra-Weak Fiber Bragg Gratings Array for High-Performance Distributed Acoustic Sensing (Invited)。方法：综述相位型阵列的噪声、衰落、频率和空间分辨率。应用：采购先明确波长点测还是相位区段测量；噪声谱密度单位nε/√Hz、动态应变分辨率和准静态病害检测限不可混用。证据：本次综述相关章节核对；数值极限不作为V4采购保证。</w:t>
      </w:r>
      <w:hyperlink r:id="rId23">
        <w:r>
          <w:rPr>
            <w:color w:val="245A75"/>
          </w:rPr>
          <w:t>https://doi.org/10.3390/s26020742</w:t>
        </w:r>
      </w:hyperlink>
      <w:r/>
    </w:p>
    <w:p>
      <w:pPr>
        <w:pStyle w:val="Heading2"/>
      </w:pPr>
      <w:r>
        <w:t>R15 Zhang 等 2012 膨胀土脱水开裂</w:t>
      </w:r>
    </w:p>
    <w:p>
      <w:r>
        <w:t>FBG technology based experimental studies on cracking of expansive soil due to dehydration，工程地质学报20，103—108。R04引述其一维脱水试验，记录收缩、裂缝处压应变向拉应变转换和低覆压滑移。应用：设置干缩对照、观察土纤滑移。证据：仅R04二手转述，未取得原文；不引用检测限、提前时间或具体配方。检索入口为R04参考文献81。</w:t>
      </w:r>
    </w:p>
    <w:p>
      <w:pPr>
        <w:pStyle w:val="Heading2"/>
      </w:pPr>
      <w:r>
        <w:t>R16 Gao 等 2019 砾土坡开挖和封装钢筋</w:t>
      </w:r>
    </w:p>
    <w:p>
      <w:r>
        <w:t>Research on fibre Bragg grating monitoring in the gravel soil landslide experiment。V3记录为封装钢筋传感器、砂堆/组件标定和开挖试验。应用：先做成品和土中校准。证据：本次DOI访问受限，保留V3摘要级，不能升级为全文。</w:t>
      </w:r>
      <w:hyperlink r:id="rId24">
        <w:r>
          <w:rPr>
            <w:color w:val="245A75"/>
          </w:rPr>
          <w:t>https://doi.org/10.1049/joe.2019.0777</w:t>
        </w:r>
      </w:hyperlink>
      <w:r/>
    </w:p>
    <w:p>
      <w:pPr>
        <w:pStyle w:val="Heading2"/>
      </w:pPr>
      <w:r>
        <w:t>R17 Jiang 等 2023 多尺度CNN与LSTM</w:t>
      </w:r>
    </w:p>
    <w:p>
      <w:r>
        <w:t>msCNN-LSTM perimeter intrusion vibration signal identification method based on ultra-weak FBG arrays。研究对象为周界入侵振动。应用：仅作为算法候选；不支持边坡病害的类别、训练量或准确率。证据：沿用V3题录级，未核验全文，不引用其性能数字。</w:t>
      </w:r>
      <w:hyperlink r:id="rId25">
        <w:r>
          <w:rPr>
            <w:color w:val="245A75"/>
          </w:rPr>
          <w:t>https://doi.org/10.1016/j.yofte.2023.103564</w:t>
        </w:r>
      </w:hyperlink>
      <w:r/>
    </w:p>
    <w:p>
      <w:pPr>
        <w:pStyle w:val="Heading1"/>
      </w:pPr>
      <w:r>
        <w:t>4 理论与实体的对应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85"/>
        <w:gridCol w:w="4272"/>
        <w:gridCol w:w="3378"/>
      </w:tblGrid>
      <w:tr>
        <w:trPr>
          <w:cantSplit/>
          <w:tblHeader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sz w:val="20"/>
              </w:rPr>
              <w:t>理论量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sz w:val="20"/>
              </w:rPr>
              <w:t>实体控制和独立测量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sz w:val="20"/>
              </w:rPr>
              <w:t>不能替代的验证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轴向应变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标定梁/双夹头的已知应变与电阻片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土体微应变不是纤维微应变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位移梯度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横向两锚点之间的顺坡/法向差动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同动点之间没有足够相对变形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土缆剪切传递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干湿土中拉拔、嵌入长度和覆压对照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不从裸栅系数推出成缆灵敏度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非饱和强度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含水率、吸力、密度、低应力剪切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机械位移加载不证明水力失稳机理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局部支承损失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底板下沉量、土内标记位移、表面沉陷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沉降模块不等于管涌真实过程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早期检测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独立时标及相同误报率下对照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破坏前有信号不等于可靠预测破坏</w:t>
            </w:r>
          </w:p>
        </w:tc>
      </w:tr>
    </w:tbl>
    <w:p>
      <w:pPr>
        <w:spacing w:after="40"/>
      </w:pPr>
    </w:p>
    <w:p>
      <w:pPr>
        <w:pStyle w:val="Heading1"/>
      </w:pPr>
      <w:r>
        <w:t>5 仍缺的证据和下一轮检索</w:t>
      </w:r>
    </w:p>
    <w:p>
      <w:r>
        <w:t>首轮优先补找低围压土体中横向FBG点阵的方向性实验、跨侧缘剪切位移转换、内部侵蚀的应变与出砂同步实验。现有R02采用纵向OFDR，R03采用杆式FBG，R09采用注浆介质光缆，均不能直接证明拟议横向节点的优越性。</w:t>
      </w:r>
    </w:p>
    <w:p>
      <w:r>
        <w:t>本次网络检索及出版社、PMC正文核查以此日期为截止；全文缓存在本地_qa用于复核，不随Git发布。并非系统综述的穷尽检索，也不将28项清单称为已验证28类预警能力。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V4.0  |  2026-10-27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8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 w:line="276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80"/>
    </w:pPr>
    <w:rPr>
      <w:rFonts w:ascii="Microsoft YaHei" w:hAnsi="Microsoft YaHei" w:eastAsia="Microsoft YaHe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ubs.usgs.gov/fs/2004/3072/fs-2004-3072.html" TargetMode="External"/><Relationship Id="rId11" Type="http://schemas.openxmlformats.org/officeDocument/2006/relationships/hyperlink" Target="https://doi.org/10.1038/s41598-017-12610-1" TargetMode="External"/><Relationship Id="rId12" Type="http://schemas.openxmlformats.org/officeDocument/2006/relationships/hyperlink" Target="https://pmc.ncbi.nlm.nih.gov/articles/PMC5038695/" TargetMode="External"/><Relationship Id="rId13" Type="http://schemas.openxmlformats.org/officeDocument/2006/relationships/hyperlink" Target="https://doi.org/10.3390/s17030452" TargetMode="External"/><Relationship Id="rId14" Type="http://schemas.openxmlformats.org/officeDocument/2006/relationships/hyperlink" Target="https://doi.org/10.3390/s17030597" TargetMode="External"/><Relationship Id="rId15" Type="http://schemas.openxmlformats.org/officeDocument/2006/relationships/hyperlink" Target="https://doi.org/10.3390/s19235172" TargetMode="External"/><Relationship Id="rId16" Type="http://schemas.openxmlformats.org/officeDocument/2006/relationships/hyperlink" Target="https://doi.org/10.3390/s19071591" TargetMode="External"/><Relationship Id="rId17" Type="http://schemas.openxmlformats.org/officeDocument/2006/relationships/hyperlink" Target="https://doi.org/10.3390/s21196404" TargetMode="External"/><Relationship Id="rId18" Type="http://schemas.openxmlformats.org/officeDocument/2006/relationships/hyperlink" Target="https://doi.org/10.3390/s22249685" TargetMode="External"/><Relationship Id="rId19" Type="http://schemas.openxmlformats.org/officeDocument/2006/relationships/hyperlink" Target="https://doi.org/10.3389/feart.2021.660918" TargetMode="External"/><Relationship Id="rId20" Type="http://schemas.openxmlformats.org/officeDocument/2006/relationships/hyperlink" Target="https://doi.org/10.5194/nhess-12-527-2012" TargetMode="External"/><Relationship Id="rId21" Type="http://schemas.openxmlformats.org/officeDocument/2006/relationships/hyperlink" Target="https://doi.org/10.1007/s10064-025-04237-8" TargetMode="External"/><Relationship Id="rId22" Type="http://schemas.openxmlformats.org/officeDocument/2006/relationships/hyperlink" Target="https://doi.org/10.1038/s41598-026-46115-7" TargetMode="External"/><Relationship Id="rId23" Type="http://schemas.openxmlformats.org/officeDocument/2006/relationships/hyperlink" Target="https://doi.org/10.3390/s26020742" TargetMode="External"/><Relationship Id="rId24" Type="http://schemas.openxmlformats.org/officeDocument/2006/relationships/hyperlink" Target="https://doi.org/10.1049/joe.2019.0777" TargetMode="External"/><Relationship Id="rId25" Type="http://schemas.openxmlformats.org/officeDocument/2006/relationships/hyperlink" Target="https://doi.org/10.1016/j.yofte.2023.1035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桥梁边坡光纤监测项目组</dc:creator>
  <cp:keywords/>
  <dc:description>generated by python-docx</dc:description>
  <cp:lastModifiedBy>桥梁边坡光纤监测项目组</cp:lastModifiedBy>
  <cp:revision>1</cp:revision>
  <dcterms:created xsi:type="dcterms:W3CDTF">2013-12-23T23:15:00Z</dcterms:created>
  <dcterms:modified xsi:type="dcterms:W3CDTF">2013-12-23T23:15:00Z</dcterms:modified>
  <cp:category/>
</cp:coreProperties>
</file>