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ACD1E">
      <w:pPr>
        <w:pStyle w:val="2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80" w:line="300" w:lineRule="auto"/>
        <w:ind w:left="0" w:leftChars="0"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 w:val="0"/>
          <w:sz w:val="44"/>
          <w:szCs w:val="20"/>
        </w:rPr>
      </w:pPr>
      <w:r>
        <w:rPr>
          <w:rFonts w:hint="eastAsia" w:ascii="微软雅黑" w:hAnsi="微软雅黑" w:eastAsia="微软雅黑" w:cs="微软雅黑"/>
          <w:b/>
          <w:bCs w:val="0"/>
          <w:sz w:val="44"/>
          <w:szCs w:val="20"/>
        </w:rPr>
        <w:t>基于新一代</w:t>
      </w:r>
      <w:r>
        <w:rPr>
          <w:rFonts w:hint="eastAsia" w:ascii="微软雅黑" w:hAnsi="微软雅黑" w:eastAsia="微软雅黑" w:cs="微软雅黑"/>
          <w:b/>
          <w:bCs w:val="0"/>
          <w:sz w:val="44"/>
          <w:szCs w:val="20"/>
          <w:lang w:val="en-US" w:eastAsia="zh-CN"/>
        </w:rPr>
        <w:t>微结构增敏光纤</w:t>
      </w:r>
      <w:r>
        <w:rPr>
          <w:rFonts w:hint="eastAsia" w:ascii="微软雅黑" w:hAnsi="微软雅黑" w:eastAsia="微软雅黑" w:cs="微软雅黑"/>
          <w:b/>
          <w:bCs w:val="0"/>
          <w:sz w:val="44"/>
          <w:szCs w:val="20"/>
        </w:rPr>
        <w:t>传感技术的</w:t>
      </w:r>
    </w:p>
    <w:p w14:paraId="65DFAFE1">
      <w:pPr>
        <w:pStyle w:val="2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80" w:line="300" w:lineRule="auto"/>
        <w:ind w:left="0" w:leftChars="0"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 w:val="0"/>
          <w:sz w:val="44"/>
          <w:szCs w:val="20"/>
        </w:rPr>
      </w:pPr>
      <w:r>
        <w:rPr>
          <w:rFonts w:hint="eastAsia" w:ascii="微软雅黑" w:hAnsi="微软雅黑" w:eastAsia="微软雅黑" w:cs="微软雅黑"/>
          <w:b/>
          <w:bCs w:val="0"/>
          <w:sz w:val="44"/>
          <w:szCs w:val="20"/>
        </w:rPr>
        <w:t>国道边坡健康监测预警技术方案</w:t>
      </w:r>
    </w:p>
    <w:p w14:paraId="40D1F74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jc w:val="left"/>
        <w:textAlignment w:val="auto"/>
        <w:rPr>
          <w:rFonts w:hint="eastAsia"/>
          <w:lang w:val="en-US" w:eastAsia="zh-CN"/>
        </w:rPr>
      </w:pPr>
    </w:p>
    <w:p w14:paraId="14C3DA8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jc w:val="left"/>
        <w:textAlignment w:val="auto"/>
        <w:rPr>
          <w:rFonts w:hint="eastAsia"/>
          <w:lang w:val="en-US" w:eastAsia="zh-CN"/>
        </w:rPr>
      </w:pPr>
    </w:p>
    <w:p w14:paraId="5892FA9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2999105"/>
            <wp:effectExtent l="0" t="0" r="5715" b="1270"/>
            <wp:docPr id="3" name="图片 3" descr="边坡防护格栅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边坡防护格栅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116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  <w:rPr>
          <w:rFonts w:hint="eastAsia"/>
          <w:lang w:val="en-US" w:eastAsia="zh-CN"/>
        </w:rPr>
      </w:pPr>
    </w:p>
    <w:p w14:paraId="298F567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425" w:leftChars="0" w:hanging="425" w:firstLineChars="0"/>
        <w:textAlignment w:val="auto"/>
        <w:outlineLvl w:val="0"/>
        <w:rPr>
          <w:rFonts w:hint="eastAsia" w:eastAsia="宋体"/>
          <w:b/>
          <w:sz w:val="30"/>
          <w:lang w:val="en-US" w:eastAsia="zh-CN"/>
        </w:rPr>
      </w:pPr>
      <w:r>
        <w:rPr>
          <w:rFonts w:hint="eastAsia" w:eastAsia="宋体"/>
          <w:b/>
          <w:sz w:val="30"/>
          <w:lang w:val="en-US" w:eastAsia="zh-CN"/>
        </w:rPr>
        <w:t>摘要</w:t>
      </w:r>
    </w:p>
    <w:p w14:paraId="5AEB81C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</w:rPr>
        <w:t>本方案旨在为国道路段的边坡结构健康监测需求，提供一套基于新一代微结构增敏光纤传感技术的完整、先进的解决方案。国道边坡的稳定性直接关系到交通安全和人民生命财产安全，传统的监测手段在实时性、精度、抗干扰能力及长期稳定性方面存在局限。本项目方案利用</w:t>
      </w:r>
      <w:r>
        <w:rPr>
          <w:rFonts w:hint="eastAsia"/>
          <w:lang w:eastAsia="zh-CN"/>
        </w:rPr>
        <w:t>微结构增敏光纤</w:t>
      </w:r>
      <w:r>
        <w:rPr>
          <w:rFonts w:hint="eastAsia"/>
        </w:rPr>
        <w:t>阵列传感技术的本质安全、高精度、分布式测量的优势，构建一个高密度的二维监测</w:t>
      </w:r>
      <w:r>
        <w:rPr>
          <w:rFonts w:hint="eastAsia"/>
          <w:lang w:val="en-US" w:eastAsia="zh-CN"/>
        </w:rPr>
        <w:t>网格</w:t>
      </w:r>
      <w:r>
        <w:rPr>
          <w:rFonts w:hint="eastAsia"/>
        </w:rPr>
        <w:t>，旨在实现对边坡滑坡、泥石流等潜在地质灾害的“感知-分析-预警-处置”闭环管理，最终呈现一个技术领先、经济高效、稳定可靠的边坡安全“哨兵”系统。</w:t>
      </w:r>
    </w:p>
    <w:p w14:paraId="479D8990">
      <w:pPr>
        <w:rPr>
          <w:rFonts w:hint="eastAsia"/>
        </w:rPr>
      </w:pPr>
      <w:r>
        <w:rPr>
          <w:rFonts w:hint="eastAsia"/>
        </w:rPr>
        <w:br w:type="page"/>
      </w:r>
    </w:p>
    <w:p w14:paraId="59365C1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  <w:rPr>
          <w:rFonts w:hint="eastAsia"/>
        </w:rPr>
      </w:pPr>
    </w:p>
    <w:p w14:paraId="28940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0"/>
        <w:rPr>
          <w:rFonts w:hint="eastAsia" w:eastAsia="宋体"/>
          <w:b/>
          <w:sz w:val="30"/>
          <w:lang w:val="en-US" w:eastAsia="zh-CN"/>
        </w:rPr>
      </w:pPr>
      <w:r>
        <w:rPr>
          <w:rFonts w:hint="eastAsia" w:eastAsia="宋体"/>
          <w:b/>
          <w:sz w:val="30"/>
          <w:lang w:val="en-US" w:eastAsia="zh-CN"/>
        </w:rPr>
        <w:t>一. 行业现状与项目需求分析</w:t>
      </w:r>
    </w:p>
    <w:p w14:paraId="05E04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1"/>
        <w:rPr>
          <w:rFonts w:eastAsia="宋体"/>
          <w:b/>
          <w:sz w:val="26"/>
        </w:rPr>
      </w:pPr>
      <w:r>
        <w:rPr>
          <w:rFonts w:eastAsia="宋体"/>
          <w:b/>
          <w:sz w:val="26"/>
        </w:rPr>
        <w:t>1.1. 国道边坡安全监测行业现状</w:t>
      </w:r>
    </w:p>
    <w:p w14:paraId="507B93A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近年来，随着中国公路网的快速扩张，大量公路穿越山区和复杂地质地段，边坡失稳引发的滑坡、崩塌、泥石流等地质灾害已成为威胁国道安全运营的主要隐患之一。为应对这一挑战，</w:t>
      </w:r>
      <w:r>
        <w:rPr>
          <w:rFonts w:hint="eastAsia"/>
          <w:lang w:val="en-US" w:eastAsia="zh-CN"/>
        </w:rPr>
        <w:t>国家交通部</w:t>
      </w:r>
      <w:r>
        <w:t>已在边坡监测领域建立了初步的技术体系和标准规范。</w:t>
      </w:r>
    </w:p>
    <w:p w14:paraId="524258F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left"/>
        <w:textAlignment w:val="auto"/>
      </w:pPr>
      <w:r>
        <w:rPr>
          <w:b/>
          <w:bCs/>
        </w:rPr>
        <w:t>1.1.1. 现有技术标准与规范</w:t>
      </w:r>
    </w:p>
    <w:p w14:paraId="3D63122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目前，国内公路边坡监测主要参照地方性或行业性技术规程。例如，湖北省的《公路边坡监测技术规程》（DB 42/T 1496—2019）等地方标准，对监测方案的设计、监测等级的划分、监测项目与频率、预警机制及成果交付等做出了详细规定。同时，通用性的规范如《建筑边坡工程技术规范》和交通运输部发布的《运营公路边（滑）坡监测技术规范》等，为边坡监测提供了宏观指导。这些规范普遍要求监测内容应涵盖变形监测（地表位移、深部位移、裂缝）、应力应变监测（土压力、锚杆应力）、水文地质监测（地下水位、孔隙水压力）以及环境因素监测（降雨量）等。然而如部分资料指出，目前全国范围内尚未形成完全统一的、针对各类边坡监测的专项国家标准，导致技术应用和数据解读上存在一定的区域差异。</w:t>
      </w:r>
    </w:p>
    <w:p w14:paraId="0263083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left"/>
        <w:textAlignment w:val="auto"/>
      </w:pPr>
      <w:r>
        <w:rPr>
          <w:b/>
          <w:bCs/>
        </w:rPr>
        <w:t>1.1.2. 主流监测技术及其局限性</w:t>
      </w:r>
    </w:p>
    <w:p w14:paraId="14D4E5F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当前主流的边坡监测技术主要分为两大类：</w:t>
      </w:r>
    </w:p>
    <w:p w14:paraId="05E93EE5">
      <w:pPr>
        <w:keepLines w:val="0"/>
        <w:pageBreakBefore w:val="0"/>
        <w:widowControl/>
        <w:numPr>
          <w:ilvl w:val="0"/>
          <w:numId w:val="2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传统接触式与非接触式测量：</w:t>
      </w:r>
    </w:p>
    <w:p w14:paraId="79F1D715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人工巡检：</w:t>
      </w:r>
      <w:r>
        <w:t xml:space="preserve"> 作为最基础的手段，成本低但主观性强、无法全天候实时监测，且对于内部变形和渐进性破坏难以提前发现。</w:t>
      </w:r>
    </w:p>
    <w:p w14:paraId="57D36154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专业仪器测量：</w:t>
      </w:r>
      <w:r>
        <w:t xml:space="preserve"> 包括全站仪、GPS/GNSS（全球导航卫星系统）、裂缝计、测斜仪、应力计、孔隙水压计等。这些技术相对成熟，但在大规模、长距离应用场景下面临诸多挑战：</w:t>
      </w:r>
    </w:p>
    <w:p w14:paraId="7B95F52C">
      <w:pPr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260" w:leftChars="0" w:hanging="420" w:firstLineChars="0"/>
        <w:jc w:val="left"/>
        <w:textAlignment w:val="auto"/>
      </w:pPr>
      <w:r>
        <w:rPr>
          <w:b/>
          <w:bCs/>
        </w:rPr>
        <w:t>布点限制：</w:t>
      </w:r>
      <w:r>
        <w:t xml:space="preserve"> GPS/GNSS接收机成本较高，难以实现高密度布点，通常只能监测关键点的宏观位移。</w:t>
      </w:r>
    </w:p>
    <w:p w14:paraId="582CBFF2">
      <w:pPr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260" w:leftChars="0" w:hanging="420" w:firstLineChars="0"/>
        <w:jc w:val="left"/>
        <w:textAlignment w:val="auto"/>
      </w:pPr>
      <w:r>
        <w:rPr>
          <w:b/>
          <w:bCs/>
        </w:rPr>
        <w:t>布线困难与供电问题：</w:t>
      </w:r>
      <w:r>
        <w:t xml:space="preserve"> 传统的电测传感器需要在野外进行大量的信号和电源线缆敷设，施工复杂、易受雷击和电磁干扰，且长期运行的供电保障是个难题。</w:t>
      </w:r>
    </w:p>
    <w:p w14:paraId="675094D1">
      <w:pPr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260" w:leftChars="0" w:hanging="420" w:firstLineChars="0"/>
        <w:jc w:val="left"/>
        <w:textAlignment w:val="auto"/>
      </w:pPr>
      <w:r>
        <w:rPr>
          <w:b/>
          <w:bCs/>
        </w:rPr>
        <w:t>耐久性差：</w:t>
      </w:r>
      <w:r>
        <w:t>电子元器件在野外恶劣的温湿度、腐蚀环境下，长期稳定性和寿命受到考验。</w:t>
      </w:r>
    </w:p>
    <w:p w14:paraId="45A20F80">
      <w:pPr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260" w:leftChars="0" w:hanging="420" w:firstLineChars="0"/>
        <w:jc w:val="left"/>
        <w:textAlignment w:val="auto"/>
      </w:pPr>
      <w:r>
        <w:rPr>
          <w:b/>
          <w:bCs/>
        </w:rPr>
        <w:t>数据离散：</w:t>
      </w:r>
      <w:r>
        <w:t>各类传感器通常独立工作，形成“数据孤岛”，难以构建完整的边坡变形场，无法精准捕捉滑坡启动的初始局部变形特征。</w:t>
      </w:r>
    </w:p>
    <w:p w14:paraId="73A27857">
      <w:pPr>
        <w:keepLines w:val="0"/>
        <w:pageBreakBefore w:val="0"/>
        <w:widowControl/>
        <w:numPr>
          <w:ilvl w:val="0"/>
          <w:numId w:val="2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新兴遥感与自动化监测技术：</w:t>
      </w:r>
    </w:p>
    <w:p w14:paraId="5DDC737D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InSAR（合成孔径雷达干涉测量）、三维激光扫描、无人机摄影测量</w:t>
      </w:r>
      <w:r>
        <w:t>等技术能够提供宏观的面状变形信息，但监测频率较低（通常为天级或周级），难以满足滑坡、泥石流等突发性灾害的临灾预警需求。</w:t>
      </w:r>
    </w:p>
    <w:p w14:paraId="67224E2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left"/>
        <w:textAlignment w:val="auto"/>
      </w:pPr>
      <w:r>
        <w:rPr>
          <w:b/>
          <w:bCs/>
        </w:rPr>
        <w:t>1.1.3. 预警响应机制</w:t>
      </w:r>
    </w:p>
    <w:p w14:paraId="412AEE3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现有规范对预警机制进行了定义，通常根据监测数据的变化速率或累计值设定多级（如蓝、黄、橙、红）预警阈值。一旦触发预警，系统需立即通知相关人员，并采取增加监测频率、现场核查、交通管制、人员疏散等应急措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</w:t>
      </w:r>
      <w:r>
        <w:t>资料中明确提到“橙色预警2小时复核，红色预警立即交通管制”，</w:t>
      </w:r>
      <w:r>
        <w:rPr>
          <w:rFonts w:hint="eastAsia"/>
          <w:lang w:val="en-US" w:eastAsia="zh-CN"/>
        </w:rPr>
        <w:t>对</w:t>
      </w:r>
      <w:r>
        <w:t>自动化监测系统的实时性和响应速度提出了明确要求。</w:t>
      </w:r>
    </w:p>
    <w:p w14:paraId="24775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1"/>
        <w:rPr>
          <w:rFonts w:eastAsia="宋体"/>
          <w:b/>
          <w:sz w:val="26"/>
        </w:rPr>
      </w:pPr>
      <w:r>
        <w:rPr>
          <w:rFonts w:eastAsia="宋体"/>
          <w:b/>
          <w:sz w:val="26"/>
        </w:rPr>
        <w:t>1.2. 本项目需求分析</w:t>
      </w:r>
    </w:p>
    <w:p w14:paraId="1567AE9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基于项目背景描述，本项目核心需求可归纳为以下几点：</w:t>
      </w:r>
    </w:p>
    <w:p w14:paraId="1864622F">
      <w:pPr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监测对象：</w:t>
      </w:r>
      <w:r>
        <w:t xml:space="preserve"> 一段长度约400米、高度</w:t>
      </w:r>
      <w:r>
        <w:rPr>
          <w:rFonts w:hint="eastAsia"/>
          <w:lang w:val="en-US" w:eastAsia="zh-CN"/>
        </w:rPr>
        <w:t>约</w:t>
      </w:r>
      <w:r>
        <w:t>为10米的国道边坡。该边坡存在滑坡、泥石流等潜在地质灾害风险。</w:t>
      </w:r>
    </w:p>
    <w:p w14:paraId="3A5F46AF">
      <w:pPr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监测</w:t>
      </w:r>
      <w:r>
        <w:rPr>
          <w:rFonts w:hint="eastAsia"/>
          <w:b/>
          <w:bCs/>
          <w:lang w:val="en-US" w:eastAsia="zh-CN"/>
        </w:rPr>
        <w:t>目的</w:t>
      </w:r>
      <w:r>
        <w:rPr>
          <w:b/>
          <w:bCs/>
        </w:rPr>
        <w:t>：</w:t>
      </w:r>
      <w:r>
        <w:t xml:space="preserve"> 核心目标是</w:t>
      </w:r>
      <w:r>
        <w:rPr>
          <w:b/>
          <w:bCs/>
        </w:rPr>
        <w:t>提前预警</w:t>
      </w:r>
      <w:r>
        <w:t>，通过实时监测边坡的异常形变，捕捉灾害发生的早期征兆，为运维人员的提前处置争取宝贵时间，避免重大灾害的发生。</w:t>
      </w:r>
    </w:p>
    <w:p w14:paraId="6BAE28E4">
      <w:pPr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技术路径：</w:t>
      </w:r>
      <w:r>
        <w:t xml:space="preserve"> 采用“新一代</w:t>
      </w:r>
      <w:r>
        <w:rPr>
          <w:rFonts w:hint="eastAsia"/>
          <w:lang w:eastAsia="zh-CN"/>
        </w:rPr>
        <w:t>微结构增敏光纤</w:t>
      </w:r>
      <w:r>
        <w:t>”技术，充分发挥其</w:t>
      </w:r>
      <w:r>
        <w:rPr>
          <w:rFonts w:hint="eastAsia"/>
          <w:lang w:val="en-US" w:eastAsia="zh-CN"/>
        </w:rPr>
        <w:t>创新</w:t>
      </w:r>
      <w:r>
        <w:t>技术优势。</w:t>
      </w:r>
    </w:p>
    <w:p w14:paraId="45289F5B">
      <w:pPr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监测网络布局：</w:t>
      </w:r>
      <w:r>
        <w:t xml:space="preserve"> 构建一个覆盖整个边坡的二维监测网络</w:t>
      </w:r>
      <w:r>
        <w:rPr>
          <w:rFonts w:hint="eastAsia"/>
          <w:lang w:eastAsia="zh-CN"/>
        </w:rPr>
        <w:t>，</w:t>
      </w:r>
      <w:r>
        <w:t>具体</w:t>
      </w:r>
      <w:r>
        <w:rPr>
          <w:rFonts w:hint="eastAsia"/>
          <w:lang w:val="en-US" w:eastAsia="zh-CN"/>
        </w:rPr>
        <w:t>是</w:t>
      </w:r>
      <w:r>
        <w:t>在边坡表面加固格栅上，沿水平方向2.5米和7.5米高度，各布设一条400米长的传感光缆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而传感光缆的应力应变和振动感知定位精度是5米</w:t>
      </w:r>
      <w:r>
        <w:t>，</w:t>
      </w:r>
      <w:r>
        <w:rPr>
          <w:rFonts w:hint="eastAsia"/>
          <w:lang w:val="en-US" w:eastAsia="zh-CN"/>
        </w:rPr>
        <w:t>从而</w:t>
      </w:r>
      <w:r>
        <w:t>形成一个</w:t>
      </w:r>
      <w:r>
        <w:rPr>
          <w:rFonts w:hint="eastAsia"/>
          <w:lang w:val="en-US" w:eastAsia="zh-CN"/>
        </w:rPr>
        <w:t>以</w:t>
      </w:r>
      <w:r>
        <w:t>5米×5米</w:t>
      </w:r>
      <w:r>
        <w:rPr>
          <w:rFonts w:hint="eastAsia"/>
          <w:lang w:val="en-US" w:eastAsia="zh-CN"/>
        </w:rPr>
        <w:t>作为感知单元</w:t>
      </w:r>
      <w:r>
        <w:t>的应变和振动</w:t>
      </w:r>
      <w:r>
        <w:rPr>
          <w:rFonts w:hint="eastAsia"/>
          <w:lang w:val="en-US" w:eastAsia="zh-CN"/>
        </w:rPr>
        <w:t>二维</w:t>
      </w:r>
      <w:r>
        <w:t>监测网格。</w:t>
      </w:r>
    </w:p>
    <w:p w14:paraId="441D8190">
      <w:pPr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实时性要求高：</w:t>
      </w:r>
      <w:r>
        <w:t xml:space="preserve"> 系统具备7×24小时不间断实时监测、数据秒级/分钟级采集与分析、以及预警信息秒级触发与推送的能力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有效实现</w:t>
      </w:r>
      <w:r>
        <w:t>“及时上报”</w:t>
      </w:r>
      <w:r>
        <w:rPr>
          <w:rFonts w:hint="eastAsia"/>
          <w:lang w:val="en-US" w:eastAsia="zh-CN"/>
        </w:rPr>
        <w:t>和</w:t>
      </w:r>
      <w:r>
        <w:t>“提前处置”。</w:t>
      </w:r>
    </w:p>
    <w:p w14:paraId="3E6E1D8F">
      <w:pPr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系统完整性：</w:t>
      </w:r>
      <w:r>
        <w:t xml:space="preserve"> 提供一个从前端传感、数据解调、数据传输到后端软件平台分析预警的端到端完整解决方案。</w:t>
      </w:r>
    </w:p>
    <w:p w14:paraId="57846A7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综上所述，本项目旨在利用一种先进的</w:t>
      </w:r>
      <w:r>
        <w:rPr>
          <w:rFonts w:hint="eastAsia"/>
          <w:lang w:val="en-US" w:eastAsia="zh-CN"/>
        </w:rPr>
        <w:t>微结构增敏光纤</w:t>
      </w:r>
      <w:r>
        <w:t>传感技术，解决传统手段在国道边坡长期、实时、高密度、高精度监测方面的痛点，建立一套主动、智能、可靠的灾害预警系统。</w:t>
      </w:r>
    </w:p>
    <w:p w14:paraId="50A11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0"/>
      </w:pPr>
      <w:r>
        <w:rPr>
          <w:rFonts w:hint="eastAsia"/>
          <w:b/>
          <w:sz w:val="30"/>
          <w:lang w:val="en-US" w:eastAsia="zh-CN"/>
        </w:rPr>
        <w:t>二</w:t>
      </w:r>
      <w:r>
        <w:rPr>
          <w:b/>
          <w:sz w:val="30"/>
        </w:rPr>
        <w:t>. 核心技术与优势介绍</w:t>
      </w:r>
    </w:p>
    <w:p w14:paraId="4234A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textAlignment w:val="auto"/>
      </w:pPr>
      <w:r>
        <w:t>本方案采用的核心技术是</w:t>
      </w:r>
      <w:r>
        <w:rPr>
          <w:b/>
        </w:rPr>
        <w:t>基于</w:t>
      </w:r>
      <w:r>
        <w:rPr>
          <w:rFonts w:hint="eastAsia"/>
          <w:b/>
        </w:rPr>
        <w:t>新一代</w:t>
      </w:r>
      <w:r>
        <w:rPr>
          <w:rFonts w:hint="eastAsia"/>
          <w:b/>
          <w:lang w:val="en-US" w:eastAsia="zh-CN"/>
        </w:rPr>
        <w:t>的</w:t>
      </w:r>
      <w:r>
        <w:rPr>
          <w:rFonts w:hint="eastAsia"/>
          <w:b/>
        </w:rPr>
        <w:t>微结构增敏光纤传感</w:t>
      </w:r>
      <w:r>
        <w:rPr>
          <w:rFonts w:hint="eastAsia"/>
          <w:b/>
          <w:lang w:val="en-US" w:eastAsia="zh-CN"/>
        </w:rPr>
        <w:t>技术，</w:t>
      </w:r>
      <w:r>
        <w:t>这是一种</w:t>
      </w:r>
      <w:r>
        <w:rPr>
          <w:rFonts w:hint="eastAsia"/>
          <w:lang w:val="en-US" w:eastAsia="zh-CN"/>
        </w:rPr>
        <w:t>创新性</w:t>
      </w:r>
      <w:r>
        <w:t>的</w:t>
      </w:r>
      <w:r>
        <w:rPr>
          <w:rFonts w:hint="eastAsia"/>
          <w:lang w:val="en-US" w:eastAsia="zh-CN"/>
        </w:rPr>
        <w:t>光学</w:t>
      </w:r>
      <w:r>
        <w:t>传感技术，相较于传统</w:t>
      </w:r>
      <w:r>
        <w:rPr>
          <w:rFonts w:hint="eastAsia"/>
          <w:lang w:val="en-US" w:eastAsia="zh-CN"/>
        </w:rPr>
        <w:t>电学传感</w:t>
      </w:r>
      <w:r>
        <w:t>技术具有无与伦比的优势。</w:t>
      </w:r>
    </w:p>
    <w:p w14:paraId="6DF82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</w:pPr>
      <w:r>
        <w:drawing>
          <wp:inline distT="0" distB="0" distL="114300" distR="114300">
            <wp:extent cx="5268595" cy="2567940"/>
            <wp:effectExtent l="0" t="0" r="8255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B93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jc w:val="center"/>
        <w:textAlignment w:val="auto"/>
        <w:rPr>
          <w:rFonts w:hint="default" w:eastAsia="宋体"/>
          <w:sz w:val="22"/>
          <w:szCs w:val="18"/>
          <w:lang w:val="en-US" w:eastAsia="zh-CN"/>
        </w:rPr>
      </w:pPr>
      <w:r>
        <w:rPr>
          <w:rFonts w:hint="eastAsia"/>
          <w:sz w:val="22"/>
          <w:szCs w:val="18"/>
          <w:lang w:val="en-US" w:eastAsia="zh-CN"/>
        </w:rPr>
        <w:t>图1  光纤传感技术用于多维物理参量探测原理</w:t>
      </w:r>
    </w:p>
    <w:p w14:paraId="6A220D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1"/>
      </w:pPr>
      <w:r>
        <w:rPr>
          <w:b/>
          <w:sz w:val="26"/>
        </w:rPr>
        <w:t xml:space="preserve">2.1. </w:t>
      </w:r>
      <w:r>
        <w:rPr>
          <w:rFonts w:hint="eastAsia"/>
          <w:b/>
          <w:sz w:val="26"/>
          <w:lang w:val="en-US" w:eastAsia="zh-CN"/>
        </w:rPr>
        <w:t>微结构增敏光纤</w:t>
      </w:r>
      <w:r>
        <w:rPr>
          <w:b/>
          <w:sz w:val="26"/>
        </w:rPr>
        <w:t>（</w:t>
      </w:r>
      <w:r>
        <w:rPr>
          <w:rFonts w:hint="eastAsia"/>
          <w:b/>
          <w:sz w:val="26"/>
          <w:lang w:val="en-US" w:eastAsia="zh-CN"/>
        </w:rPr>
        <w:t>MEF</w:t>
      </w:r>
      <w:r>
        <w:rPr>
          <w:b/>
          <w:sz w:val="26"/>
        </w:rPr>
        <w:t>）传感原理</w:t>
      </w:r>
    </w:p>
    <w:p w14:paraId="7B81C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textAlignment w:val="auto"/>
      </w:pPr>
      <w:r>
        <w:rPr>
          <w:rFonts w:hint="eastAsia"/>
          <w:lang w:eastAsia="zh-CN"/>
        </w:rPr>
        <w:t>微结构增敏光纤</w:t>
      </w:r>
      <w:r>
        <w:rPr>
          <w:rFonts w:hint="eastAsia"/>
        </w:rPr>
        <w:t>是一种特殊的光纤，通过在纤芯和包层中引入微孔或微结构，使光在光纤中传输的方式发生变化。由于微结构</w:t>
      </w:r>
      <w:r>
        <w:rPr>
          <w:rFonts w:hint="eastAsia"/>
          <w:lang w:val="en-US" w:eastAsia="zh-CN"/>
        </w:rPr>
        <w:t>尺寸</w:t>
      </w:r>
      <w:r>
        <w:rPr>
          <w:rFonts w:hint="eastAsia"/>
        </w:rPr>
        <w:t>和光纤的直径在同一数量级，所以被称为“</w:t>
      </w:r>
      <w:r>
        <w:rPr>
          <w:rFonts w:hint="eastAsia"/>
          <w:lang w:eastAsia="zh-CN"/>
        </w:rPr>
        <w:t>微结构增敏光纤</w:t>
      </w:r>
      <w:r>
        <w:rPr>
          <w:rFonts w:hint="eastAsia"/>
        </w:rPr>
        <w:t>”。传统光纤通常使用同轴设计，光信号主要沿光轴向传输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而</w:t>
      </w:r>
      <w:r>
        <w:rPr>
          <w:rFonts w:hint="eastAsia"/>
          <w:lang w:eastAsia="zh-CN"/>
        </w:rPr>
        <w:t>微结构增敏光纤</w:t>
      </w:r>
      <w:r>
        <w:rPr>
          <w:rFonts w:hint="eastAsia"/>
        </w:rPr>
        <w:t>则通过设计微孔或微结构，使光在纤芯和包层之间反射或散射，从而实现了在横向方向上的传输。</w:t>
      </w:r>
      <w:r>
        <w:rPr>
          <w:rFonts w:hint="eastAsia"/>
          <w:lang w:eastAsia="zh-CN"/>
        </w:rPr>
        <w:t>微结构增敏光纤</w:t>
      </w:r>
      <w:r>
        <w:rPr>
          <w:rFonts w:hint="eastAsia"/>
        </w:rPr>
        <w:t>具有很高的环境敏感性因此被广泛应用于</w:t>
      </w:r>
      <w:r>
        <w:rPr>
          <w:rFonts w:hint="eastAsia"/>
          <w:lang w:val="en-US" w:eastAsia="zh-CN"/>
        </w:rPr>
        <w:t>光学</w:t>
      </w:r>
      <w:r>
        <w:rPr>
          <w:rFonts w:hint="eastAsia"/>
        </w:rPr>
        <w:t>传感</w:t>
      </w:r>
      <w:r>
        <w:rPr>
          <w:rFonts w:hint="eastAsia"/>
          <w:lang w:val="en-US" w:eastAsia="zh-CN"/>
        </w:rPr>
        <w:t>领域中</w:t>
      </w:r>
      <w:r>
        <w:rPr>
          <w:rFonts w:hint="eastAsia"/>
        </w:rPr>
        <w:t>。</w:t>
      </w:r>
    </w:p>
    <w:p w14:paraId="10896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textAlignment w:val="auto"/>
      </w:pPr>
      <w:r>
        <w:rPr>
          <w:rFonts w:hint="eastAsia"/>
          <w:lang w:val="en-US" w:eastAsia="zh-CN"/>
        </w:rPr>
        <w:t>以微结构增敏光纤应变和温度传感为例，通过</w:t>
      </w:r>
      <w:r>
        <w:t>在光纤纤芯内形成的一种周期性的折射率调制区</w:t>
      </w:r>
      <w:r>
        <w:rPr>
          <w:rFonts w:hint="eastAsia"/>
          <w:lang w:eastAsia="zh-CN"/>
        </w:rPr>
        <w:t>，</w:t>
      </w:r>
      <w:r>
        <w:t>当一束</w:t>
      </w:r>
      <w:r>
        <w:rPr>
          <w:rFonts w:hint="eastAsia"/>
          <w:lang w:val="en-US" w:eastAsia="zh-CN"/>
        </w:rPr>
        <w:t>激光</w:t>
      </w:r>
      <w:r>
        <w:t>通过</w:t>
      </w:r>
      <w:r>
        <w:rPr>
          <w:rFonts w:hint="eastAsia"/>
          <w:lang w:val="en-US" w:eastAsia="zh-CN"/>
        </w:rPr>
        <w:t>微结构</w:t>
      </w:r>
      <w:r>
        <w:t>时，只有满足条件的特定波长光（λB）才会被反射回来，其余波长的光则会透射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而这个特定</w:t>
      </w:r>
      <w:r>
        <w:t>波长</w:t>
      </w:r>
      <w:r>
        <w:rPr>
          <w:rFonts w:hint="eastAsia"/>
          <w:lang w:val="en-US" w:eastAsia="zh-CN"/>
        </w:rPr>
        <w:t>光</w:t>
      </w:r>
      <w:r>
        <w:t>λB会随着外界</w:t>
      </w:r>
      <w:r>
        <w:rPr>
          <w:rFonts w:hint="eastAsia"/>
          <w:lang w:val="en-US" w:eastAsia="zh-CN"/>
        </w:rPr>
        <w:t>环境</w:t>
      </w:r>
      <w:r>
        <w:t>物理量的变化而发生漂移。</w:t>
      </w:r>
    </w:p>
    <w:p w14:paraId="4813B3D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420" w:leftChars="0" w:firstLine="0" w:firstLineChars="0"/>
        <w:textAlignment w:val="auto"/>
      </w:pPr>
      <w:r>
        <w:rPr>
          <w:b/>
        </w:rPr>
        <w:t>应变响应：</w:t>
      </w:r>
      <w:r>
        <w:t xml:space="preserve"> 当</w:t>
      </w:r>
      <w:r>
        <w:rPr>
          <w:rFonts w:hint="eastAsia"/>
          <w:lang w:val="en-US" w:eastAsia="zh-CN"/>
        </w:rPr>
        <w:t>光纤微结构</w:t>
      </w:r>
      <w:r>
        <w:t>受到轴向应变（ε）时，其周期（Λ）和有效折射率（neff）会发生改变，导致λB漂移。</w:t>
      </w:r>
    </w:p>
    <w:p w14:paraId="2A31D27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420" w:leftChars="0" w:firstLine="0" w:firstLineChars="0"/>
        <w:textAlignment w:val="auto"/>
      </w:pPr>
      <w:r>
        <w:rPr>
          <w:b/>
        </w:rPr>
        <w:t>温度响应：</w:t>
      </w:r>
      <w:r>
        <w:t xml:space="preserve"> 当环境温度（T）变化时，由于光纤</w:t>
      </w:r>
      <w:r>
        <w:rPr>
          <w:rFonts w:hint="eastAsia"/>
          <w:lang w:val="en-US" w:eastAsia="zh-CN"/>
        </w:rPr>
        <w:t>微结构</w:t>
      </w:r>
      <w:r>
        <w:t>的热胀冷缩效应和热光效应，同样会引起周期（Λ）和有效折射率（neff）的变化，导致λB漂移。</w:t>
      </w:r>
    </w:p>
    <w:p w14:paraId="3F67E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textAlignment w:val="auto"/>
      </w:pPr>
      <w:r>
        <w:t>因此，通过高精度地测量反射回来的</w:t>
      </w:r>
      <w:r>
        <w:rPr>
          <w:rFonts w:hint="eastAsia"/>
          <w:lang w:val="en-US" w:eastAsia="zh-CN"/>
        </w:rPr>
        <w:t>特定</w:t>
      </w:r>
      <w:r>
        <w:t>波长</w:t>
      </w:r>
      <w:r>
        <w:rPr>
          <w:rFonts w:hint="eastAsia"/>
          <w:lang w:val="en-US" w:eastAsia="zh-CN"/>
        </w:rPr>
        <w:t>光</w:t>
      </w:r>
      <w:r>
        <w:t>λB的变化量，就可以反演出</w:t>
      </w:r>
      <w:r>
        <w:rPr>
          <w:rFonts w:hint="eastAsia"/>
          <w:lang w:val="en-US" w:eastAsia="zh-CN"/>
        </w:rPr>
        <w:t>光纤微结构</w:t>
      </w:r>
      <w:r>
        <w:t>所在位置的应变</w:t>
      </w:r>
      <w:r>
        <w:rPr>
          <w:rFonts w:hint="eastAsia"/>
          <w:lang w:eastAsia="zh-CN"/>
        </w:rPr>
        <w:t>、</w:t>
      </w:r>
      <w:r>
        <w:t>温度</w:t>
      </w:r>
      <w:r>
        <w:rPr>
          <w:rFonts w:hint="eastAsia"/>
          <w:lang w:val="en-US" w:eastAsia="zh-CN"/>
        </w:rPr>
        <w:t>以及振动等多维</w:t>
      </w:r>
      <w:r>
        <w:t>信息。</w:t>
      </w:r>
    </w:p>
    <w:p w14:paraId="613F7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1"/>
      </w:pPr>
      <w:r>
        <w:rPr>
          <w:b/>
          <w:sz w:val="26"/>
        </w:rPr>
        <w:t xml:space="preserve">2.2. </w:t>
      </w:r>
      <w:r>
        <w:rPr>
          <w:rFonts w:hint="eastAsia"/>
          <w:b/>
          <w:sz w:val="26"/>
        </w:rPr>
        <w:t>新一代微结构增敏光纤传感</w:t>
      </w:r>
      <w:r>
        <w:rPr>
          <w:b/>
          <w:sz w:val="26"/>
        </w:rPr>
        <w:t>技术——实现准分布式</w:t>
      </w:r>
      <w:r>
        <w:rPr>
          <w:rFonts w:hint="eastAsia"/>
          <w:b/>
          <w:sz w:val="26"/>
          <w:lang w:val="en-US" w:eastAsia="zh-CN"/>
        </w:rPr>
        <w:t>高灵敏度</w:t>
      </w:r>
      <w:r>
        <w:rPr>
          <w:b/>
          <w:sz w:val="26"/>
        </w:rPr>
        <w:t>监测</w:t>
      </w:r>
    </w:p>
    <w:p w14:paraId="39E46F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textAlignment w:val="auto"/>
      </w:pPr>
      <w:r>
        <w:t>本方案采用的“</w:t>
      </w:r>
      <w:r>
        <w:rPr>
          <w:rFonts w:hint="eastAsia"/>
        </w:rPr>
        <w:t>新一代微结构增敏光纤传感</w:t>
      </w:r>
      <w:r>
        <w:t>”技术，</w:t>
      </w:r>
      <w:r>
        <w:rPr>
          <w:rFonts w:cstheme="minorBidi"/>
        </w:rPr>
        <w:t>利用波分复用技术在一</w:t>
      </w:r>
      <w:r>
        <w:t>根极细的光纤上集成数十甚至上百个具有不同</w:t>
      </w:r>
      <w:r>
        <w:rPr>
          <w:rFonts w:hint="eastAsia"/>
          <w:lang w:val="en-US" w:eastAsia="zh-CN"/>
        </w:rPr>
        <w:t>精细化微结构的增敏光纤传感器，从而在一根连续光缆上实现应变、温度、振动等多维物理参量的准分布式高灵敏度监测</w:t>
      </w:r>
      <w:r>
        <w:t>。</w:t>
      </w:r>
    </w:p>
    <w:p w14:paraId="38DDA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</w:pPr>
      <w:r>
        <w:drawing>
          <wp:inline distT="0" distB="0" distL="114300" distR="114300">
            <wp:extent cx="5265420" cy="2786380"/>
            <wp:effectExtent l="0" t="0" r="1905" b="444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A6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jc w:val="center"/>
        <w:textAlignment w:val="auto"/>
        <w:rPr>
          <w:rFonts w:hint="default" w:eastAsia="宋体"/>
          <w:sz w:val="22"/>
          <w:szCs w:val="18"/>
          <w:lang w:val="en-US" w:eastAsia="zh-CN"/>
        </w:rPr>
      </w:pPr>
      <w:r>
        <w:rPr>
          <w:rFonts w:hint="eastAsia"/>
          <w:sz w:val="22"/>
          <w:szCs w:val="18"/>
          <w:lang w:val="en-US" w:eastAsia="zh-CN"/>
        </w:rPr>
        <w:t>图2  新一代微结构增敏光纤传感技术</w:t>
      </w:r>
    </w:p>
    <w:p w14:paraId="19553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1"/>
        <w:rPr>
          <w:rFonts w:eastAsia="宋体"/>
          <w:b/>
          <w:sz w:val="26"/>
        </w:rPr>
      </w:pPr>
      <w:r>
        <w:rPr>
          <w:rFonts w:eastAsia="宋体"/>
          <w:b/>
          <w:sz w:val="26"/>
        </w:rPr>
        <w:t>2.3. 相对于传统监测技术的综合优势</w:t>
      </w:r>
    </w:p>
    <w:p w14:paraId="5C6657F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left"/>
        <w:textAlignment w:val="auto"/>
      </w:pPr>
      <w:r>
        <w:t>将新一代</w:t>
      </w:r>
      <w:r>
        <w:rPr>
          <w:rFonts w:hint="eastAsia"/>
        </w:rPr>
        <w:t>微结构增敏光纤传感</w:t>
      </w:r>
      <w:r>
        <w:t>技术应用于本项目，其优势是全方位的：</w:t>
      </w:r>
    </w:p>
    <w:p w14:paraId="03B69E4E">
      <w:pPr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420" w:leftChars="0" w:hanging="420" w:firstLineChars="0"/>
        <w:jc w:val="left"/>
        <w:textAlignment w:val="auto"/>
      </w:pPr>
      <w:r>
        <w:rPr>
          <w:b/>
          <w:bCs/>
        </w:rPr>
        <w:t>高精度与高灵敏度：</w:t>
      </w:r>
      <w:r>
        <w:t xml:space="preserve"> </w:t>
      </w:r>
      <w:r>
        <w:rPr>
          <w:rFonts w:hint="eastAsia"/>
        </w:rPr>
        <w:t>微结构增敏光纤传感</w:t>
      </w:r>
      <w:r>
        <w:t>本身具有</w:t>
      </w:r>
      <w:r>
        <w:rPr>
          <w:rFonts w:hint="eastAsia"/>
          <w:lang w:val="en-US" w:eastAsia="zh-CN"/>
        </w:rPr>
        <w:t>很高</w:t>
      </w:r>
      <w:r>
        <w:t>的测量精度，应变测量精度可优于1微应变（με），温度测量精度可达±0.5℃</w:t>
      </w:r>
      <w:r>
        <w:rPr>
          <w:rFonts w:hint="eastAsia"/>
          <w:lang w:eastAsia="zh-CN"/>
        </w:rPr>
        <w:t>，</w:t>
      </w:r>
      <w:r>
        <w:t>这种高精度足以捕捉到滑坡发生前坡体微小的应力调整和变形累积。</w:t>
      </w:r>
    </w:p>
    <w:p w14:paraId="45BEC68B">
      <w:pPr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420" w:leftChars="0" w:hanging="420" w:firstLineChars="0"/>
        <w:jc w:val="left"/>
        <w:textAlignment w:val="auto"/>
      </w:pPr>
      <w:r>
        <w:rPr>
          <w:b/>
          <w:bCs/>
        </w:rPr>
        <w:t>分布式与</w:t>
      </w:r>
      <w:r>
        <w:rPr>
          <w:rFonts w:hint="eastAsia"/>
          <w:b/>
          <w:bCs/>
          <w:lang w:val="en-US" w:eastAsia="zh-CN"/>
        </w:rPr>
        <w:t>网格</w:t>
      </w:r>
      <w:r>
        <w:rPr>
          <w:b/>
          <w:bCs/>
        </w:rPr>
        <w:t>化监测：</w:t>
      </w:r>
      <w:r>
        <w:t xml:space="preserve"> </w:t>
      </w:r>
      <w:r>
        <w:rPr>
          <w:rFonts w:hint="eastAsia"/>
          <w:lang w:eastAsia="zh-CN"/>
        </w:rPr>
        <w:t>微结构增敏光纤</w:t>
      </w:r>
      <w:r>
        <w:rPr>
          <w:rFonts w:hint="eastAsia"/>
        </w:rPr>
        <w:t>传感</w:t>
      </w:r>
      <w:r>
        <w:t>阵列技术使得在400米×10米的边坡</w:t>
      </w:r>
      <w:r>
        <w:rPr>
          <w:rFonts w:hint="eastAsia"/>
          <w:lang w:val="en-US" w:eastAsia="zh-CN"/>
        </w:rPr>
        <w:t>上</w:t>
      </w:r>
      <w:r>
        <w:t>构建一个</w:t>
      </w:r>
      <w:r>
        <w:rPr>
          <w:rFonts w:hint="eastAsia"/>
          <w:lang w:val="en-US" w:eastAsia="zh-CN"/>
        </w:rPr>
        <w:t>以</w:t>
      </w:r>
      <w:r>
        <w:t>5米×5米</w:t>
      </w:r>
      <w:r>
        <w:rPr>
          <w:rFonts w:hint="eastAsia"/>
          <w:lang w:val="en-US" w:eastAsia="zh-CN"/>
        </w:rPr>
        <w:t>为基础监测网格单元</w:t>
      </w:r>
      <w:r>
        <w:t>的传感网络成为可能。这个网络不再是监测离散的点，而是能够描绘出整个坡面的“应变云图”</w:t>
      </w:r>
      <w:r>
        <w:rPr>
          <w:rFonts w:hint="eastAsia"/>
          <w:lang w:val="en-US" w:eastAsia="zh-CN"/>
        </w:rPr>
        <w:t>以及</w:t>
      </w:r>
      <w:r>
        <w:t>“振动分布图”，可以清晰地识别出异常应力集中区域和变形扩展路径，这是传统点式传感器无法比拟的。</w:t>
      </w:r>
    </w:p>
    <w:p w14:paraId="7667EDB9">
      <w:pPr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420" w:leftChars="0" w:hanging="420" w:firstLineChars="0"/>
        <w:jc w:val="left"/>
        <w:textAlignment w:val="auto"/>
      </w:pPr>
      <w:r>
        <w:rPr>
          <w:b/>
          <w:bCs/>
        </w:rPr>
        <w:t>本质安全与抗电磁干扰：</w:t>
      </w:r>
      <w:r>
        <w:t xml:space="preserve"> 传感部分完全由石英玻璃构成，是无源器件，不带电、不发热，本质安全。它完全免疫于雷电、高压电线、通信基站等电磁干扰（EMI），也无惧易燃易爆环境，这对于野外长期部署至关重要。</w:t>
      </w:r>
    </w:p>
    <w:p w14:paraId="68DD93AB">
      <w:pPr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420" w:leftChars="0" w:hanging="420" w:firstLineChars="0"/>
        <w:jc w:val="left"/>
        <w:textAlignment w:val="auto"/>
      </w:pPr>
      <w:r>
        <w:rPr>
          <w:b/>
          <w:bCs/>
        </w:rPr>
        <w:t>优异的耐久性与长期稳定性：</w:t>
      </w:r>
      <w:r>
        <w:t xml:space="preserve"> 石英材料具有极佳的化学稳定性和抗腐蚀性，封装后的</w:t>
      </w:r>
      <w:r>
        <w:rPr>
          <w:rFonts w:hint="eastAsia"/>
          <w:lang w:val="en-US" w:eastAsia="zh-CN"/>
        </w:rPr>
        <w:t>微结构增敏光纤</w:t>
      </w:r>
      <w:r>
        <w:t>传感器能够抵抗恶劣的自然环境（高低温、潮湿、酸碱等）。其物理特性稳定，蠕变小，理论上具有与结构物同等的寿命，安装多年</w:t>
      </w:r>
      <w:r>
        <w:rPr>
          <w:rFonts w:hint="eastAsia"/>
          <w:lang w:val="en-US" w:eastAsia="zh-CN"/>
        </w:rPr>
        <w:t>也可以</w:t>
      </w:r>
      <w:r>
        <w:t>工作良好，非常适合需要进行数年甚至数十年长期监测的土木</w:t>
      </w:r>
      <w:r>
        <w:rPr>
          <w:rFonts w:hint="eastAsia"/>
          <w:lang w:val="en-US" w:eastAsia="zh-CN"/>
        </w:rPr>
        <w:t>结构</w:t>
      </w:r>
      <w:r>
        <w:t>工程项目。</w:t>
      </w:r>
    </w:p>
    <w:p w14:paraId="4E84CE80">
      <w:pPr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420" w:leftChars="0" w:hanging="420" w:firstLineChars="0"/>
        <w:jc w:val="left"/>
        <w:textAlignment w:val="auto"/>
      </w:pPr>
      <w:r>
        <w:rPr>
          <w:b/>
          <w:bCs/>
        </w:rPr>
        <w:t>布线简单与易于维护：</w:t>
      </w:r>
      <w:r>
        <w:t xml:space="preserve"> 整个监测网络仅需布设几根纤细的光缆，大大减少了现场施工的复杂度和对坡体的扰动。光纤本身重量轻、体积小，可以方便地固定在加固格栅上。系统建成后，前端传感器基本免维护，主要维护工作集中在中心站点的解调</w:t>
      </w:r>
      <w:r>
        <w:rPr>
          <w:rFonts w:hint="eastAsia"/>
          <w:lang w:val="en-US" w:eastAsia="zh-CN"/>
        </w:rPr>
        <w:t>系统</w:t>
      </w:r>
      <w:r>
        <w:t>上。</w:t>
      </w:r>
    </w:p>
    <w:p w14:paraId="0700F55F">
      <w:pPr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420" w:leftChars="0" w:hanging="420" w:firstLineChars="0"/>
        <w:jc w:val="left"/>
        <w:textAlignment w:val="auto"/>
      </w:pPr>
      <w:r>
        <w:rPr>
          <w:b/>
          <w:bCs/>
        </w:rPr>
        <w:t>多参数融合监测：</w:t>
      </w:r>
      <w:r>
        <w:t xml:space="preserve"> 通过特定的</w:t>
      </w:r>
      <w:r>
        <w:rPr>
          <w:rFonts w:hint="eastAsia"/>
          <w:lang w:val="en-US" w:eastAsia="zh-CN"/>
        </w:rPr>
        <w:t>光学微结构</w:t>
      </w:r>
      <w:r>
        <w:t>封装和</w:t>
      </w:r>
      <w:r>
        <w:rPr>
          <w:rFonts w:hint="eastAsia"/>
          <w:lang w:val="en-US" w:eastAsia="zh-CN"/>
        </w:rPr>
        <w:t>成缆</w:t>
      </w:r>
      <w:r>
        <w:t>布设方式，</w:t>
      </w:r>
      <w:r>
        <w:rPr>
          <w:rFonts w:hint="eastAsia"/>
          <w:lang w:val="en-US" w:eastAsia="zh-CN"/>
        </w:rPr>
        <w:t>微结构增敏光纤</w:t>
      </w:r>
      <w:r>
        <w:t>传感器不仅能测应变，还能精确测量温度，从而实现对应变测量的温度补偿，确保数据的准确性。同时，高频采样的应变数据可以反映振动情况，实现“一纤多</w:t>
      </w:r>
      <w:r>
        <w:rPr>
          <w:rFonts w:hint="eastAsia"/>
          <w:lang w:val="en-US" w:eastAsia="zh-CN"/>
        </w:rPr>
        <w:t>感</w:t>
      </w:r>
      <w:r>
        <w:t>”。</w:t>
      </w:r>
    </w:p>
    <w:p w14:paraId="4C8384F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综上，新一代</w:t>
      </w:r>
      <w:r>
        <w:rPr>
          <w:rFonts w:hint="eastAsia"/>
          <w:lang w:eastAsia="zh-CN"/>
        </w:rPr>
        <w:t>微结构增敏光纤</w:t>
      </w:r>
      <w:r>
        <w:t>技术为国道边坡安全监测提供了一种从“点”到“面”、从“被动”到“主动”、从“宏观”到“微观”的</w:t>
      </w:r>
      <w:r>
        <w:rPr>
          <w:rFonts w:hint="eastAsia"/>
          <w:lang w:val="en-US" w:eastAsia="zh-CN"/>
        </w:rPr>
        <w:t>创新</w:t>
      </w:r>
      <w:r>
        <w:t>性技术手段。</w:t>
      </w:r>
    </w:p>
    <w:p w14:paraId="6FFEF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0"/>
        <w:rPr>
          <w:rFonts w:hint="eastAsia" w:eastAsia="宋体"/>
          <w:b/>
          <w:sz w:val="30"/>
          <w:lang w:val="en-US" w:eastAsia="zh-CN"/>
        </w:rPr>
      </w:pPr>
      <w:r>
        <w:rPr>
          <w:rFonts w:hint="eastAsia" w:eastAsia="宋体"/>
          <w:b/>
          <w:sz w:val="30"/>
          <w:lang w:val="en-US" w:eastAsia="zh-CN"/>
        </w:rPr>
        <w:t>三. 方案概要与技术指标</w:t>
      </w:r>
    </w:p>
    <w:p w14:paraId="4FDB7EC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本章节</w:t>
      </w:r>
      <w:r>
        <w:rPr>
          <w:rFonts w:hint="eastAsia"/>
          <w:lang w:val="en-US" w:eastAsia="zh-CN"/>
        </w:rPr>
        <w:t>主要</w:t>
      </w:r>
      <w:r>
        <w:t>阐述基于项目需求的具体实施方案和关键设备的技术性能指标。</w:t>
      </w:r>
    </w:p>
    <w:p w14:paraId="67A1EEB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jc w:val="left"/>
        <w:textAlignment w:val="auto"/>
      </w:pPr>
      <w:r>
        <w:drawing>
          <wp:inline distT="0" distB="0" distL="114300" distR="114300">
            <wp:extent cx="5267325" cy="3171825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729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8" w:lineRule="auto"/>
        <w:jc w:val="center"/>
        <w:textAlignment w:val="auto"/>
        <w:rPr>
          <w:rFonts w:hint="default" w:eastAsia="宋体"/>
          <w:sz w:val="22"/>
          <w:szCs w:val="18"/>
          <w:lang w:val="en-US" w:eastAsia="zh-CN"/>
        </w:rPr>
      </w:pPr>
      <w:r>
        <w:rPr>
          <w:rFonts w:hint="eastAsia"/>
          <w:sz w:val="22"/>
          <w:szCs w:val="18"/>
          <w:lang w:val="en-US" w:eastAsia="zh-CN"/>
        </w:rPr>
        <w:t>图3  基于微结构增敏光纤传感技术的边坡结构健康监测系统框图</w:t>
      </w:r>
    </w:p>
    <w:p w14:paraId="26C6C34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</w:p>
    <w:p w14:paraId="0F1D0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1"/>
        <w:rPr>
          <w:b/>
          <w:sz w:val="26"/>
        </w:rPr>
      </w:pPr>
      <w:r>
        <w:rPr>
          <w:b/>
          <w:sz w:val="26"/>
        </w:rPr>
        <w:t>3.1. 系统总体架构</w:t>
      </w:r>
    </w:p>
    <w:p w14:paraId="77E93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textAlignment w:val="auto"/>
      </w:pPr>
      <w:r>
        <w:t>系统采用分层分布式架构，逻辑上分为四层：</w:t>
      </w:r>
    </w:p>
    <w:p w14:paraId="24A997A8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420" w:leftChars="0" w:firstLine="0" w:firstLineChars="0"/>
        <w:textAlignment w:val="auto"/>
      </w:pPr>
      <w:r>
        <w:rPr>
          <w:rFonts w:hint="eastAsia"/>
          <w:b/>
          <w:lang w:val="en-US" w:eastAsia="zh-CN"/>
        </w:rPr>
        <w:t>物理参量</w:t>
      </w:r>
      <w:r>
        <w:rPr>
          <w:b/>
        </w:rPr>
        <w:t>感知层:</w:t>
      </w:r>
    </w:p>
    <w:p w14:paraId="3B37BD94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</w:pPr>
      <w:r>
        <w:rPr>
          <w:b/>
        </w:rPr>
        <w:t>核心：</w:t>
      </w:r>
      <w:r>
        <w:t xml:space="preserve"> </w:t>
      </w:r>
      <w:r>
        <w:rPr>
          <w:rFonts w:hint="eastAsia"/>
        </w:rPr>
        <w:t>部署在边坡现场的微结构增敏光纤传感网络，直接感知坡体表面的应变和振动</w:t>
      </w:r>
      <w:r>
        <w:t>。</w:t>
      </w:r>
    </w:p>
    <w:p w14:paraId="1CC9FCA8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</w:pPr>
      <w:r>
        <w:rPr>
          <w:b/>
        </w:rPr>
        <w:t>组成：</w:t>
      </w:r>
      <w:r>
        <w:t xml:space="preserve"> </w:t>
      </w:r>
      <w:r>
        <w:rPr>
          <w:rFonts w:hint="eastAsia"/>
        </w:rPr>
        <w:t>在边坡表面加固格栅上，沿水平方向2.5米和7.5米高度，各布设一条400米长的传感光缆，传感光缆的应力应变和振动</w:t>
      </w:r>
      <w:r>
        <w:rPr>
          <w:rFonts w:hint="eastAsia"/>
          <w:lang w:eastAsia="zh-CN"/>
        </w:rPr>
        <w:t>感知定位精度</w:t>
      </w:r>
      <w:r>
        <w:rPr>
          <w:rFonts w:hint="eastAsia"/>
        </w:rPr>
        <w:t>是5米，从而形成一个以5米×5米作为</w:t>
      </w:r>
      <w:r>
        <w:rPr>
          <w:rFonts w:hint="eastAsia"/>
          <w:lang w:val="en-US" w:eastAsia="zh-CN"/>
        </w:rPr>
        <w:t>基础感测</w:t>
      </w:r>
      <w:r>
        <w:rPr>
          <w:rFonts w:hint="eastAsia"/>
        </w:rPr>
        <w:t>单元的应变和振动二维监测网格。</w:t>
      </w:r>
    </w:p>
    <w:p w14:paraId="058B63EB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420" w:leftChars="0" w:firstLine="0" w:firstLineChars="0"/>
        <w:textAlignment w:val="auto"/>
      </w:pPr>
      <w:r>
        <w:rPr>
          <w:rFonts w:hint="eastAsia"/>
          <w:b/>
          <w:lang w:val="en-US" w:eastAsia="zh-CN"/>
        </w:rPr>
        <w:t>多维数据</w:t>
      </w:r>
      <w:r>
        <w:rPr>
          <w:b/>
        </w:rPr>
        <w:t>采集层:</w:t>
      </w:r>
    </w:p>
    <w:p w14:paraId="0F2635D2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</w:pPr>
      <w:r>
        <w:rPr>
          <w:b/>
        </w:rPr>
        <w:t>核心：</w:t>
      </w:r>
      <w:r>
        <w:t xml:space="preserve"> </w:t>
      </w:r>
      <w:r>
        <w:rPr>
          <w:rFonts w:hint="eastAsia"/>
          <w:lang w:val="en-US" w:eastAsia="zh-CN"/>
        </w:rPr>
        <w:t>微结构增敏光纤传感</w:t>
      </w:r>
      <w:r>
        <w:t>解调主机、边缘计算网关和5G通信模块。</w:t>
      </w:r>
    </w:p>
    <w:p w14:paraId="14B3A777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</w:pPr>
      <w:r>
        <w:rPr>
          <w:b/>
        </w:rPr>
        <w:t>组成：</w:t>
      </w:r>
      <w:r>
        <w:t xml:space="preserve"> 一台多通道、高频</w:t>
      </w:r>
      <w:r>
        <w:rPr>
          <w:rFonts w:hint="eastAsia"/>
          <w:lang w:val="en-US" w:eastAsia="zh-CN"/>
        </w:rPr>
        <w:t>微结构增敏光纤传感</w:t>
      </w:r>
      <w:r>
        <w:t>解调主机，负责向</w:t>
      </w:r>
      <w:r>
        <w:rPr>
          <w:rFonts w:hint="eastAsia"/>
          <w:lang w:eastAsia="zh-CN"/>
        </w:rPr>
        <w:t>微结构增敏光纤</w:t>
      </w:r>
      <w:r>
        <w:t>发射光信号并接收、解析反射</w:t>
      </w:r>
      <w:r>
        <w:rPr>
          <w:rFonts w:hint="eastAsia"/>
          <w:lang w:eastAsia="zh-CN"/>
        </w:rPr>
        <w:t>光学信号</w:t>
      </w:r>
      <w:r>
        <w:t>。解调主机集成或外接边缘计算网关，对原始</w:t>
      </w:r>
      <w:r>
        <w:rPr>
          <w:rFonts w:hint="eastAsia"/>
          <w:lang w:eastAsia="zh-CN"/>
        </w:rPr>
        <w:t>光学信号</w:t>
      </w:r>
      <w:r>
        <w:t>数据进行初步处理和结构化。</w:t>
      </w:r>
    </w:p>
    <w:p w14:paraId="19F2CAAF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</w:pPr>
      <w:r>
        <w:rPr>
          <w:b/>
        </w:rPr>
        <w:t>部署：</w:t>
      </w:r>
      <w:r>
        <w:t xml:space="preserve"> 所有设备集成于</w:t>
      </w:r>
      <w:r>
        <w:rPr>
          <w:rFonts w:hint="eastAsia"/>
          <w:lang w:val="en-US" w:eastAsia="zh-CN"/>
        </w:rPr>
        <w:t>边坡</w:t>
      </w:r>
      <w:r>
        <w:t>附近的路侧全天候防护设备箱内，通过市电或太阳能供电。</w:t>
      </w:r>
    </w:p>
    <w:p w14:paraId="62AD4B68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</w:pPr>
      <w:r>
        <w:rPr>
          <w:b/>
        </w:rPr>
        <w:t>数据传输：</w:t>
      </w:r>
      <w:r>
        <w:t xml:space="preserve"> 结构化后的监测数据通过工业级5G CPE/Router，利用5G公网实时回传至中心</w:t>
      </w:r>
      <w:r>
        <w:rPr>
          <w:rFonts w:hint="eastAsia"/>
          <w:lang w:val="en-US" w:eastAsia="zh-CN"/>
        </w:rPr>
        <w:t>管理</w:t>
      </w:r>
      <w:r>
        <w:t>机房。</w:t>
      </w:r>
    </w:p>
    <w:p w14:paraId="5B7D6D9A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420" w:leftChars="0" w:firstLine="0" w:firstLineChars="0"/>
        <w:textAlignment w:val="auto"/>
      </w:pPr>
      <w:r>
        <w:rPr>
          <w:b/>
        </w:rPr>
        <w:t>数据</w:t>
      </w:r>
      <w:r>
        <w:rPr>
          <w:rFonts w:hint="eastAsia"/>
          <w:b/>
          <w:lang w:val="en-US" w:eastAsia="zh-CN"/>
        </w:rPr>
        <w:t>传输管理</w:t>
      </w:r>
      <w:r>
        <w:rPr>
          <w:b/>
        </w:rPr>
        <w:t>层:</w:t>
      </w:r>
    </w:p>
    <w:p w14:paraId="17E397E6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</w:pPr>
      <w:r>
        <w:rPr>
          <w:b/>
        </w:rPr>
        <w:t>核心：</w:t>
      </w:r>
      <w:r>
        <w:t xml:space="preserve"> 部署在管理机房的服务器和专用数据库。</w:t>
      </w:r>
    </w:p>
    <w:p w14:paraId="2CB403A8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</w:pPr>
      <w:r>
        <w:rPr>
          <w:b/>
        </w:rPr>
        <w:t>组成：</w:t>
      </w:r>
      <w:r>
        <w:t xml:space="preserve"> 采用高性能服务器，配置时间序列数据库用于存储高频动态数据，关系型数据库用于存储配置信息、报警记录和分析结果。</w:t>
      </w:r>
    </w:p>
    <w:p w14:paraId="4EF43B37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</w:pPr>
      <w:r>
        <w:rPr>
          <w:b/>
        </w:rPr>
        <w:t>功能：</w:t>
      </w:r>
      <w:r>
        <w:t xml:space="preserve"> 负责海量监测数据的接收、清洗、持久化存储、备份与管理，确保数据的完整性、一致性和安全性。</w:t>
      </w:r>
    </w:p>
    <w:p w14:paraId="618F7DAC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420" w:leftChars="0" w:firstLine="0" w:firstLineChars="0"/>
        <w:textAlignment w:val="auto"/>
      </w:pPr>
      <w:r>
        <w:rPr>
          <w:rFonts w:hint="eastAsia"/>
          <w:b/>
          <w:lang w:val="en-US" w:eastAsia="zh-CN"/>
        </w:rPr>
        <w:t>系统</w:t>
      </w:r>
      <w:r>
        <w:rPr>
          <w:b/>
        </w:rPr>
        <w:t>应用展示层:</w:t>
      </w:r>
    </w:p>
    <w:p w14:paraId="06329C2C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</w:pPr>
      <w:r>
        <w:rPr>
          <w:b/>
        </w:rPr>
        <w:t>核心：</w:t>
      </w:r>
      <w:r>
        <w:t xml:space="preserve"> </w:t>
      </w:r>
      <w:r>
        <w:rPr>
          <w:rFonts w:hint="eastAsia"/>
          <w:lang w:val="en-US" w:eastAsia="zh-CN"/>
        </w:rPr>
        <w:t>边坡</w:t>
      </w:r>
      <w:r>
        <w:t>结构健康监测与智能预警软件平台。</w:t>
      </w:r>
    </w:p>
    <w:p w14:paraId="2D26D12C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</w:pPr>
      <w:r>
        <w:rPr>
          <w:b/>
        </w:rPr>
        <w:t>功能：</w:t>
      </w:r>
      <w:r>
        <w:t xml:space="preserve"> 提供B/S架构的Web访问界面，支持多用户、多权限管理。实现监测数据的多维度实时可视化、历史数据查询与对比分析、结构状态评估、智能报警、报表自动生成等功能。同时，为运维人员提供移动端APP，随时随地接收报警信息和查看桥梁状态。</w:t>
      </w:r>
    </w:p>
    <w:p w14:paraId="71E74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1"/>
        <w:rPr>
          <w:rFonts w:eastAsia="宋体"/>
          <w:b/>
          <w:sz w:val="26"/>
        </w:rPr>
      </w:pPr>
      <w:r>
        <w:rPr>
          <w:rFonts w:eastAsia="宋体"/>
          <w:b/>
          <w:sz w:val="26"/>
        </w:rPr>
        <w:t>3.</w:t>
      </w:r>
      <w:r>
        <w:rPr>
          <w:rFonts w:hint="eastAsia" w:eastAsia="宋体"/>
          <w:b/>
          <w:sz w:val="26"/>
          <w:lang w:val="en-US" w:eastAsia="zh-CN"/>
        </w:rPr>
        <w:t>2</w:t>
      </w:r>
      <w:r>
        <w:rPr>
          <w:rFonts w:eastAsia="宋体"/>
          <w:b/>
          <w:sz w:val="26"/>
        </w:rPr>
        <w:t>. 传感网络布局</w:t>
      </w:r>
    </w:p>
    <w:p w14:paraId="175352D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left"/>
        <w:textAlignment w:val="auto"/>
      </w:pPr>
      <w:r>
        <w:t>根据项目初步方案，我们设计如下的传感网络布局：</w:t>
      </w:r>
    </w:p>
    <w:p w14:paraId="4D73CDE2">
      <w:pPr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监测网格构建：</w:t>
      </w:r>
    </w:p>
    <w:p w14:paraId="27A734F2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水平布设：</w:t>
      </w:r>
      <w:r>
        <w:t xml:space="preserve"> 在边坡表面，沿水平方向布设两条并行的传感光缆。</w:t>
      </w:r>
    </w:p>
    <w:p w14:paraId="436C9BBF">
      <w:pPr>
        <w:keepLines w:val="0"/>
        <w:pageBreakBefore w:val="0"/>
        <w:widowControl/>
        <w:numPr>
          <w:ilvl w:val="2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620" w:leftChars="0" w:firstLineChars="0"/>
        <w:jc w:val="left"/>
        <w:textAlignment w:val="auto"/>
      </w:pPr>
      <w:r>
        <w:rPr>
          <w:b/>
          <w:bCs/>
        </w:rPr>
        <w:t>第一条（下路）：</w:t>
      </w:r>
      <w:r>
        <w:t xml:space="preserve"> 固定在距离坡脚高度约2.5米的加固格栅上，长度400米。</w:t>
      </w:r>
    </w:p>
    <w:p w14:paraId="59F4C1BD">
      <w:pPr>
        <w:keepLines w:val="0"/>
        <w:pageBreakBefore w:val="0"/>
        <w:widowControl/>
        <w:numPr>
          <w:ilvl w:val="2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620" w:leftChars="0" w:firstLineChars="0"/>
        <w:jc w:val="left"/>
        <w:textAlignment w:val="auto"/>
      </w:pPr>
      <w:r>
        <w:rPr>
          <w:b/>
          <w:bCs/>
        </w:rPr>
        <w:t>第二条（上路）：</w:t>
      </w:r>
      <w:r>
        <w:t xml:space="preserve"> 固定在距离坡脚高度约7.5米的加固格栅上，长度400米。</w:t>
      </w:r>
    </w:p>
    <w:p w14:paraId="4ADD6B19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测点分布：</w:t>
      </w:r>
      <w:r>
        <w:t xml:space="preserve"> 每条400米的传感光缆由4个通道（每通道100米）串接而成</w:t>
      </w:r>
      <w:r>
        <w:rPr>
          <w:rFonts w:hint="eastAsia"/>
          <w:lang w:eastAsia="zh-CN"/>
        </w:rPr>
        <w:t>。</w:t>
      </w:r>
      <w:r>
        <w:t>每个通道</w:t>
      </w:r>
      <w:r>
        <w:rPr>
          <w:rFonts w:hint="eastAsia"/>
          <w:lang w:val="en-US" w:eastAsia="zh-CN"/>
        </w:rPr>
        <w:t>的应变/振动感知定位精度</w:t>
      </w:r>
      <w:r>
        <w:t>为5米。</w:t>
      </w:r>
    </w:p>
    <w:p w14:paraId="5D31D17E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  <w:rPr>
          <w:rFonts w:eastAsia="宋体"/>
        </w:rPr>
      </w:pPr>
      <w:r>
        <w:rPr>
          <w:b/>
          <w:bCs/>
        </w:rPr>
        <w:t>监测网格：</w:t>
      </w:r>
      <w:r>
        <w:t xml:space="preserve"> 这两条水平传感光缆的测点在垂直方向上间距为5米，水平方向间距也为5米，从而在整个400米×10米的坡体上，</w:t>
      </w:r>
      <w:r>
        <w:rPr>
          <w:rFonts w:eastAsia="宋体"/>
        </w:rPr>
        <w:t>形成了一个5米×5米的二维高密度应变、振动监测网格。</w:t>
      </w:r>
    </w:p>
    <w:p w14:paraId="4EAAEA18">
      <w:pPr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rFonts w:hint="eastAsia"/>
          <w:b/>
          <w:bCs/>
          <w:lang w:val="en-US" w:eastAsia="zh-CN"/>
        </w:rPr>
        <w:t>监测</w:t>
      </w:r>
      <w:r>
        <w:rPr>
          <w:b/>
          <w:bCs/>
        </w:rPr>
        <w:t>工作机制：</w:t>
      </w:r>
    </w:p>
    <w:p w14:paraId="785E6EC8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当边坡发生局部或整体的变形（如蠕变、滑移、沉降）时，会引起其表面加固格栅的拉伸或压缩。</w:t>
      </w:r>
    </w:p>
    <w:p w14:paraId="7E0136C1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固定在格栅上的</w:t>
      </w:r>
      <w:r>
        <w:rPr>
          <w:rFonts w:hint="eastAsia"/>
          <w:lang w:eastAsia="zh-CN"/>
        </w:rPr>
        <w:t>微结构增敏光纤</w:t>
      </w:r>
      <w:r>
        <w:t>传感光缆会立刻同步感受到这种变形，并将其转化为</w:t>
      </w:r>
      <w:r>
        <w:rPr>
          <w:rFonts w:hint="eastAsia"/>
          <w:lang w:val="en-US" w:eastAsia="zh-CN"/>
        </w:rPr>
        <w:t>光学参量</w:t>
      </w:r>
      <w:r>
        <w:t>的</w:t>
      </w:r>
      <w:r>
        <w:rPr>
          <w:rFonts w:hint="eastAsia"/>
          <w:lang w:val="en-US" w:eastAsia="zh-CN"/>
        </w:rPr>
        <w:t>改变</w:t>
      </w:r>
      <w:r>
        <w:t>。</w:t>
      </w:r>
    </w:p>
    <w:p w14:paraId="41F31C20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对于泥石流等突发灾害，其对坡面的冲击和摩擦会产生高频振动信号，同样会被</w:t>
      </w:r>
      <w:r>
        <w:rPr>
          <w:rFonts w:hint="eastAsia"/>
          <w:lang w:val="en-US" w:eastAsia="zh-CN"/>
        </w:rPr>
        <w:t>微结构增敏光纤</w:t>
      </w:r>
      <w:r>
        <w:t>传感网络捕捉。</w:t>
      </w:r>
    </w:p>
    <w:p w14:paraId="6AEEA474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rFonts w:hint="eastAsia"/>
          <w:lang w:val="en-US" w:eastAsia="zh-CN"/>
        </w:rPr>
        <w:t>微结构增敏光纤</w:t>
      </w:r>
      <w:r>
        <w:t>传感解调仪实时解算出</w:t>
      </w:r>
      <w:r>
        <w:rPr>
          <w:rFonts w:hint="eastAsia"/>
          <w:lang w:val="en-US" w:eastAsia="zh-CN"/>
        </w:rPr>
        <w:t>整体传感网格</w:t>
      </w:r>
      <w:r>
        <w:t>的应变和振动数据，并通过监测软件平台进行分析，一旦发现数据异常（超过阈值、变化速率过快、或出现异常的应力集中区），系统将立即触发预警。</w:t>
      </w:r>
    </w:p>
    <w:p w14:paraId="5B4BA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  <w:outlineLvl w:val="1"/>
        <w:rPr>
          <w:rFonts w:eastAsia="宋体"/>
          <w:b/>
          <w:sz w:val="26"/>
        </w:rPr>
      </w:pPr>
      <w:r>
        <w:rPr>
          <w:rFonts w:eastAsia="宋体"/>
          <w:b/>
          <w:sz w:val="26"/>
        </w:rPr>
        <w:t>3.</w:t>
      </w:r>
      <w:r>
        <w:rPr>
          <w:rFonts w:hint="eastAsia" w:eastAsia="宋体"/>
          <w:b/>
          <w:sz w:val="26"/>
          <w:lang w:val="en-US" w:eastAsia="zh-CN"/>
        </w:rPr>
        <w:t>3</w:t>
      </w:r>
      <w:r>
        <w:rPr>
          <w:rFonts w:eastAsia="宋体"/>
          <w:b/>
          <w:sz w:val="26"/>
        </w:rPr>
        <w:t>. 关键设备技术指标</w:t>
      </w:r>
    </w:p>
    <w:p w14:paraId="3558ED8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为确保系统的高性能和高可靠性，关键设备需满足以下技术指标：</w:t>
      </w:r>
    </w:p>
    <w:p w14:paraId="2AE472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center"/>
        <w:textAlignment w:val="auto"/>
      </w:pPr>
      <w:r>
        <w:rPr>
          <w:b/>
        </w:rPr>
        <w:t>表1：</w:t>
      </w:r>
      <w:r>
        <w:rPr>
          <w:rFonts w:hint="eastAsia"/>
          <w:b/>
          <w:lang w:val="en-US" w:eastAsia="zh-CN"/>
        </w:rPr>
        <w:t>微结构增敏光纤</w:t>
      </w:r>
      <w:r>
        <w:rPr>
          <w:b/>
        </w:rPr>
        <w:t>传感</w:t>
      </w:r>
      <w:r>
        <w:rPr>
          <w:rFonts w:hint="eastAsia"/>
          <w:b/>
          <w:lang w:val="en-US" w:eastAsia="zh-CN"/>
        </w:rPr>
        <w:t>光缆</w:t>
      </w:r>
      <w:r>
        <w:rPr>
          <w:b/>
        </w:rPr>
        <w:t>技术指标</w:t>
      </w:r>
    </w:p>
    <w:tbl>
      <w:tblPr>
        <w:tblStyle w:val="16"/>
        <w:tblW w:w="81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152"/>
        <w:gridCol w:w="1778"/>
        <w:gridCol w:w="3970"/>
      </w:tblGrid>
      <w:tr w14:paraId="16D02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10" w:type="dxa"/>
            <w:vAlign w:val="center"/>
          </w:tcPr>
          <w:p w14:paraId="483DF6AF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参数类型</w:t>
            </w:r>
          </w:p>
        </w:tc>
        <w:tc>
          <w:tcPr>
            <w:tcW w:w="1152" w:type="dxa"/>
            <w:vAlign w:val="center"/>
          </w:tcPr>
          <w:p w14:paraId="2AFC79DF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指标项</w:t>
            </w:r>
          </w:p>
        </w:tc>
        <w:tc>
          <w:tcPr>
            <w:tcW w:w="1778" w:type="dxa"/>
            <w:vAlign w:val="center"/>
          </w:tcPr>
          <w:p w14:paraId="6B8BE5FC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技术要求</w:t>
            </w:r>
          </w:p>
        </w:tc>
        <w:tc>
          <w:tcPr>
            <w:tcW w:w="3970" w:type="dxa"/>
            <w:vAlign w:val="center"/>
          </w:tcPr>
          <w:p w14:paraId="65679F93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备注</w:t>
            </w:r>
          </w:p>
        </w:tc>
      </w:tr>
      <w:tr w14:paraId="3C107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vMerge w:val="restart"/>
            <w:vAlign w:val="center"/>
          </w:tcPr>
          <w:p w14:paraId="24E677C7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应变</w:t>
            </w:r>
          </w:p>
        </w:tc>
        <w:tc>
          <w:tcPr>
            <w:tcW w:w="1152" w:type="dxa"/>
            <w:vAlign w:val="center"/>
          </w:tcPr>
          <w:p w14:paraId="283506F4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量程</w:t>
            </w:r>
          </w:p>
        </w:tc>
        <w:tc>
          <w:tcPr>
            <w:tcW w:w="1778" w:type="dxa"/>
            <w:vAlign w:val="center"/>
          </w:tcPr>
          <w:p w14:paraId="75D92FD3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±2500 με</w:t>
            </w:r>
          </w:p>
        </w:tc>
        <w:tc>
          <w:tcPr>
            <w:tcW w:w="3970" w:type="dxa"/>
            <w:vAlign w:val="center"/>
          </w:tcPr>
          <w:p w14:paraId="63912434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覆盖</w:t>
            </w:r>
            <w:r>
              <w:rPr>
                <w:rFonts w:hint="eastAsia"/>
                <w:sz w:val="22"/>
                <w:szCs w:val="18"/>
                <w:lang w:val="en-US" w:eastAsia="zh-CN"/>
              </w:rPr>
              <w:t>应力应变/</w:t>
            </w:r>
            <w:r>
              <w:rPr>
                <w:sz w:val="22"/>
                <w:szCs w:val="18"/>
              </w:rPr>
              <w:t>温度</w:t>
            </w:r>
            <w:r>
              <w:rPr>
                <w:rFonts w:hint="eastAsia"/>
                <w:sz w:val="22"/>
                <w:szCs w:val="18"/>
                <w:lang w:val="en-US" w:eastAsia="zh-CN"/>
              </w:rPr>
              <w:t>变化</w:t>
            </w:r>
            <w:r>
              <w:rPr>
                <w:sz w:val="22"/>
                <w:szCs w:val="18"/>
              </w:rPr>
              <w:t>范围</w:t>
            </w:r>
          </w:p>
        </w:tc>
      </w:tr>
      <w:tr w14:paraId="1D1ED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vMerge w:val="continue"/>
            <w:vAlign w:val="center"/>
          </w:tcPr>
          <w:p w14:paraId="5BC0DBA3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18"/>
              </w:rPr>
            </w:pPr>
          </w:p>
        </w:tc>
        <w:tc>
          <w:tcPr>
            <w:tcW w:w="1152" w:type="dxa"/>
            <w:vAlign w:val="center"/>
          </w:tcPr>
          <w:p w14:paraId="079051EF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eastAsia="宋体"/>
                <w:sz w:val="22"/>
                <w:szCs w:val="18"/>
                <w:lang w:eastAsia="zh-CN"/>
              </w:rPr>
            </w:pPr>
            <w:r>
              <w:rPr>
                <w:rFonts w:hint="eastAsia"/>
                <w:sz w:val="22"/>
                <w:szCs w:val="18"/>
                <w:lang w:val="en-US" w:eastAsia="zh-CN"/>
              </w:rPr>
              <w:t>分辨率</w:t>
            </w:r>
          </w:p>
        </w:tc>
        <w:tc>
          <w:tcPr>
            <w:tcW w:w="1778" w:type="dxa"/>
            <w:vAlign w:val="center"/>
          </w:tcPr>
          <w:p w14:paraId="5BE2C113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≤ 1 με</w:t>
            </w:r>
          </w:p>
        </w:tc>
        <w:tc>
          <w:tcPr>
            <w:tcW w:w="3970" w:type="dxa"/>
            <w:vAlign w:val="center"/>
          </w:tcPr>
          <w:p w14:paraId="15A200C1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保证微小应变变化的捕捉能力</w:t>
            </w:r>
          </w:p>
        </w:tc>
      </w:tr>
      <w:tr w14:paraId="222E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vMerge w:val="continue"/>
            <w:vAlign w:val="center"/>
          </w:tcPr>
          <w:p w14:paraId="5F2EDCBB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18"/>
              </w:rPr>
            </w:pPr>
          </w:p>
        </w:tc>
        <w:tc>
          <w:tcPr>
            <w:tcW w:w="1152" w:type="dxa"/>
            <w:vAlign w:val="center"/>
          </w:tcPr>
          <w:p w14:paraId="2F3564B2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精度</w:t>
            </w:r>
          </w:p>
        </w:tc>
        <w:tc>
          <w:tcPr>
            <w:tcW w:w="1778" w:type="dxa"/>
            <w:vAlign w:val="center"/>
          </w:tcPr>
          <w:p w14:paraId="2F8309B1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≤ ±1.0% F.S.</w:t>
            </w:r>
          </w:p>
        </w:tc>
        <w:tc>
          <w:tcPr>
            <w:tcW w:w="3970" w:type="dxa"/>
            <w:vAlign w:val="center"/>
          </w:tcPr>
          <w:p w14:paraId="5A52F865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确保测量数据的准确性</w:t>
            </w:r>
          </w:p>
        </w:tc>
      </w:tr>
      <w:tr w14:paraId="4F0FE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vMerge w:val="restart"/>
            <w:vAlign w:val="center"/>
          </w:tcPr>
          <w:p w14:paraId="19AFA7C6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温度</w:t>
            </w:r>
          </w:p>
        </w:tc>
        <w:tc>
          <w:tcPr>
            <w:tcW w:w="1152" w:type="dxa"/>
            <w:vAlign w:val="center"/>
          </w:tcPr>
          <w:p w14:paraId="67DFB2D5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量程</w:t>
            </w:r>
          </w:p>
        </w:tc>
        <w:tc>
          <w:tcPr>
            <w:tcW w:w="1778" w:type="dxa"/>
            <w:vAlign w:val="center"/>
          </w:tcPr>
          <w:p w14:paraId="57FD0397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-40℃ ~ +80℃</w:t>
            </w:r>
          </w:p>
        </w:tc>
        <w:tc>
          <w:tcPr>
            <w:tcW w:w="3970" w:type="dxa"/>
            <w:vAlign w:val="center"/>
          </w:tcPr>
          <w:p w14:paraId="720B53E7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覆盖绝大多数地区的气候环境</w:t>
            </w:r>
          </w:p>
        </w:tc>
      </w:tr>
      <w:tr w14:paraId="4E9B6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vMerge w:val="continue"/>
            <w:vAlign w:val="center"/>
          </w:tcPr>
          <w:p w14:paraId="4008CF09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18"/>
              </w:rPr>
            </w:pPr>
          </w:p>
        </w:tc>
        <w:tc>
          <w:tcPr>
            <w:tcW w:w="1152" w:type="dxa"/>
            <w:vAlign w:val="center"/>
          </w:tcPr>
          <w:p w14:paraId="7ED67985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eastAsia="宋体"/>
                <w:sz w:val="22"/>
                <w:szCs w:val="18"/>
                <w:lang w:eastAsia="zh-CN"/>
              </w:rPr>
            </w:pPr>
            <w:r>
              <w:rPr>
                <w:rFonts w:hint="eastAsia"/>
                <w:sz w:val="22"/>
                <w:szCs w:val="18"/>
                <w:lang w:val="en-US" w:eastAsia="zh-CN"/>
              </w:rPr>
              <w:t>分辨率</w:t>
            </w:r>
          </w:p>
        </w:tc>
        <w:tc>
          <w:tcPr>
            <w:tcW w:w="1778" w:type="dxa"/>
            <w:vAlign w:val="center"/>
          </w:tcPr>
          <w:p w14:paraId="2E89DAD1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≤ 0.1℃</w:t>
            </w:r>
          </w:p>
        </w:tc>
        <w:tc>
          <w:tcPr>
            <w:tcW w:w="3970" w:type="dxa"/>
            <w:vAlign w:val="center"/>
          </w:tcPr>
          <w:p w14:paraId="30C28C2A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</w:p>
        </w:tc>
      </w:tr>
      <w:tr w14:paraId="6B75A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vMerge w:val="continue"/>
            <w:vAlign w:val="center"/>
          </w:tcPr>
          <w:p w14:paraId="6F2AA382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18"/>
              </w:rPr>
            </w:pPr>
          </w:p>
        </w:tc>
        <w:tc>
          <w:tcPr>
            <w:tcW w:w="1152" w:type="dxa"/>
            <w:vAlign w:val="center"/>
          </w:tcPr>
          <w:p w14:paraId="11FC4335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精度</w:t>
            </w:r>
          </w:p>
        </w:tc>
        <w:tc>
          <w:tcPr>
            <w:tcW w:w="1778" w:type="dxa"/>
            <w:vAlign w:val="center"/>
          </w:tcPr>
          <w:p w14:paraId="5C7B9485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≤ ±0.5℃</w:t>
            </w:r>
          </w:p>
        </w:tc>
        <w:tc>
          <w:tcPr>
            <w:tcW w:w="3970" w:type="dxa"/>
            <w:vAlign w:val="center"/>
          </w:tcPr>
          <w:p w14:paraId="7E27B68F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为应变数据提供精确的温度补偿</w:t>
            </w:r>
          </w:p>
        </w:tc>
      </w:tr>
      <w:tr w14:paraId="5E308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vAlign w:val="center"/>
          </w:tcPr>
          <w:p w14:paraId="7F6C410A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振动</w:t>
            </w:r>
          </w:p>
        </w:tc>
        <w:tc>
          <w:tcPr>
            <w:tcW w:w="1152" w:type="dxa"/>
            <w:vAlign w:val="center"/>
          </w:tcPr>
          <w:p w14:paraId="075E9629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频率响应</w:t>
            </w:r>
          </w:p>
        </w:tc>
        <w:tc>
          <w:tcPr>
            <w:tcW w:w="1778" w:type="dxa"/>
            <w:vAlign w:val="center"/>
          </w:tcPr>
          <w:p w14:paraId="765B872B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0.5 Hz ~ 100 Hz</w:t>
            </w:r>
          </w:p>
        </w:tc>
        <w:tc>
          <w:tcPr>
            <w:tcW w:w="3970" w:type="dxa"/>
            <w:vAlign w:val="center"/>
          </w:tcPr>
          <w:p w14:paraId="5E523673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覆盖低阶自振频率和</w:t>
            </w:r>
            <w:r>
              <w:rPr>
                <w:rFonts w:hint="eastAsia"/>
                <w:sz w:val="22"/>
                <w:szCs w:val="18"/>
                <w:lang w:val="en-US" w:eastAsia="zh-CN"/>
              </w:rPr>
              <w:t>事件</w:t>
            </w:r>
            <w:r>
              <w:rPr>
                <w:sz w:val="22"/>
                <w:szCs w:val="18"/>
              </w:rPr>
              <w:t>振动频率</w:t>
            </w:r>
          </w:p>
        </w:tc>
      </w:tr>
      <w:tr w14:paraId="4F976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vMerge w:val="restart"/>
            <w:vAlign w:val="center"/>
          </w:tcPr>
          <w:p w14:paraId="6F033AA0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封装</w:t>
            </w:r>
          </w:p>
        </w:tc>
        <w:tc>
          <w:tcPr>
            <w:tcW w:w="1152" w:type="dxa"/>
            <w:vAlign w:val="center"/>
          </w:tcPr>
          <w:p w14:paraId="1F0583CF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光缆类型</w:t>
            </w:r>
          </w:p>
        </w:tc>
        <w:tc>
          <w:tcPr>
            <w:tcW w:w="1778" w:type="dxa"/>
            <w:vAlign w:val="center"/>
          </w:tcPr>
          <w:p w14:paraId="27EE9999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铠装</w:t>
            </w:r>
          </w:p>
        </w:tc>
        <w:tc>
          <w:tcPr>
            <w:tcW w:w="3970" w:type="dxa"/>
            <w:vAlign w:val="center"/>
          </w:tcPr>
          <w:p w14:paraId="04B4AD17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抗压、抗磨、防水、防鼠咬</w:t>
            </w:r>
          </w:p>
        </w:tc>
      </w:tr>
      <w:tr w14:paraId="23B07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vMerge w:val="continue"/>
            <w:vAlign w:val="center"/>
          </w:tcPr>
          <w:p w14:paraId="37532847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18"/>
              </w:rPr>
            </w:pPr>
          </w:p>
        </w:tc>
        <w:tc>
          <w:tcPr>
            <w:tcW w:w="1152" w:type="dxa"/>
            <w:vAlign w:val="center"/>
          </w:tcPr>
          <w:p w14:paraId="2B8D298D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防护等级</w:t>
            </w:r>
          </w:p>
        </w:tc>
        <w:tc>
          <w:tcPr>
            <w:tcW w:w="1778" w:type="dxa"/>
            <w:vAlign w:val="center"/>
          </w:tcPr>
          <w:p w14:paraId="10879EDF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IP68</w:t>
            </w:r>
          </w:p>
        </w:tc>
        <w:tc>
          <w:tcPr>
            <w:tcW w:w="3970" w:type="dxa"/>
            <w:vAlign w:val="center"/>
          </w:tcPr>
          <w:p w14:paraId="362A242B">
            <w:pPr>
              <w:keepNext/>
              <w:keepLines w:val="0"/>
              <w:pageBreakBefore w:val="0"/>
              <w:widowControl/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适应埋地和涉水环境</w:t>
            </w:r>
          </w:p>
        </w:tc>
      </w:tr>
    </w:tbl>
    <w:p w14:paraId="000003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jc w:val="center"/>
        <w:textAlignment w:val="auto"/>
        <w:rPr>
          <w:b/>
        </w:rPr>
      </w:pPr>
    </w:p>
    <w:p w14:paraId="5E4F8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jc w:val="center"/>
        <w:textAlignment w:val="auto"/>
      </w:pPr>
      <w:r>
        <w:rPr>
          <w:b/>
        </w:rPr>
        <w:t>表2：</w:t>
      </w:r>
      <w:r>
        <w:rPr>
          <w:rFonts w:hint="eastAsia"/>
          <w:b/>
          <w:lang w:val="en-US" w:eastAsia="zh-CN"/>
        </w:rPr>
        <w:t>微结构增敏光纤传感解调</w:t>
      </w:r>
      <w:r>
        <w:rPr>
          <w:b/>
        </w:rPr>
        <w:t>主机技术指标</w:t>
      </w:r>
    </w:p>
    <w:tbl>
      <w:tblPr>
        <w:tblStyle w:val="16"/>
        <w:tblW w:w="82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2261"/>
        <w:gridCol w:w="4034"/>
      </w:tblGrid>
      <w:tr w14:paraId="303FD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8" w:type="dxa"/>
            <w:vAlign w:val="center"/>
          </w:tcPr>
          <w:p w14:paraId="6F5D2B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指标项</w:t>
            </w:r>
          </w:p>
        </w:tc>
        <w:tc>
          <w:tcPr>
            <w:tcW w:w="2261" w:type="dxa"/>
            <w:vAlign w:val="center"/>
          </w:tcPr>
          <w:p w14:paraId="1215A0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技术要求</w:t>
            </w:r>
          </w:p>
        </w:tc>
        <w:tc>
          <w:tcPr>
            <w:tcW w:w="4034" w:type="dxa"/>
            <w:vAlign w:val="center"/>
          </w:tcPr>
          <w:p w14:paraId="75E2D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备注</w:t>
            </w:r>
          </w:p>
        </w:tc>
      </w:tr>
      <w:tr w14:paraId="5D8A9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8" w:type="dxa"/>
            <w:vAlign w:val="center"/>
          </w:tcPr>
          <w:p w14:paraId="46C4DB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通道数</w:t>
            </w:r>
          </w:p>
        </w:tc>
        <w:tc>
          <w:tcPr>
            <w:tcW w:w="2261" w:type="dxa"/>
            <w:vAlign w:val="center"/>
          </w:tcPr>
          <w:p w14:paraId="2B29B8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rFonts w:hint="eastAsia"/>
                <w:sz w:val="22"/>
                <w:szCs w:val="18"/>
                <w:lang w:val="en-US" w:eastAsia="zh-CN"/>
              </w:rPr>
              <w:t>8</w:t>
            </w:r>
            <w:r>
              <w:rPr>
                <w:sz w:val="22"/>
                <w:szCs w:val="18"/>
              </w:rPr>
              <w:t>通道</w:t>
            </w:r>
          </w:p>
        </w:tc>
        <w:tc>
          <w:tcPr>
            <w:tcW w:w="4034" w:type="dxa"/>
            <w:vAlign w:val="center"/>
          </w:tcPr>
          <w:p w14:paraId="6698DA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满足</w:t>
            </w:r>
            <w:r>
              <w:rPr>
                <w:rFonts w:hint="eastAsia"/>
                <w:sz w:val="22"/>
                <w:szCs w:val="18"/>
                <w:lang w:val="en-US" w:eastAsia="zh-CN"/>
              </w:rPr>
              <w:t>微结构</w:t>
            </w:r>
            <w:r>
              <w:rPr>
                <w:sz w:val="22"/>
                <w:szCs w:val="18"/>
              </w:rPr>
              <w:t>传感光缆接入需求</w:t>
            </w:r>
          </w:p>
        </w:tc>
      </w:tr>
      <w:tr w14:paraId="3CDD1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8" w:type="dxa"/>
            <w:vAlign w:val="center"/>
          </w:tcPr>
          <w:p w14:paraId="2B4DA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波长范围</w:t>
            </w:r>
          </w:p>
        </w:tc>
        <w:tc>
          <w:tcPr>
            <w:tcW w:w="2261" w:type="dxa"/>
            <w:vAlign w:val="center"/>
          </w:tcPr>
          <w:p w14:paraId="05EF62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1525 nm ~ 1565 nm</w:t>
            </w:r>
          </w:p>
        </w:tc>
        <w:tc>
          <w:tcPr>
            <w:tcW w:w="4034" w:type="dxa"/>
            <w:vAlign w:val="center"/>
          </w:tcPr>
          <w:p w14:paraId="2F82CD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覆盖C波段</w:t>
            </w:r>
          </w:p>
        </w:tc>
      </w:tr>
      <w:tr w14:paraId="3CF86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8" w:type="dxa"/>
            <w:vAlign w:val="center"/>
          </w:tcPr>
          <w:p w14:paraId="3222F7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eastAsia="宋体"/>
                <w:sz w:val="22"/>
                <w:szCs w:val="18"/>
                <w:lang w:val="en-US" w:eastAsia="zh-CN"/>
              </w:rPr>
            </w:pPr>
            <w:r>
              <w:rPr>
                <w:rFonts w:hint="eastAsia"/>
                <w:sz w:val="22"/>
                <w:szCs w:val="18"/>
                <w:lang w:val="en-US" w:eastAsia="zh-CN"/>
              </w:rPr>
              <w:t>数据采样定位精度</w:t>
            </w:r>
          </w:p>
        </w:tc>
        <w:tc>
          <w:tcPr>
            <w:tcW w:w="2261" w:type="dxa"/>
            <w:vAlign w:val="center"/>
          </w:tcPr>
          <w:p w14:paraId="7C7D36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eastAsia="宋体"/>
                <w:sz w:val="22"/>
                <w:szCs w:val="18"/>
                <w:lang w:val="en-US" w:eastAsia="zh-CN"/>
              </w:rPr>
            </w:pPr>
            <w:r>
              <w:rPr>
                <w:rFonts w:hint="eastAsia"/>
                <w:sz w:val="22"/>
                <w:szCs w:val="18"/>
                <w:lang w:val="en-US" w:eastAsia="zh-CN"/>
              </w:rPr>
              <w:t>2-5米</w:t>
            </w:r>
          </w:p>
        </w:tc>
        <w:tc>
          <w:tcPr>
            <w:tcW w:w="4034" w:type="dxa"/>
            <w:vAlign w:val="center"/>
          </w:tcPr>
          <w:p w14:paraId="664EF0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eastAsia="宋体"/>
                <w:sz w:val="22"/>
                <w:szCs w:val="18"/>
                <w:lang w:val="en-US" w:eastAsia="zh-CN"/>
              </w:rPr>
            </w:pPr>
            <w:r>
              <w:rPr>
                <w:rFonts w:hint="eastAsia"/>
                <w:sz w:val="22"/>
                <w:szCs w:val="18"/>
                <w:lang w:val="en-US" w:eastAsia="zh-CN"/>
              </w:rPr>
              <w:t>根据实际勘察情况进行定制化</w:t>
            </w:r>
          </w:p>
        </w:tc>
      </w:tr>
      <w:tr w14:paraId="33C15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8" w:type="dxa"/>
            <w:vAlign w:val="center"/>
          </w:tcPr>
          <w:p w14:paraId="540F51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bCs/>
                <w:sz w:val="22"/>
                <w:szCs w:val="18"/>
              </w:rPr>
            </w:pPr>
            <w:r>
              <w:rPr>
                <w:b w:val="0"/>
                <w:bCs/>
                <w:sz w:val="22"/>
                <w:szCs w:val="18"/>
              </w:rPr>
              <w:t>采样频率</w:t>
            </w:r>
          </w:p>
        </w:tc>
        <w:tc>
          <w:tcPr>
            <w:tcW w:w="2261" w:type="dxa"/>
            <w:vAlign w:val="center"/>
          </w:tcPr>
          <w:p w14:paraId="4AD48A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bCs/>
                <w:sz w:val="22"/>
                <w:szCs w:val="18"/>
              </w:rPr>
            </w:pPr>
            <w:r>
              <w:rPr>
                <w:b w:val="0"/>
                <w:bCs/>
                <w:sz w:val="22"/>
                <w:szCs w:val="18"/>
              </w:rPr>
              <w:t xml:space="preserve">1 Hz ~ </w:t>
            </w:r>
            <w:r>
              <w:rPr>
                <w:rFonts w:hint="eastAsia"/>
                <w:b w:val="0"/>
                <w:bCs/>
                <w:sz w:val="22"/>
                <w:szCs w:val="18"/>
                <w:lang w:val="en-US" w:eastAsia="zh-CN"/>
              </w:rPr>
              <w:t>1</w:t>
            </w:r>
            <w:r>
              <w:rPr>
                <w:b w:val="0"/>
                <w:bCs/>
                <w:sz w:val="22"/>
                <w:szCs w:val="18"/>
              </w:rPr>
              <w:t>000 Hz 可调</w:t>
            </w:r>
          </w:p>
        </w:tc>
        <w:tc>
          <w:tcPr>
            <w:tcW w:w="4034" w:type="dxa"/>
            <w:vAlign w:val="center"/>
          </w:tcPr>
          <w:p w14:paraId="54362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bCs/>
                <w:sz w:val="22"/>
                <w:szCs w:val="18"/>
              </w:rPr>
            </w:pPr>
            <w:r>
              <w:rPr>
                <w:b w:val="0"/>
                <w:bCs/>
                <w:sz w:val="22"/>
                <w:szCs w:val="18"/>
              </w:rPr>
              <w:t>高频采样实现振动和</w:t>
            </w:r>
            <w:r>
              <w:rPr>
                <w:rFonts w:hint="eastAsia"/>
                <w:b w:val="0"/>
                <w:bCs/>
                <w:sz w:val="22"/>
                <w:szCs w:val="18"/>
                <w:lang w:eastAsia="zh-CN"/>
              </w:rPr>
              <w:t>动挠度</w:t>
            </w:r>
            <w:r>
              <w:rPr>
                <w:b w:val="0"/>
                <w:bCs/>
                <w:sz w:val="22"/>
                <w:szCs w:val="18"/>
              </w:rPr>
              <w:t>监测</w:t>
            </w:r>
          </w:p>
        </w:tc>
      </w:tr>
      <w:tr w14:paraId="288F1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8" w:type="dxa"/>
            <w:vAlign w:val="center"/>
          </w:tcPr>
          <w:p w14:paraId="19CC00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eastAsia="宋体"/>
                <w:sz w:val="22"/>
                <w:szCs w:val="18"/>
                <w:lang w:eastAsia="zh-CN"/>
              </w:rPr>
            </w:pPr>
            <w:r>
              <w:rPr>
                <w:sz w:val="22"/>
                <w:szCs w:val="18"/>
              </w:rPr>
              <w:t>波长</w:t>
            </w:r>
            <w:r>
              <w:rPr>
                <w:rFonts w:hint="eastAsia"/>
                <w:sz w:val="22"/>
                <w:szCs w:val="18"/>
                <w:lang w:val="en-US" w:eastAsia="zh-CN"/>
              </w:rPr>
              <w:t>分辨率</w:t>
            </w:r>
          </w:p>
        </w:tc>
        <w:tc>
          <w:tcPr>
            <w:tcW w:w="2261" w:type="dxa"/>
            <w:vAlign w:val="center"/>
          </w:tcPr>
          <w:p w14:paraId="386A8A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≤ 1 pm</w:t>
            </w:r>
          </w:p>
        </w:tc>
        <w:tc>
          <w:tcPr>
            <w:tcW w:w="4034" w:type="dxa"/>
            <w:vAlign w:val="center"/>
          </w:tcPr>
          <w:p w14:paraId="333B3C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保证高精度的物理量反演</w:t>
            </w:r>
          </w:p>
        </w:tc>
      </w:tr>
      <w:tr w14:paraId="671F8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8" w:type="dxa"/>
            <w:vAlign w:val="center"/>
          </w:tcPr>
          <w:p w14:paraId="695DC7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波长精度</w:t>
            </w:r>
          </w:p>
        </w:tc>
        <w:tc>
          <w:tcPr>
            <w:tcW w:w="2261" w:type="dxa"/>
            <w:vAlign w:val="center"/>
          </w:tcPr>
          <w:p w14:paraId="18766E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≤ ±5 pm</w:t>
            </w:r>
          </w:p>
        </w:tc>
        <w:tc>
          <w:tcPr>
            <w:tcW w:w="4034" w:type="dxa"/>
            <w:vAlign w:val="center"/>
          </w:tcPr>
          <w:p w14:paraId="577F4E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</w:p>
        </w:tc>
      </w:tr>
      <w:tr w14:paraId="37A2A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8" w:type="dxa"/>
            <w:vAlign w:val="center"/>
          </w:tcPr>
          <w:p w14:paraId="6FEA37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动态范围</w:t>
            </w:r>
          </w:p>
        </w:tc>
        <w:tc>
          <w:tcPr>
            <w:tcW w:w="2261" w:type="dxa"/>
            <w:vAlign w:val="center"/>
          </w:tcPr>
          <w:p w14:paraId="14386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&gt; 40 dB</w:t>
            </w:r>
          </w:p>
        </w:tc>
        <w:tc>
          <w:tcPr>
            <w:tcW w:w="4034" w:type="dxa"/>
            <w:vAlign w:val="center"/>
          </w:tcPr>
          <w:p w14:paraId="182A0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保证在一定损耗下仍能清晰识别信号</w:t>
            </w:r>
          </w:p>
        </w:tc>
      </w:tr>
      <w:tr w14:paraId="66DE3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8" w:type="dxa"/>
            <w:vAlign w:val="center"/>
          </w:tcPr>
          <w:p w14:paraId="4AD40A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接口</w:t>
            </w:r>
          </w:p>
        </w:tc>
        <w:tc>
          <w:tcPr>
            <w:tcW w:w="2261" w:type="dxa"/>
            <w:vAlign w:val="center"/>
          </w:tcPr>
          <w:p w14:paraId="7E7D3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Ethernet, USB, RS232</w:t>
            </w:r>
          </w:p>
        </w:tc>
        <w:tc>
          <w:tcPr>
            <w:tcW w:w="4034" w:type="dxa"/>
            <w:vAlign w:val="center"/>
          </w:tcPr>
          <w:p w14:paraId="14544C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便于数据导出和远程控制</w:t>
            </w:r>
          </w:p>
        </w:tc>
      </w:tr>
      <w:tr w14:paraId="76441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8" w:type="dxa"/>
            <w:vAlign w:val="center"/>
          </w:tcPr>
          <w:p w14:paraId="7F1C1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工作温度</w:t>
            </w:r>
          </w:p>
        </w:tc>
        <w:tc>
          <w:tcPr>
            <w:tcW w:w="2261" w:type="dxa"/>
            <w:vAlign w:val="center"/>
          </w:tcPr>
          <w:p w14:paraId="496563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-20℃ ~ +60℃</w:t>
            </w:r>
          </w:p>
        </w:tc>
        <w:tc>
          <w:tcPr>
            <w:tcW w:w="4034" w:type="dxa"/>
            <w:vAlign w:val="center"/>
          </w:tcPr>
          <w:p w14:paraId="36CD6E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适应路侧设备箱的环境</w:t>
            </w:r>
          </w:p>
        </w:tc>
      </w:tr>
      <w:tr w14:paraId="5B010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8" w:type="dxa"/>
            <w:vAlign w:val="center"/>
          </w:tcPr>
          <w:p w14:paraId="16BE79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供电</w:t>
            </w:r>
          </w:p>
        </w:tc>
        <w:tc>
          <w:tcPr>
            <w:tcW w:w="2261" w:type="dxa"/>
            <w:vAlign w:val="center"/>
          </w:tcPr>
          <w:p w14:paraId="09F062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DC 12V / AC 220V</w:t>
            </w:r>
          </w:p>
        </w:tc>
        <w:tc>
          <w:tcPr>
            <w:tcW w:w="4034" w:type="dxa"/>
            <w:vAlign w:val="center"/>
          </w:tcPr>
          <w:p w14:paraId="7DAAEE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18"/>
              </w:rPr>
            </w:pPr>
          </w:p>
        </w:tc>
      </w:tr>
    </w:tbl>
    <w:p w14:paraId="44945D2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left"/>
        <w:textAlignment w:val="auto"/>
        <w:rPr>
          <w:rFonts w:eastAsia="宋体"/>
        </w:rPr>
      </w:pPr>
    </w:p>
    <w:p w14:paraId="6C876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0"/>
        <w:rPr>
          <w:rFonts w:hint="eastAsia" w:eastAsia="宋体"/>
          <w:b/>
          <w:sz w:val="30"/>
          <w:lang w:val="en-US" w:eastAsia="zh-CN"/>
        </w:rPr>
      </w:pPr>
      <w:r>
        <w:rPr>
          <w:rFonts w:hint="eastAsia" w:eastAsia="宋体"/>
          <w:b/>
          <w:sz w:val="30"/>
          <w:lang w:val="en-US" w:eastAsia="zh-CN"/>
        </w:rPr>
        <w:t>四. 软件平台与监测体系</w:t>
      </w:r>
    </w:p>
    <w:p w14:paraId="0DCB13B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监测系统不仅需要精准可靠的前端硬件，更需要一个功能强大、响应迅速的后端软件平台。本方案软件平台是一个集数据融合、智能分析、立体展示和高效预警于一体的综合性管理系统。</w:t>
      </w:r>
    </w:p>
    <w:p w14:paraId="74818F3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2421255"/>
            <wp:effectExtent l="0" t="0" r="5715" b="7620"/>
            <wp:docPr id="8" name="图片 8" descr="边坡监测管理软件界面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边坡监测管理软件界面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6C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8" w:lineRule="auto"/>
        <w:ind w:left="0" w:leftChars="0" w:firstLine="0" w:firstLineChars="0"/>
        <w:jc w:val="center"/>
        <w:textAlignment w:val="auto"/>
        <w:rPr>
          <w:rFonts w:hint="default" w:eastAsia="宋体"/>
          <w:sz w:val="22"/>
          <w:szCs w:val="18"/>
          <w:lang w:val="en-US" w:eastAsia="zh-CN"/>
        </w:rPr>
      </w:pPr>
      <w:r>
        <w:rPr>
          <w:rFonts w:hint="eastAsia"/>
          <w:sz w:val="22"/>
          <w:szCs w:val="18"/>
          <w:lang w:val="en-US" w:eastAsia="zh-CN"/>
        </w:rPr>
        <w:t>图4  智慧边坡结构健康监测系统软件界面</w:t>
      </w:r>
    </w:p>
    <w:p w14:paraId="5133733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</w:p>
    <w:p w14:paraId="42201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1"/>
        <w:rPr>
          <w:rFonts w:eastAsia="宋体"/>
          <w:b/>
          <w:sz w:val="26"/>
        </w:rPr>
      </w:pPr>
      <w:r>
        <w:rPr>
          <w:rFonts w:eastAsia="宋体"/>
          <w:b/>
          <w:sz w:val="26"/>
        </w:rPr>
        <w:t>4.1. 系统软件平台架构</w:t>
      </w:r>
    </w:p>
    <w:p w14:paraId="2E1591B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平台采用B/S（浏览器/服务器）架构，用户无需安装客户端，通过任意授权的电脑、手机、平板等终端即可访问。整体架构遵循分层设计理念：</w:t>
      </w:r>
    </w:p>
    <w:p w14:paraId="6A4CC3D8">
      <w:pPr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数据接口层：</w:t>
      </w:r>
      <w:r>
        <w:t xml:space="preserve"> 负责与前端数据采集设备（</w:t>
      </w:r>
      <w:r>
        <w:rPr>
          <w:rFonts w:hint="eastAsia"/>
          <w:lang w:val="en-US" w:eastAsia="zh-CN"/>
        </w:rPr>
        <w:t>微结构增敏光纤传感解调仪</w:t>
      </w:r>
      <w:r>
        <w:t>、DTU等）进行通信，支持TCP/IP、Modbus、UDP等多种协议，实现数据的实时接收和指令下发。</w:t>
      </w:r>
    </w:p>
    <w:p w14:paraId="18869635">
      <w:pPr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数据处理与存储层：</w:t>
      </w:r>
      <w:r>
        <w:t xml:space="preserve"> 采用高性能时序数据库或关系型数据库，对海量监测数据进行高效的存储、清洗和管理。建立原始数据库、处理结果库和报警信息库，支持历史数据的快速查询与回溯。</w:t>
      </w:r>
    </w:p>
    <w:p w14:paraId="281AECEB">
      <w:pPr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分析与算法核心层：</w:t>
      </w:r>
      <w:r>
        <w:t xml:space="preserve"> 内置专业的数据分析模型，是平台的大脑。包括：</w:t>
      </w:r>
    </w:p>
    <w:p w14:paraId="4AD662C1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rFonts w:hint="eastAsia"/>
          <w:b/>
          <w:bCs/>
          <w:lang w:val="en-US" w:eastAsia="zh-CN"/>
        </w:rPr>
        <w:t>光学参量</w:t>
      </w:r>
      <w:r>
        <w:rPr>
          <w:b/>
          <w:bCs/>
        </w:rPr>
        <w:t>-物理量解调算法：</w:t>
      </w:r>
      <w:r>
        <w:t xml:space="preserve"> 将原始的</w:t>
      </w:r>
      <w:r>
        <w:rPr>
          <w:rFonts w:hint="eastAsia"/>
          <w:lang w:val="en-US" w:eastAsia="zh-CN"/>
        </w:rPr>
        <w:t>光学参量</w:t>
      </w:r>
      <w:r>
        <w:t>数据根据传感器标定系数，实时解算为应变、温度、振动等物理量。</w:t>
      </w:r>
    </w:p>
    <w:p w14:paraId="67EFE570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温度补偿算法：</w:t>
      </w:r>
      <w:r>
        <w:t xml:space="preserve"> 利用同步测量的温度数据，剔除温度变化对应变读数的影响，获得纯粹由应力引起的结构应变。</w:t>
      </w:r>
    </w:p>
    <w:p w14:paraId="6C8C07A4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预警判断模型：</w:t>
      </w:r>
      <w:r>
        <w:t xml:space="preserve"> 基于多级阈值（固定阈值、变化速率阈值、协同变化阈值）的智能预警引擎。</w:t>
      </w:r>
    </w:p>
    <w:p w14:paraId="6FD6E9BF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数据挖掘与预测模型：</w:t>
      </w:r>
      <w:r>
        <w:t xml:space="preserve"> 可集成机器学习算法（如LSTM、ARIMA），对历史数据进行学习，预测边坡变形趋势，实现更前瞻性的预警。</w:t>
      </w:r>
    </w:p>
    <w:p w14:paraId="60E25CBD">
      <w:pPr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业务功能与应用层：</w:t>
      </w:r>
      <w:r>
        <w:t xml:space="preserve"> 面向用户的交互界面，提供丰富的业务功能模块 。</w:t>
      </w:r>
    </w:p>
    <w:p w14:paraId="62D5FFFA">
      <w:pPr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展示层：</w:t>
      </w:r>
      <w:r>
        <w:t xml:space="preserve"> 通过Web界面、移动端APP、大屏可视化系统等多种形式，向用户展示监测结果和预警信息。</w:t>
      </w:r>
    </w:p>
    <w:p w14:paraId="569A3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1"/>
        <w:rPr>
          <w:rFonts w:eastAsia="宋体"/>
          <w:b/>
          <w:sz w:val="26"/>
        </w:rPr>
      </w:pPr>
      <w:r>
        <w:rPr>
          <w:rFonts w:eastAsia="宋体"/>
          <w:b/>
          <w:sz w:val="26"/>
        </w:rPr>
        <w:t>4.2. 平台核心功能模块</w:t>
      </w:r>
    </w:p>
    <w:p w14:paraId="6AEB9BF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软件平台应至少具备以下核心功能模块：</w:t>
      </w:r>
    </w:p>
    <w:p w14:paraId="3FE14430">
      <w:pPr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综合态势感知（GIS一张图）：</w:t>
      </w:r>
    </w:p>
    <w:p w14:paraId="29E4EDF8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在2D/3D GIS地图或边坡三维模型上，实时展示所有测点的地理位置和关键监测数据。</w:t>
      </w:r>
    </w:p>
    <w:p w14:paraId="41272897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测点状态通过不同颜色（如绿-正常，黄-关注，橙-预警，红-报警）进行可视化区分，一目了然。</w:t>
      </w:r>
    </w:p>
    <w:p w14:paraId="5E5535E5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支持地图的缩放、平移、测点信息点击查询。</w:t>
      </w:r>
    </w:p>
    <w:p w14:paraId="78C8EF7C">
      <w:pPr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实时数据监测：</w:t>
      </w:r>
    </w:p>
    <w:p w14:paraId="220CAFCA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提供多窗口、可自定义的仪表盘界面，实时显示任一或多个测点的应变、温度、振动等数据的实时值和变化曲线。</w:t>
      </w:r>
    </w:p>
    <w:p w14:paraId="3B53D046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能够以“应变云图”或“热力图”的形式，动态展示整个坡面应力场的分布和变化情况，直观识别应力集中区。</w:t>
      </w:r>
    </w:p>
    <w:p w14:paraId="52DD777F">
      <w:pPr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历史数据分析：</w:t>
      </w:r>
    </w:p>
    <w:p w14:paraId="21C769E0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支持按时间范围、测点组合等条件查询历史数据。</w:t>
      </w:r>
    </w:p>
    <w:p w14:paraId="496234EA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提供数据曲线对比、相关性分析、统计分析（最大值、最小值、平均值、变化率）等工具。</w:t>
      </w:r>
    </w:p>
    <w:p w14:paraId="61F5EC4F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能够自动生成日报、周报、月报等数据分析报告，并支持导出和打印。</w:t>
      </w:r>
    </w:p>
    <w:p w14:paraId="442103C4">
      <w:pPr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智能预警管理：</w:t>
      </w:r>
    </w:p>
    <w:p w14:paraId="25167AD4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阈值灵活配置：</w:t>
      </w:r>
      <w:r>
        <w:t xml:space="preserve"> 支持为不同测点、不同监测项设置独立的多级预警阈值（例如：注意、预警、报警三级）。</w:t>
      </w:r>
    </w:p>
    <w:p w14:paraId="50B13DF6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多维预警策略：</w:t>
      </w:r>
      <w:r>
        <w:t xml:space="preserve"> 不仅支持单点绝对值超限预警，还支持变化速率超限预警、多点关联性突变预警等复杂逻辑。</w:t>
      </w:r>
    </w:p>
    <w:p w14:paraId="1E31FABF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报警自动推送：</w:t>
      </w:r>
      <w:r>
        <w:t xml:space="preserve"> 一旦触发预警，系统可通过短信、微信、邮件、APP推送、电话语音等多种方式，在5秒内将包含时间、位置、测点编号、预警等级、当前数值等详细信息的报警内容发送给预设的管理人员。</w:t>
      </w:r>
    </w:p>
    <w:p w14:paraId="0B2563F6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声光报警联动：</w:t>
      </w:r>
      <w:r>
        <w:t xml:space="preserve"> 可联动现场的声光报警器，对现场人员进行警示。</w:t>
      </w:r>
    </w:p>
    <w:p w14:paraId="7A48A93A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报警事件闭环管理：</w:t>
      </w:r>
      <w:r>
        <w:t xml:space="preserve"> 记录所有报警事件，支持报警确认、处置过程记录、报警解除等闭环管理流程。</w:t>
      </w:r>
    </w:p>
    <w:p w14:paraId="29A828E8">
      <w:pPr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系统与设备管理：</w:t>
      </w:r>
    </w:p>
    <w:p w14:paraId="59136185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远程监控光纤光栅解调仪、DTU等在线设备的工作状态（在线/离线、供电电压、信号强度等）。</w:t>
      </w:r>
    </w:p>
    <w:p w14:paraId="1CF6535C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支持远程配置设备参数、远程重启、固件升级。</w:t>
      </w:r>
    </w:p>
    <w:p w14:paraId="3F836AEA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t>提供用户管理和权限分配功能，确保系统和数据安全。</w:t>
      </w:r>
    </w:p>
    <w:p w14:paraId="498AF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1"/>
        <w:rPr>
          <w:rFonts w:eastAsia="宋体"/>
          <w:b/>
          <w:sz w:val="26"/>
        </w:rPr>
      </w:pPr>
      <w:r>
        <w:rPr>
          <w:rFonts w:eastAsia="宋体"/>
          <w:b/>
          <w:sz w:val="26"/>
        </w:rPr>
        <w:t>4.3. 监测预警体系</w:t>
      </w:r>
    </w:p>
    <w:p w14:paraId="17071C3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基于上述软硬件</w:t>
      </w:r>
      <w:r>
        <w:rPr>
          <w:rFonts w:hint="eastAsia"/>
          <w:lang w:val="en-US" w:eastAsia="zh-CN"/>
        </w:rPr>
        <w:t>系统</w:t>
      </w:r>
      <w:r>
        <w:t>，建立一套完整的“实时监测-智能分析-分级预警-快速响应”的闭环工作流程。</w:t>
      </w:r>
      <w:r>
        <w:rPr>
          <w:b/>
          <w:bCs/>
        </w:rPr>
        <w:t>预警等级划分</w:t>
      </w:r>
      <w:r>
        <w:rPr>
          <w:rFonts w:hint="eastAsia"/>
          <w:b/>
          <w:bCs/>
          <w:lang w:val="en-US" w:eastAsia="zh-CN"/>
        </w:rPr>
        <w:t>如下</w:t>
      </w:r>
      <w:r>
        <w:rPr>
          <w:b/>
          <w:bCs/>
        </w:rPr>
        <w:t>：</w:t>
      </w:r>
    </w:p>
    <w:p w14:paraId="7D0C459D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蓝色预警（关注级）：</w:t>
      </w:r>
      <w:r>
        <w:t xml:space="preserve"> 监测值出现小幅异常波动，或缓慢接近预警阈值。系统自动加密监测频率，提示管理人员关注。</w:t>
      </w:r>
    </w:p>
    <w:p w14:paraId="5300A64D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黄色预警（注意级）：</w:t>
      </w:r>
      <w:r>
        <w:t xml:space="preserve"> 监测值达到一级阈值，或变化速率超过设定值。系统自动发送通知给日常运维人员。</w:t>
      </w:r>
    </w:p>
    <w:p w14:paraId="05241427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橙色预警（风险级）：</w:t>
      </w:r>
      <w:r>
        <w:t xml:space="preserve"> 监测值达到二级阈值，或多个关联测点出现协同异常变化。系统向所有相关负责人和应急小组发送紧急通知，要求在规定时间内（如2小时内进行现场核查</w:t>
      </w:r>
      <w:r>
        <w:rPr>
          <w:rFonts w:hint="eastAsia"/>
          <w:lang w:eastAsia="zh-CN"/>
        </w:rPr>
        <w:t>）</w:t>
      </w:r>
      <w:r>
        <w:t>。</w:t>
      </w:r>
    </w:p>
    <w:p w14:paraId="2C5A7603">
      <w:pPr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1140" w:leftChars="0" w:firstLineChars="0"/>
        <w:jc w:val="left"/>
        <w:textAlignment w:val="auto"/>
      </w:pPr>
      <w:r>
        <w:rPr>
          <w:b/>
          <w:bCs/>
        </w:rPr>
        <w:t>红色预警（危急级）：</w:t>
      </w:r>
      <w:r>
        <w:t xml:space="preserve"> 监测值达到最高报警阈值，或变形速率急剧增大，表明可能即将发生失稳。系统触发最高级别警报，联动现场声光报警器，并建议立即采取交通管制、人员疏散等应急措施。</w:t>
      </w:r>
    </w:p>
    <w:p w14:paraId="50199E5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通过该</w:t>
      </w:r>
      <w:r>
        <w:rPr>
          <w:rFonts w:hint="eastAsia"/>
          <w:lang w:val="en-US" w:eastAsia="zh-CN"/>
        </w:rPr>
        <w:t>监测预警</w:t>
      </w:r>
      <w:r>
        <w:t>体系，可将边坡安全管理从传统的“灾后抢险”模式，转变为现代化的“灾前预警、主动防范”模式。</w:t>
      </w:r>
    </w:p>
    <w:p w14:paraId="3FA06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leftChars="0" w:firstLine="0" w:firstLineChars="0"/>
        <w:textAlignment w:val="auto"/>
        <w:outlineLvl w:val="0"/>
        <w:rPr>
          <w:rFonts w:hint="eastAsia" w:eastAsia="宋体"/>
          <w:b/>
          <w:sz w:val="30"/>
          <w:lang w:val="en-US" w:eastAsia="zh-CN"/>
        </w:rPr>
      </w:pPr>
      <w:r>
        <w:rPr>
          <w:rFonts w:hint="eastAsia" w:eastAsia="宋体"/>
          <w:b/>
          <w:sz w:val="30"/>
          <w:lang w:val="en-US" w:eastAsia="zh-CN"/>
        </w:rPr>
        <w:t>五. 方案总结与亮点呈现</w:t>
      </w:r>
    </w:p>
    <w:p w14:paraId="0D3DD01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</w:pPr>
      <w:r>
        <w:t>本方案为国道边坡安全监测项目量身定制了一套基于新一代</w:t>
      </w:r>
      <w:r>
        <w:rPr>
          <w:rFonts w:hint="eastAsia"/>
          <w:lang w:eastAsia="zh-CN"/>
        </w:rPr>
        <w:t>微结构增敏光纤</w:t>
      </w:r>
      <w:r>
        <w:t>技术的前沿解决方案</w:t>
      </w:r>
      <w:r>
        <w:rPr>
          <w:rFonts w:hint="eastAsia"/>
          <w:lang w:eastAsia="zh-CN"/>
        </w:rPr>
        <w:t>，</w:t>
      </w:r>
      <w:r>
        <w:t>它不仅是对传统监测手段的升级，更是一次监测理念的革新。</w:t>
      </w:r>
    </w:p>
    <w:p w14:paraId="5F1AD320">
      <w:pPr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  <w:rPr>
          <w:color w:val="0000FF"/>
        </w:rPr>
      </w:pPr>
      <w:r>
        <w:rPr>
          <w:b/>
          <w:bCs/>
          <w:color w:val="0000FF"/>
        </w:rPr>
        <w:t>方案核心</w:t>
      </w:r>
      <w:r>
        <w:rPr>
          <w:rFonts w:hint="eastAsia"/>
          <w:b/>
          <w:bCs/>
          <w:color w:val="0000FF"/>
          <w:lang w:val="en-US" w:eastAsia="zh-CN"/>
        </w:rPr>
        <w:t>概要</w:t>
      </w:r>
      <w:r>
        <w:rPr>
          <w:b/>
          <w:bCs/>
          <w:color w:val="0000FF"/>
        </w:rPr>
        <w:t>：</w:t>
      </w:r>
    </w:p>
    <w:p w14:paraId="3E3BFC5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  <w:rPr>
          <w:color w:val="0000FF"/>
        </w:rPr>
      </w:pPr>
      <w:r>
        <w:rPr>
          <w:color w:val="0000FF"/>
        </w:rPr>
        <w:t>通过在400米×10米的边坡上，沿2.5米和7.5米高度线布设两条</w:t>
      </w:r>
      <w:r>
        <w:rPr>
          <w:rFonts w:hint="eastAsia"/>
          <w:color w:val="0000FF"/>
          <w:lang w:eastAsia="zh-CN"/>
        </w:rPr>
        <w:t>微结构增敏光纤</w:t>
      </w:r>
      <w:r>
        <w:rPr>
          <w:color w:val="0000FF"/>
        </w:rPr>
        <w:t>传感光缆，构建一个5米×5米的高密度二维应变与振动监测</w:t>
      </w:r>
      <w:r>
        <w:rPr>
          <w:rFonts w:hint="eastAsia"/>
          <w:color w:val="0000FF"/>
          <w:lang w:val="en-US" w:eastAsia="zh-CN"/>
        </w:rPr>
        <w:t>网格</w:t>
      </w:r>
      <w:r>
        <w:rPr>
          <w:color w:val="0000FF"/>
        </w:rPr>
        <w:t>。</w:t>
      </w:r>
      <w:r>
        <w:rPr>
          <w:rFonts w:hint="eastAsia"/>
          <w:color w:val="0000FF"/>
          <w:lang w:val="en-US" w:eastAsia="zh-CN"/>
        </w:rPr>
        <w:t>前端由微结构增敏光纤传感</w:t>
      </w:r>
      <w:r>
        <w:rPr>
          <w:color w:val="0000FF"/>
        </w:rPr>
        <w:t>解调仪进行实时数据采集，并通过4G/5G网络将数据传输至云端智能监测预警</w:t>
      </w:r>
      <w:r>
        <w:rPr>
          <w:rFonts w:hint="eastAsia"/>
          <w:color w:val="0000FF"/>
          <w:lang w:val="en-US" w:eastAsia="zh-CN"/>
        </w:rPr>
        <w:t>系统</w:t>
      </w:r>
      <w:r>
        <w:rPr>
          <w:color w:val="0000FF"/>
        </w:rPr>
        <w:t>平台。平台通过对海量数据的深度分析，实现对边坡微小变形和异常振动的精准捕捉，并以多级预警机制，为运维人员提供及时、可靠的灾害预警信息。</w:t>
      </w:r>
      <w:bookmarkStart w:id="0" w:name="_GoBack"/>
      <w:bookmarkEnd w:id="0"/>
    </w:p>
    <w:p w14:paraId="5E3479EC">
      <w:pPr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840" w:leftChars="0" w:hanging="420" w:firstLineChars="0"/>
        <w:jc w:val="left"/>
        <w:textAlignment w:val="auto"/>
      </w:pPr>
      <w:r>
        <w:rPr>
          <w:b/>
          <w:bCs/>
        </w:rPr>
        <w:t>方案亮点呈现：</w:t>
      </w:r>
    </w:p>
    <w:p w14:paraId="3A9B03C2">
      <w:pPr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-2" w:leftChars="0" w:firstLine="482" w:firstLineChars="0"/>
        <w:jc w:val="left"/>
        <w:textAlignment w:val="auto"/>
      </w:pPr>
      <w:r>
        <w:rPr>
          <w:b/>
          <w:bCs/>
        </w:rPr>
        <w:t>技术领先，感知精准：</w:t>
      </w:r>
      <w:r>
        <w:t xml:space="preserve"> 采用国际前沿的“新一代</w:t>
      </w:r>
      <w:r>
        <w:rPr>
          <w:rFonts w:hint="eastAsia"/>
          <w:lang w:eastAsia="zh-CN"/>
        </w:rPr>
        <w:t>、微结构增敏光纤</w:t>
      </w:r>
      <w:r>
        <w:t>技术”，具备微应变级（με）的超高灵敏度和精度，能够捕捉传统手段难以发现的灾害早期萌芽。</w:t>
      </w:r>
    </w:p>
    <w:p w14:paraId="395E9AAA">
      <w:pPr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-2" w:leftChars="0" w:firstLine="482" w:firstLineChars="0"/>
        <w:jc w:val="left"/>
        <w:textAlignment w:val="auto"/>
      </w:pPr>
      <w:r>
        <w:rPr>
          <w:b/>
          <w:bCs/>
        </w:rPr>
        <w:t>全域覆盖，立体成像：</w:t>
      </w:r>
      <w:r>
        <w:t xml:space="preserve"> 创新的5米×5米二维传感网格设计，实现了从“点”到“面”的跨越，能够实时绘制整个坡体的“应变云图”，直观呈现应力集中区和变形发展趋势，为灾害研判提供前所未有的数据维度。</w:t>
      </w:r>
    </w:p>
    <w:p w14:paraId="4A913548">
      <w:pPr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-2" w:leftChars="0" w:firstLine="482" w:firstLineChars="0"/>
        <w:jc w:val="left"/>
        <w:textAlignment w:val="auto"/>
      </w:pPr>
      <w:r>
        <w:rPr>
          <w:b/>
          <w:bCs/>
        </w:rPr>
        <w:t>本质安全，超强耐候：</w:t>
      </w:r>
      <w:r>
        <w:t xml:space="preserve"> 传感网络无电、抗雷击、抗强电磁干扰，采用耐腐蚀、抗老化的铠装光缆封装，能够在野外恶劣环境下长期稳定工作，设计寿命超过20年，真正做到“一次投入，长期受益”。</w:t>
      </w:r>
    </w:p>
    <w:p w14:paraId="0B6BB816">
      <w:pPr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-2" w:leftChars="0" w:firstLine="482" w:firstLineChars="0"/>
        <w:jc w:val="left"/>
        <w:textAlignment w:val="auto"/>
      </w:pPr>
      <w:r>
        <w:rPr>
          <w:b/>
          <w:bCs/>
        </w:rPr>
        <w:t>实时预警，主动防御：</w:t>
      </w:r>
      <w:r>
        <w:t xml:space="preserve"> 7×24小时不间断监测，结合智能分析与多级阈值预警模型，实现秒级响应和多渠道报警推送，将安全管理的重心从“被动抢险”前移至“主动防范”，最大限度保障公路交通安全。</w:t>
      </w:r>
    </w:p>
    <w:p w14:paraId="0925D2AF">
      <w:pPr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-2" w:leftChars="0" w:firstLine="482" w:firstLineChars="0"/>
        <w:jc w:val="left"/>
        <w:textAlignment w:val="auto"/>
      </w:pPr>
      <w:r>
        <w:rPr>
          <w:b/>
          <w:bCs/>
        </w:rPr>
        <w:t>高度集成，智能高效：</w:t>
      </w:r>
      <w:r>
        <w:t xml:space="preserve"> 提供从前端感知到后端平台的“交钥匙”一体化解决方案，系统自动化程度高，远程运维便捷，有效降低了对人工巡检的依赖和全生命周期的运维成本。</w:t>
      </w:r>
    </w:p>
    <w:p w14:paraId="5DA802A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auto"/>
        <w:rPr>
          <w:rFonts w:hint="eastAsia" w:eastAsia="宋体"/>
          <w:lang w:eastAsia="zh-CN"/>
        </w:rPr>
      </w:pPr>
      <w:r>
        <w:t>综上所述，本技术方案将为该国道边坡构建一个全天候、全覆盖、高精度的安全哨兵系统，是保障道路安全、防灾减灾的理想选择，具有显著的技术优势和巨大的社会经济效益。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8DCA5">
    <w:pPr>
      <w:rPr>
        <w:rFonts w:hint="eastAsia" w:eastAsia="宋体"/>
        <w:lang w:eastAsia="zh-CN"/>
      </w:rPr>
    </w:pPr>
    <w:r>
      <w:rPr>
        <w:sz w:val="21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87A4A6D">
                <w:pPr>
                  <w:pStyle w:val="9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 w:eastAsia="宋体"/>
        <w:lang w:eastAsia="zh-CN"/>
      </w:rPr>
      <w:drawing>
        <wp:inline distT="0" distB="0" distL="114300" distR="114300">
          <wp:extent cx="894715" cy="274320"/>
          <wp:effectExtent l="0" t="0" r="635" b="1905"/>
          <wp:docPr id="2" name="图片 2" descr="华中科技大学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华中科技大学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4715" cy="274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759B5">
    <w:pPr>
      <w:jc w:val="right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1736725" cy="223520"/>
          <wp:effectExtent l="0" t="0" r="0" b="0"/>
          <wp:docPr id="1" name="图片 1" descr="ngia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ngia-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6725" cy="223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B0F2E"/>
    <w:multiLevelType w:val="singleLevel"/>
    <w:tmpl w:val="868B0F2E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7C4DB51"/>
    <w:multiLevelType w:val="singleLevel"/>
    <w:tmpl w:val="87C4DB5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8D17B945"/>
    <w:multiLevelType w:val="singleLevel"/>
    <w:tmpl w:val="8D17B94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94469A02"/>
    <w:multiLevelType w:val="singleLevel"/>
    <w:tmpl w:val="94469A0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97750447"/>
    <w:multiLevelType w:val="singleLevel"/>
    <w:tmpl w:val="9775044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AD591676"/>
    <w:multiLevelType w:val="singleLevel"/>
    <w:tmpl w:val="AD591676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EFA9491"/>
    <w:multiLevelType w:val="singleLevel"/>
    <w:tmpl w:val="CEFA9491"/>
    <w:lvl w:ilvl="0" w:tentative="0">
      <w:start w:val="1"/>
      <w:numFmt w:val="decimal"/>
      <w:lvlText w:val="(%1)"/>
      <w:lvlJc w:val="left"/>
      <w:pPr>
        <w:ind w:left="3" w:hanging="425"/>
      </w:pPr>
      <w:rPr>
        <w:rFonts w:hint="default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bullet"/>
      <w:suff w:val="nothing"/>
      <w:lvlText w:val=""/>
      <w:lvlJc w:val="left"/>
      <w:rPr>
        <w:rFonts w:hint="default" w:ascii="Wingdings" w:hAnsi="Wingdings"/>
      </w:rPr>
    </w:lvl>
    <w:lvl w:ilvl="1" w:tentative="0">
      <w:start w:val="1"/>
      <w:numFmt w:val="bullet"/>
      <w:suff w:val="nothing"/>
      <w:lvlText w:val=""/>
      <w:lvlJc w:val="left"/>
      <w:pPr>
        <w:ind w:left="210"/>
      </w:pPr>
      <w:rPr>
        <w:rFonts w:hint="default" w:ascii="Wingdings" w:hAnsi="Wingdings"/>
      </w:rPr>
    </w:lvl>
    <w:lvl w:ilvl="2" w:tentative="0">
      <w:start w:val="1"/>
      <w:numFmt w:val="bullet"/>
      <w:suff w:val="nothing"/>
      <w:lvlText w:val=""/>
      <w:lvlJc w:val="left"/>
      <w:pPr>
        <w:ind w:left="420"/>
      </w:pPr>
      <w:rPr>
        <w:rFonts w:hint="default" w:ascii="Wingdings" w:hAnsi="Wingdings"/>
      </w:rPr>
    </w:lvl>
    <w:lvl w:ilvl="3" w:tentative="0">
      <w:start w:val="1"/>
      <w:numFmt w:val="bullet"/>
      <w:suff w:val="nothing"/>
      <w:lvlText w:val=""/>
      <w:lvlJc w:val="left"/>
      <w:pPr>
        <w:ind w:left="630"/>
      </w:pPr>
      <w:rPr>
        <w:rFonts w:hint="default" w:ascii="Wingdings" w:hAnsi="Wingdings"/>
      </w:rPr>
    </w:lvl>
    <w:lvl w:ilvl="4" w:tentative="0">
      <w:start w:val="1"/>
      <w:numFmt w:val="bullet"/>
      <w:suff w:val="nothing"/>
      <w:lvlText w:val=""/>
      <w:lvlJc w:val="left"/>
      <w:pPr>
        <w:ind w:left="840"/>
      </w:pPr>
      <w:rPr>
        <w:rFonts w:hint="default" w:ascii="Wingdings" w:hAnsi="Wingdings"/>
      </w:rPr>
    </w:lvl>
    <w:lvl w:ilvl="5" w:tentative="0">
      <w:start w:val="1"/>
      <w:numFmt w:val="bullet"/>
      <w:suff w:val="nothing"/>
      <w:lvlText w:val=""/>
      <w:lvlJc w:val="left"/>
      <w:pPr>
        <w:ind w:left="1050"/>
      </w:pPr>
      <w:rPr>
        <w:rFonts w:hint="default" w:ascii="Wingdings" w:hAnsi="Wingdings"/>
      </w:rPr>
    </w:lvl>
    <w:lvl w:ilvl="6" w:tentative="0">
      <w:start w:val="1"/>
      <w:numFmt w:val="bullet"/>
      <w:suff w:val="nothing"/>
      <w:lvlText w:val=""/>
      <w:lvlJc w:val="left"/>
      <w:pPr>
        <w:ind w:left="1260"/>
      </w:pPr>
      <w:rPr>
        <w:rFonts w:hint="default" w:ascii="Wingdings" w:hAnsi="Wingdings"/>
      </w:rPr>
    </w:lvl>
    <w:lvl w:ilvl="7" w:tentative="0">
      <w:start w:val="1"/>
      <w:numFmt w:val="bullet"/>
      <w:suff w:val="nothing"/>
      <w:lvlText w:val=""/>
      <w:lvlJc w:val="left"/>
      <w:pPr>
        <w:ind w:left="1470"/>
      </w:pPr>
      <w:rPr>
        <w:rFonts w:hint="default" w:ascii="Wingdings" w:hAnsi="Wingdings"/>
      </w:rPr>
    </w:lvl>
    <w:lvl w:ilvl="8" w:tentative="0">
      <w:start w:val="1"/>
      <w:numFmt w:val="bullet"/>
      <w:suff w:val="nothing"/>
      <w:lvlText w:val=""/>
      <w:lvlJc w:val="left"/>
      <w:pPr>
        <w:ind w:left="1680"/>
      </w:pPr>
      <w:rPr>
        <w:rFonts w:hint="default" w:ascii="Wingdings" w:hAnsi="Wingdings"/>
      </w:rPr>
    </w:lvl>
  </w:abstractNum>
  <w:abstractNum w:abstractNumId="8">
    <w:nsid w:val="122C2CF3"/>
    <w:multiLevelType w:val="singleLevel"/>
    <w:tmpl w:val="122C2CF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1B52381B"/>
    <w:multiLevelType w:val="singleLevel"/>
    <w:tmpl w:val="1B52381B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11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62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11">
    <w:nsid w:val="3D4DF2D0"/>
    <w:multiLevelType w:val="singleLevel"/>
    <w:tmpl w:val="3D4DF2D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4796A4F3"/>
    <w:multiLevelType w:val="singleLevel"/>
    <w:tmpl w:val="4796A4F3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4FC01A2F"/>
    <w:multiLevelType w:val="singleLevel"/>
    <w:tmpl w:val="4FC01A2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61FBB15A"/>
    <w:multiLevelType w:val="singleLevel"/>
    <w:tmpl w:val="61FBB15A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845" w:hanging="425"/>
      </w:pPr>
      <w:rPr>
        <w:rFonts w:hint="default"/>
      </w:rPr>
    </w:lvl>
  </w:abstractNum>
  <w:abstractNum w:abstractNumId="15">
    <w:nsid w:val="6604BA0B"/>
    <w:multiLevelType w:val="singleLevel"/>
    <w:tmpl w:val="6604BA0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8"/>
  </w:num>
  <w:num w:numId="2">
    <w:abstractNumId w:val="14"/>
  </w:num>
  <w:num w:numId="3">
    <w:abstractNumId w:val="13"/>
  </w:num>
  <w:num w:numId="4">
    <w:abstractNumId w:val="11"/>
  </w:num>
  <w:num w:numId="5">
    <w:abstractNumId w:val="12"/>
  </w:num>
  <w:num w:numId="6">
    <w:abstractNumId w:val="0"/>
  </w:num>
  <w:num w:numId="7">
    <w:abstractNumId w:val="5"/>
  </w:num>
  <w:num w:numId="8">
    <w:abstractNumId w:val="3"/>
  </w:num>
  <w:num w:numId="9">
    <w:abstractNumId w:val="1"/>
  </w:num>
  <w:num w:numId="10">
    <w:abstractNumId w:val="7"/>
  </w:num>
  <w:num w:numId="11">
    <w:abstractNumId w:val="15"/>
  </w:num>
  <w:num w:numId="12">
    <w:abstractNumId w:val="10"/>
  </w:num>
  <w:num w:numId="13">
    <w:abstractNumId w:val="4"/>
  </w:num>
  <w:num w:numId="14">
    <w:abstractNumId w:val="2"/>
  </w:num>
  <w:num w:numId="15">
    <w:abstractNumId w:val="9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0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06F11FD9"/>
    <w:rsid w:val="09C24298"/>
    <w:rsid w:val="0AD04511"/>
    <w:rsid w:val="12D839AD"/>
    <w:rsid w:val="1464728A"/>
    <w:rsid w:val="233D46AE"/>
    <w:rsid w:val="26395C2E"/>
    <w:rsid w:val="33E64A9C"/>
    <w:rsid w:val="38F3775D"/>
    <w:rsid w:val="500B49ED"/>
    <w:rsid w:val="707722DC"/>
    <w:rsid w:val="745F58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99" w:name="toc 1"/>
    <w:lsdException w:qFormat="1" w:uiPriority="99" w:name="toc 2"/>
    <w:lsdException w:qFormat="1" w:uiPriority="99" w:name="toc 3"/>
    <w:lsdException w:qFormat="1"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  <w:ind w:firstLine="780" w:firstLineChars="200"/>
    </w:pPr>
    <w:rPr>
      <w:rFonts w:ascii="Calibri" w:hAnsi="Calibri" w:eastAsia="宋体" w:cstheme="minorBidi"/>
      <w:sz w:val="24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link w:val="24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8">
    <w:name w:val="toc 3"/>
    <w:basedOn w:val="1"/>
    <w:next w:val="1"/>
    <w:semiHidden/>
    <w:unhideWhenUsed/>
    <w:qFormat/>
    <w:uiPriority w:val="99"/>
    <w:pPr>
      <w:ind w:left="840" w:leftChars="400"/>
    </w:pPr>
  </w:style>
  <w:style w:type="paragraph" w:styleId="9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link w:val="21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toc 1"/>
    <w:basedOn w:val="1"/>
    <w:next w:val="1"/>
    <w:semiHidden/>
    <w:unhideWhenUsed/>
    <w:qFormat/>
    <w:uiPriority w:val="99"/>
  </w:style>
  <w:style w:type="paragraph" w:styleId="12">
    <w:name w:val="toc 4"/>
    <w:basedOn w:val="1"/>
    <w:next w:val="1"/>
    <w:semiHidden/>
    <w:unhideWhenUsed/>
    <w:qFormat/>
    <w:uiPriority w:val="99"/>
    <w:pPr>
      <w:ind w:left="1260" w:leftChars="600"/>
    </w:pPr>
  </w:style>
  <w:style w:type="paragraph" w:styleId="13">
    <w:name w:val="Subtitle"/>
    <w:basedOn w:val="1"/>
    <w:next w:val="1"/>
    <w:link w:val="26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4">
    <w:name w:val="toc 2"/>
    <w:basedOn w:val="1"/>
    <w:next w:val="1"/>
    <w:semiHidden/>
    <w:unhideWhenUsed/>
    <w:qFormat/>
    <w:uiPriority w:val="99"/>
    <w:pPr>
      <w:ind w:left="420" w:leftChars="200"/>
    </w:pPr>
  </w:style>
  <w:style w:type="paragraph" w:styleId="15">
    <w:name w:val="Title"/>
    <w:basedOn w:val="1"/>
    <w:next w:val="1"/>
    <w:link w:val="27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7">
    <w:name w:val="Table Grid"/>
    <w:basedOn w:val="1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Emphasis"/>
    <w:basedOn w:val="18"/>
    <w:qFormat/>
    <w:uiPriority w:val="20"/>
    <w:rPr>
      <w:i/>
      <w:iCs/>
    </w:rPr>
  </w:style>
  <w:style w:type="character" w:styleId="20">
    <w:name w:val="Hyperlink"/>
    <w:basedOn w:val="18"/>
    <w:unhideWhenUsed/>
    <w:qFormat/>
    <w:uiPriority w:val="99"/>
    <w:rPr>
      <w:color w:val="0000FF" w:themeColor="hyperlink"/>
      <w:u w:val="single"/>
    </w:rPr>
  </w:style>
  <w:style w:type="character" w:customStyle="1" w:styleId="21">
    <w:name w:val="Header Char"/>
    <w:basedOn w:val="18"/>
    <w:link w:val="10"/>
    <w:qFormat/>
    <w:uiPriority w:val="99"/>
  </w:style>
  <w:style w:type="character" w:customStyle="1" w:styleId="22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23">
    <w:name w:val="Heading 2 Char"/>
    <w:basedOn w:val="18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4">
    <w:name w:val="Heading 3 Char"/>
    <w:basedOn w:val="18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5">
    <w:name w:val="Heading 4 Char"/>
    <w:basedOn w:val="18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6">
    <w:name w:val="Subtitle Char"/>
    <w:basedOn w:val="18"/>
    <w:link w:val="1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7">
    <w:name w:val="Title Char"/>
    <w:basedOn w:val="18"/>
    <w:link w:val="15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8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7535</Words>
  <Characters>7827</Characters>
  <TotalTime>40</TotalTime>
  <ScaleCrop>false</ScaleCrop>
  <LinksUpToDate>false</LinksUpToDate>
  <CharactersWithSpaces>7952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2025-12-17T09:49:00Z</dcterms:created>
  <dc:creator>Eric</dc:creator>
  <cp:lastModifiedBy>星耀东方</cp:lastModifiedBy>
  <dcterms:modified xsi:type="dcterms:W3CDTF">2026-08-05T02:52:49Z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001191310115MA1H9U6C1800000","ProducerID":"Metasota_docx_67f22bb10f9c0ddb94d16946_1_e28beab8-aa61-4b91-a94e-20fb37d3b13c","Lable":"1","ReservedCode1":"15039fe4a0b2da8aed143d5ac7537402","ReservedCode2":"15039fe4a0b2da8aed143d5ac7537402","PropagateID":"Metasota_docx_67f22bb10f9c0ddb94d16946_1_e28beab8-aa61-4b91-a94e-20fb37d3b13c","ContentProducer":"001191310115MA1H9U6C1800000"}</vt:lpwstr>
  </property>
  <property fmtid="{D5CDD505-2E9C-101B-9397-08002B2CF9AE}" pid="3" name="KSOTemplateDocerSaveRecord">
    <vt:lpwstr>eyJoZGlkIjoiZmIwMzc1YjU4ODMzZTc5MThiOTFmZTdlNmQ2MmI3YTYiLCJ1c2VySWQiOiIyODYyNDUzMDAifQ==</vt:lpwstr>
  </property>
  <property fmtid="{D5CDD505-2E9C-101B-9397-08002B2CF9AE}" pid="4" name="KSOProductBuildVer">
    <vt:lpwstr>2052-12.1.0.26895</vt:lpwstr>
  </property>
  <property fmtid="{D5CDD505-2E9C-101B-9397-08002B2CF9AE}" pid="5" name="ICV">
    <vt:lpwstr>631293010444479FBA3F23B4F647EF19_12</vt:lpwstr>
  </property>
</Properties>
</file>