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EBF6E" w14:textId="72D52768" w:rsidR="005D7561" w:rsidRDefault="00C04AF5" w:rsidP="00C04AF5">
      <w:pPr>
        <w:pStyle w:val="Akapitzlist"/>
        <w:numPr>
          <w:ilvl w:val="0"/>
          <w:numId w:val="1"/>
        </w:numPr>
      </w:pPr>
      <w:r>
        <w:t>Celem laboratorium było</w:t>
      </w:r>
    </w:p>
    <w:p w14:paraId="5101EA81" w14:textId="69E47FB8" w:rsidR="00C04AF5" w:rsidRDefault="00C04AF5" w:rsidP="00C04AF5">
      <w:pPr>
        <w:pStyle w:val="Akapitzlist"/>
        <w:numPr>
          <w:ilvl w:val="0"/>
          <w:numId w:val="1"/>
        </w:numPr>
      </w:pPr>
      <w:r>
        <w:t>Metody generowania</w:t>
      </w:r>
    </w:p>
    <w:p w14:paraId="13E5D1C3" w14:textId="201F3CB6" w:rsidR="00C04AF5" w:rsidRDefault="00C04AF5" w:rsidP="00C04AF5">
      <w:pPr>
        <w:pStyle w:val="Akapitzlist"/>
        <w:numPr>
          <w:ilvl w:val="1"/>
          <w:numId w:val="1"/>
        </w:numPr>
      </w:pPr>
      <w:r>
        <w:t>Metoda Boxa-Mullera</w:t>
      </w:r>
    </w:p>
    <w:p w14:paraId="669A873A" w14:textId="2A343CE6" w:rsidR="00C04AF5" w:rsidRDefault="00C04AF5" w:rsidP="00C04AF5">
      <w:pPr>
        <w:pStyle w:val="Akapitzlist"/>
        <w:ind w:left="792"/>
      </w:pPr>
      <w:r>
        <w:t>Metodę generowania pary liczb pseudolosowych o rozkładzie normalnym opisano za pomocą wzoru 1.</w:t>
      </w:r>
    </w:p>
    <w:p w14:paraId="77C9E70F" w14:textId="4FA471DF" w:rsidR="00C04AF5" w:rsidRDefault="00EF2D9B" w:rsidP="00255DB7">
      <w:pPr>
        <w:pStyle w:val="Akapitzlist"/>
        <w:ind w:left="792"/>
        <w:jc w:val="center"/>
        <w:rPr>
          <w:rFonts w:eastAsiaTheme="minorEastAsia"/>
        </w:rPr>
      </w:pPr>
      <m:oMath>
        <m:f>
          <m:fPr>
            <m:type m:val="noBa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 xml:space="preserve">X=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-2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(ln</m:t>
                    </m:r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)</m:t>
                    </m:r>
                  </m:e>
                </m:func>
              </m:e>
            </m:rad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</m:func>
          </m:num>
          <m:den>
            <m:r>
              <w:rPr>
                <w:rFonts w:ascii="Cambria Math" w:hAnsi="Cambria Math"/>
                <w:sz w:val="32"/>
                <w:szCs w:val="32"/>
              </w:rPr>
              <m:t xml:space="preserve">Y=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-2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(ln</m:t>
                    </m:r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)</m:t>
                    </m:r>
                  </m:e>
                </m:func>
              </m:e>
            </m:rad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(2π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</m:func>
          </m:den>
        </m:f>
      </m:oMath>
      <w:r w:rsidR="00255DB7">
        <w:rPr>
          <w:rFonts w:eastAsiaTheme="minorEastAsia"/>
        </w:rPr>
        <w:tab/>
        <w:t>(1)</w:t>
      </w:r>
    </w:p>
    <w:p w14:paraId="6404C995" w14:textId="099BB61F" w:rsidR="00255DB7" w:rsidRPr="00255DB7" w:rsidRDefault="00255DB7" w:rsidP="00255DB7">
      <w:pPr>
        <w:pStyle w:val="Akapitzlist"/>
        <w:ind w:left="792"/>
      </w:pPr>
      <w:r>
        <w:t xml:space="preserve">gdzie: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liczby wygenerowane ze znormalizowanego rozkładu jednorodnego.</w:t>
      </w:r>
    </w:p>
    <w:p w14:paraId="789E4E45" w14:textId="0A6CABA7" w:rsidR="00C04AF5" w:rsidRDefault="00C04AF5" w:rsidP="00C04AF5">
      <w:pPr>
        <w:pStyle w:val="Akapitzlist"/>
        <w:numPr>
          <w:ilvl w:val="1"/>
          <w:numId w:val="1"/>
        </w:numPr>
      </w:pPr>
      <w:r>
        <w:t>Rozkład jednorodny w kole</w:t>
      </w:r>
    </w:p>
    <w:p w14:paraId="506D8814" w14:textId="15018A67" w:rsidR="00255DB7" w:rsidRDefault="00255DB7" w:rsidP="00255DB7">
      <w:pPr>
        <w:pStyle w:val="Akapitzlist"/>
        <w:ind w:left="792"/>
      </w:pPr>
      <w:r>
        <w:t>Aby utworzyć rozkład jednorodny w kole jednostkowym, najpierw warto określić metodę rozmieszczenia punktów na sferze o zadanym promieniu R.</w:t>
      </w:r>
    </w:p>
    <w:p w14:paraId="3A1A64E3" w14:textId="1146306E" w:rsidR="00255DB7" w:rsidRDefault="00255DB7" w:rsidP="00255DB7">
      <w:pPr>
        <w:pStyle w:val="Akapitzlist"/>
        <w:ind w:left="792"/>
      </w:pPr>
      <w:r>
        <w:t>Jest to możliwe poprzez normalizację wylosowanych par współrzędnych X,Y pokazaną we wzorze 2 i 3.</w:t>
      </w:r>
    </w:p>
    <w:p w14:paraId="0D7E7941" w14:textId="1538247F" w:rsidR="00255DB7" w:rsidRDefault="00EF2D9B" w:rsidP="00255DB7">
      <w:pPr>
        <w:pStyle w:val="Akapitzlist"/>
        <w:ind w:left="792"/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="00255DB7">
        <w:rPr>
          <w:rFonts w:eastAsiaTheme="minorEastAsia"/>
        </w:rPr>
        <w:tab/>
      </w:r>
      <w:r w:rsidR="00255DB7">
        <w:rPr>
          <w:rFonts w:eastAsiaTheme="minorEastAsia"/>
        </w:rPr>
        <w:tab/>
        <w:t>(2)</w:t>
      </w:r>
    </w:p>
    <w:p w14:paraId="6D147AFD" w14:textId="0989A83E" w:rsidR="00255DB7" w:rsidRDefault="00EF2D9B" w:rsidP="00255DB7">
      <w:pPr>
        <w:pStyle w:val="Akapitzlist"/>
        <w:ind w:left="792"/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>Y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="00255DB7">
        <w:rPr>
          <w:rFonts w:eastAsiaTheme="minorEastAsia"/>
        </w:rPr>
        <w:tab/>
      </w:r>
      <w:r w:rsidR="00255DB7">
        <w:rPr>
          <w:rFonts w:eastAsiaTheme="minorEastAsia"/>
        </w:rPr>
        <w:tab/>
        <w:t>(3)</w:t>
      </w:r>
    </w:p>
    <w:p w14:paraId="69D4B22E" w14:textId="67552AA7" w:rsidR="00193E01" w:rsidRDefault="00193E01" w:rsidP="00193E01">
      <w:pPr>
        <w:pStyle w:val="Akapitzlist"/>
        <w:ind w:left="792"/>
      </w:pPr>
      <w:r>
        <w:t>gdzie: R – dowolny promień.</w:t>
      </w:r>
    </w:p>
    <w:p w14:paraId="746668D2" w14:textId="39A8A8AB" w:rsidR="00193E01" w:rsidRDefault="00193E01" w:rsidP="00193E01">
      <w:pPr>
        <w:pStyle w:val="Akapitzlist"/>
        <w:ind w:left="792"/>
      </w:pPr>
      <w:r>
        <w:t>Jeśli przyjmiemy, że promień może przyjąć losową wartość z przedziału [0,1], dla każdej pary X,Y, otrzymamy rozkład jednorodny w kole jednostkowym.</w:t>
      </w:r>
    </w:p>
    <w:p w14:paraId="58A5D620" w14:textId="77777777" w:rsidR="00255DB7" w:rsidRDefault="00255DB7" w:rsidP="00255DB7">
      <w:pPr>
        <w:pStyle w:val="Akapitzlist"/>
        <w:ind w:left="792"/>
        <w:jc w:val="center"/>
      </w:pPr>
    </w:p>
    <w:p w14:paraId="0FA6959C" w14:textId="0AF4A427" w:rsidR="00C04AF5" w:rsidRDefault="00C04AF5" w:rsidP="00C04AF5">
      <w:pPr>
        <w:pStyle w:val="Akapitzlist"/>
        <w:numPr>
          <w:ilvl w:val="1"/>
          <w:numId w:val="1"/>
        </w:numPr>
      </w:pPr>
      <w:r>
        <w:t>Transformacja afiniczna</w:t>
      </w:r>
    </w:p>
    <w:p w14:paraId="50AC5F7E" w14:textId="3E7168CA" w:rsidR="00193E01" w:rsidRDefault="00193E01" w:rsidP="00193E01">
      <w:pPr>
        <w:pStyle w:val="Akapitzlist"/>
        <w:ind w:left="792"/>
      </w:pPr>
      <w:r>
        <w:t xml:space="preserve">Poddając rozkład kołowy transformacji liniowej </w:t>
      </w:r>
      <w:r w:rsidR="00211CDF">
        <w:t>można uzyskać elipsę. Jej docelowy kształt definiujemy podając wektory określające półosie główne</w:t>
      </w:r>
    </w:p>
    <w:p w14:paraId="692773E8" w14:textId="7C9FE0CC" w:rsidR="00211CDF" w:rsidRDefault="00EF2D9B" w:rsidP="00211CDF">
      <w:pPr>
        <w:pStyle w:val="Akapitzlist"/>
        <w:ind w:left="792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21</m:t>
                    </m:r>
                  </m:sub>
                </m:sSub>
              </m:den>
            </m:f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22</m:t>
                    </m:r>
                  </m:sub>
                </m:sSub>
              </m:den>
            </m:f>
          </m:e>
        </m:d>
      </m:oMath>
      <w:r w:rsidR="00211CDF" w:rsidRPr="00211CDF">
        <w:rPr>
          <w:rFonts w:eastAsiaTheme="minorEastAsia"/>
          <w:sz w:val="28"/>
          <w:szCs w:val="28"/>
        </w:rPr>
        <w:tab/>
      </w:r>
      <w:r w:rsidR="00211CDF">
        <w:rPr>
          <w:rFonts w:eastAsiaTheme="minorEastAsia"/>
        </w:rPr>
        <w:tab/>
        <w:t>(4)</w:t>
      </w:r>
    </w:p>
    <w:p w14:paraId="411319E1" w14:textId="22817BEF" w:rsidR="00211CDF" w:rsidRDefault="00211CDF" w:rsidP="00211CDF">
      <w:r>
        <w:tab/>
        <w:t>Wektory te stanowią kolumny macierzy transformacji A</w:t>
      </w:r>
    </w:p>
    <w:p w14:paraId="26A301CC" w14:textId="3B5435CD" w:rsidR="00211CDF" w:rsidRDefault="00211CDF" w:rsidP="00211CDF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>(5)</w:t>
      </w:r>
    </w:p>
    <w:p w14:paraId="3A988F9A" w14:textId="383EB7C1" w:rsidR="00211CDF" w:rsidRDefault="00211CDF" w:rsidP="00211CDF">
      <w:pPr>
        <w:ind w:left="705"/>
        <w:rPr>
          <w:rFonts w:eastAsiaTheme="minorEastAsia"/>
        </w:rPr>
      </w:pPr>
      <w:r>
        <w:rPr>
          <w:rFonts w:eastAsiaTheme="minorEastAsia"/>
        </w:rPr>
        <w:t xml:space="preserve">Macierz ta określa obrót oraz skalowanie wzdłuż półosi głównych, rozkład można dodatkowo przesunąć o pewien wektor, wobec czego transformacja </w:t>
      </w:r>
      <w:r w:rsidR="0032287D">
        <w:rPr>
          <w:rFonts w:eastAsiaTheme="minorEastAsia"/>
        </w:rPr>
        <w:t>pary współrzędnych punktu z rozkładu dwuwymiarowego przyjmuje postać daną wzorem 6.</w:t>
      </w:r>
    </w:p>
    <w:p w14:paraId="37A1FB05" w14:textId="5A2DDE6E" w:rsidR="0032287D" w:rsidRDefault="00EF2D9B" w:rsidP="0032287D">
      <w:pPr>
        <w:ind w:left="705"/>
        <w:jc w:val="center"/>
        <w:rPr>
          <w:rFonts w:eastAsiaTheme="minorEastAsia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'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'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32"/>
            <w:szCs w:val="32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den>
            </m:f>
          </m:e>
        </m:d>
        <m:r>
          <w:rPr>
            <w:rFonts w:ascii="Cambria Math" w:hAnsi="Cambria Math"/>
            <w:sz w:val="32"/>
            <w:szCs w:val="32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b>
                </m:sSub>
              </m:den>
            </m:f>
          </m:e>
        </m:d>
      </m:oMath>
      <w:r w:rsidR="0032287D">
        <w:rPr>
          <w:rFonts w:eastAsiaTheme="minorEastAsia"/>
        </w:rPr>
        <w:tab/>
        <w:t>(6)</w:t>
      </w:r>
    </w:p>
    <w:p w14:paraId="1D29AFD6" w14:textId="059B045D" w:rsidR="0032287D" w:rsidRDefault="0032287D" w:rsidP="0032287D">
      <w:pPr>
        <w:ind w:left="705"/>
        <w:rPr>
          <w:rFonts w:eastAsiaTheme="minorEastAsia"/>
        </w:rPr>
      </w:pPr>
      <w:r>
        <w:t xml:space="preserve">gdzie: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współrzędne wektora przesunięcia.</w:t>
      </w:r>
    </w:p>
    <w:p w14:paraId="3D691D99" w14:textId="6805D8F6" w:rsidR="00084E80" w:rsidRDefault="00084E80" w:rsidP="0032287D">
      <w:pPr>
        <w:ind w:left="705"/>
        <w:rPr>
          <w:rFonts w:eastAsiaTheme="minorEastAsia"/>
        </w:rPr>
      </w:pPr>
      <w:r>
        <w:rPr>
          <w:rFonts w:eastAsiaTheme="minorEastAsia"/>
        </w:rPr>
        <w:t>Półosie główne elipsy muszą być ortogonalne, tak samo jak wersory układu kartezjańskiego. Dlatego też wektory r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>, r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możemy zapisać jako werosry układu </w:t>
      </w:r>
      <w:r>
        <w:rPr>
          <w:rFonts w:eastAsiaTheme="minorEastAsia"/>
        </w:rPr>
        <w:lastRenderedPageBreak/>
        <w:t>kartezjańskiego, które zostały obrócone przy pomocy macierzy obrotu R</w:t>
      </w:r>
      <w:r>
        <w:rPr>
          <w:rFonts w:eastAsiaTheme="minorEastAsia"/>
          <w:vertAlign w:val="subscript"/>
        </w:rPr>
        <w:t>α</w:t>
      </w:r>
      <w:r>
        <w:rPr>
          <w:rFonts w:eastAsiaTheme="minorEastAsia"/>
        </w:rPr>
        <w:t xml:space="preserve"> o kąt α i przeskalowane odpowiednią wartością. Macierz obrotu </w:t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α</w:t>
      </w:r>
      <w:r>
        <w:rPr>
          <w:rFonts w:eastAsiaTheme="minorEastAsia"/>
        </w:rPr>
        <w:t xml:space="preserve">  jest postaci:</w:t>
      </w:r>
    </w:p>
    <w:p w14:paraId="07F45586" w14:textId="25B65D0C" w:rsidR="00084E80" w:rsidRDefault="00084E80" w:rsidP="00084E80">
      <w:pPr>
        <w:ind w:left="705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</w:rPr>
                    <m:t>(α)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</w:rPr>
          <m:t>α</m:t>
        </m:r>
        <m:r>
          <w:rPr>
            <w:rFonts w:ascii="Cambria Math" w:eastAsiaTheme="minorEastAsia" w:hAnsi="Cambria Math"/>
          </w:rPr>
          <m:t>∈[0,2π]</m:t>
        </m:r>
      </m:oMath>
      <w:r>
        <w:rPr>
          <w:rFonts w:eastAsiaTheme="minorEastAsia"/>
        </w:rPr>
        <w:tab/>
        <w:t>(7)</w:t>
      </w:r>
    </w:p>
    <w:p w14:paraId="3B8A043B" w14:textId="0E8844E0" w:rsidR="00084E80" w:rsidRDefault="009A76BB" w:rsidP="00084E80">
      <w:pPr>
        <w:ind w:left="705"/>
        <w:rPr>
          <w:rFonts w:eastAsiaTheme="minorEastAsia"/>
        </w:rPr>
      </w:pPr>
      <w:r>
        <w:rPr>
          <w:rFonts w:eastAsiaTheme="minorEastAsia"/>
        </w:rPr>
        <w:t xml:space="preserve">Wobec czego wektory </w:t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>, r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przyjmą postacie dane wzorami 8 i 9</w:t>
      </w:r>
    </w:p>
    <w:p w14:paraId="1773BE50" w14:textId="427AF9FE" w:rsidR="009A76BB" w:rsidRPr="009A76BB" w:rsidRDefault="009A76BB" w:rsidP="009A76BB">
      <w:pPr>
        <w:ind w:left="705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)</m:t>
                  </m:r>
                </m:e>
              </m:mr>
            </m:m>
          </m:e>
        </m:d>
      </m:oMath>
      <w:r>
        <w:rPr>
          <w:rFonts w:eastAsiaTheme="minorEastAsia"/>
        </w:rPr>
        <w:tab/>
        <w:t>(8)</w:t>
      </w:r>
    </w:p>
    <w:p w14:paraId="3E98C40C" w14:textId="14D310F1" w:rsidR="009A76BB" w:rsidRPr="009A76BB" w:rsidRDefault="009A76BB" w:rsidP="009A76BB">
      <w:pPr>
        <w:ind w:left="705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)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>(9)</w:t>
      </w:r>
    </w:p>
    <w:p w14:paraId="39A65F0A" w14:textId="73DFD0E8" w:rsidR="009A76BB" w:rsidRPr="009A76BB" w:rsidRDefault="009A76BB" w:rsidP="00084E80">
      <w:pPr>
        <w:ind w:left="705"/>
        <w:rPr>
          <w:rFonts w:eastAsiaTheme="minorEastAsia"/>
        </w:rPr>
      </w:pPr>
      <w:r>
        <w:rPr>
          <w:rFonts w:eastAsiaTheme="minorEastAsia"/>
        </w:rPr>
        <w:t>gdzie: b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>, b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– współczynniki skalujące &gt; 0.</w:t>
      </w:r>
    </w:p>
    <w:p w14:paraId="39DA36F5" w14:textId="77777777" w:rsidR="0032287D" w:rsidRDefault="0032287D" w:rsidP="0032287D">
      <w:pPr>
        <w:ind w:left="705"/>
        <w:rPr>
          <w:rFonts w:eastAsiaTheme="minorEastAsia"/>
        </w:rPr>
      </w:pPr>
    </w:p>
    <w:p w14:paraId="2500A5D4" w14:textId="5C0EDE7E" w:rsidR="0032287D" w:rsidRDefault="0032287D" w:rsidP="0032287D">
      <w:pPr>
        <w:pStyle w:val="Akapitzlist"/>
        <w:numPr>
          <w:ilvl w:val="1"/>
          <w:numId w:val="1"/>
        </w:numPr>
      </w:pPr>
      <w:r>
        <w:t>Macierz kowariancji oraz współczynnik korelacji zmiennych</w:t>
      </w:r>
    </w:p>
    <w:p w14:paraId="2DBAB7A1" w14:textId="20D2BAB2" w:rsidR="009A76BB" w:rsidRDefault="00CE5C88" w:rsidP="009A76BB">
      <w:pPr>
        <w:pStyle w:val="Akapitzlist"/>
        <w:ind w:left="792"/>
      </w:pPr>
      <w:r>
        <w:t>Macierz kowariancji ma postać</w:t>
      </w:r>
    </w:p>
    <w:p w14:paraId="6F3DE28F" w14:textId="5441C453" w:rsidR="00CE5C88" w:rsidRDefault="00CE5C88" w:rsidP="00CE5C88">
      <w:pPr>
        <w:pStyle w:val="Akapitzlist"/>
        <w:ind w:left="792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ab/>
        <w:t>(10)</w:t>
      </w:r>
    </w:p>
    <w:p w14:paraId="264FE248" w14:textId="1CF03AFE" w:rsidR="00CE5C88" w:rsidRDefault="00CE5C88" w:rsidP="00CE5C88">
      <w:pPr>
        <w:pStyle w:val="Akapitzlist"/>
        <w:ind w:left="792"/>
      </w:pPr>
      <w:r>
        <w:t>Jej elementy dane są wzorami 11 i 12</w:t>
      </w:r>
    </w:p>
    <w:p w14:paraId="5E9A3CD1" w14:textId="6F9C0AA2" w:rsidR="00CE5C88" w:rsidRDefault="00CE5C88" w:rsidP="00CE5C88">
      <w:pPr>
        <w:pStyle w:val="Akapitzlist"/>
        <w:ind w:left="792"/>
        <w:jc w:val="center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ab/>
        <w:t>(11)</w:t>
      </w:r>
    </w:p>
    <w:p w14:paraId="5F51A83F" w14:textId="5CFA135B" w:rsidR="00CE5C88" w:rsidRDefault="00CE5C88" w:rsidP="00CE5C88">
      <w:pPr>
        <w:pStyle w:val="Akapitzlist"/>
        <w:ind w:left="792"/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y</m:t>
            </m:r>
          </m:sub>
          <m:sup/>
        </m:sSubSup>
        <m:r>
          <w:rPr>
            <w:rFonts w:ascii="Cambria Math" w:hAnsi="Cambria Math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xy</m:t>
            </m:r>
          </m:e>
        </m:d>
        <m:r>
          <w:rPr>
            <w:rFonts w:ascii="Cambria Math" w:hAnsi="Cambria Math"/>
          </w:rPr>
          <m:t>-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>(1</w:t>
      </w:r>
      <w:r>
        <w:rPr>
          <w:rFonts w:eastAsiaTheme="minorEastAsia"/>
        </w:rPr>
        <w:t>2</w:t>
      </w:r>
      <w:r>
        <w:rPr>
          <w:rFonts w:eastAsiaTheme="minorEastAsia"/>
        </w:rPr>
        <w:t>)</w:t>
      </w:r>
    </w:p>
    <w:p w14:paraId="0B8A9A64" w14:textId="77777777" w:rsidR="00CE5C88" w:rsidRDefault="00CE5C88" w:rsidP="00CE5C88">
      <w:pPr>
        <w:pStyle w:val="Akapitzlist"/>
        <w:ind w:left="792"/>
      </w:pPr>
    </w:p>
    <w:p w14:paraId="7940B1C6" w14:textId="2154C040" w:rsidR="009A76BB" w:rsidRDefault="009A76BB" w:rsidP="009A76BB">
      <w:pPr>
        <w:pStyle w:val="Akapitzlist"/>
        <w:ind w:left="792"/>
      </w:pPr>
      <w:r>
        <w:t>Współczynnik korelacji zmiennych dany jest wzorem</w:t>
      </w:r>
      <w:r w:rsidR="00CE5C88">
        <w:t xml:space="preserve"> 13</w:t>
      </w:r>
      <w:r>
        <w:t xml:space="preserve"> </w:t>
      </w:r>
    </w:p>
    <w:p w14:paraId="6968DC32" w14:textId="2B87796D" w:rsidR="009A76BB" w:rsidRPr="0032287D" w:rsidRDefault="009A76BB" w:rsidP="00CE5C88">
      <w:pPr>
        <w:pStyle w:val="Akapitzlist"/>
        <w:ind w:left="792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xy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rad>
          </m:den>
        </m:f>
      </m:oMath>
      <w:r w:rsidR="00CE5C88" w:rsidRPr="00CE5C88">
        <w:rPr>
          <w:rFonts w:eastAsiaTheme="minorEastAsia"/>
          <w:sz w:val="28"/>
          <w:szCs w:val="28"/>
        </w:rPr>
        <w:tab/>
      </w:r>
      <w:r w:rsidR="00CE5C88">
        <w:rPr>
          <w:rFonts w:eastAsiaTheme="minorEastAsia"/>
        </w:rPr>
        <w:t>(13)</w:t>
      </w:r>
    </w:p>
    <w:p w14:paraId="3BB22AB9" w14:textId="29967F46" w:rsidR="00211CDF" w:rsidRDefault="00211CDF" w:rsidP="00193E01">
      <w:pPr>
        <w:pStyle w:val="Akapitzlist"/>
        <w:ind w:left="792"/>
      </w:pPr>
    </w:p>
    <w:p w14:paraId="4525892E" w14:textId="5BC3C6FF" w:rsidR="00C04AF5" w:rsidRDefault="00C04AF5" w:rsidP="00C04AF5">
      <w:pPr>
        <w:pStyle w:val="Akapitzlist"/>
        <w:numPr>
          <w:ilvl w:val="0"/>
          <w:numId w:val="1"/>
        </w:numPr>
      </w:pPr>
      <w:r>
        <w:t>Wyniki</w:t>
      </w:r>
    </w:p>
    <w:p w14:paraId="2A8FA1F9" w14:textId="4365FA5D" w:rsidR="0029547A" w:rsidRDefault="0029547A" w:rsidP="00502646">
      <w:pPr>
        <w:jc w:val="center"/>
      </w:pPr>
      <w:r w:rsidRPr="0029547A">
        <w:rPr>
          <w:noProof/>
        </w:rPr>
        <w:lastRenderedPageBreak/>
        <w:drawing>
          <wp:inline distT="0" distB="0" distL="0" distR="0" wp14:anchorId="2D4D52FE" wp14:editId="49091F18">
            <wp:extent cx="3708400" cy="3683000"/>
            <wp:effectExtent l="0" t="0" r="6350" b="0"/>
            <wp:docPr id="17318567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498" cy="369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7028" w14:textId="71305296" w:rsidR="00502646" w:rsidRPr="00502646" w:rsidRDefault="00502646" w:rsidP="00502646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Rys 1. </w:t>
      </w:r>
      <w:r w:rsidR="0086588B">
        <w:rPr>
          <w:sz w:val="20"/>
          <w:szCs w:val="20"/>
        </w:rPr>
        <w:t>Położenie wylosowanych punktów metodą Boxa-Mullera.</w:t>
      </w:r>
    </w:p>
    <w:p w14:paraId="6351C933" w14:textId="77777777" w:rsidR="0029547A" w:rsidRDefault="0029547A"/>
    <w:p w14:paraId="295EAF08" w14:textId="211D3988" w:rsidR="0029547A" w:rsidRDefault="0029547A" w:rsidP="00502646">
      <w:pPr>
        <w:jc w:val="center"/>
      </w:pPr>
      <w:r w:rsidRPr="0029547A">
        <w:rPr>
          <w:noProof/>
        </w:rPr>
        <w:drawing>
          <wp:inline distT="0" distB="0" distL="0" distR="0" wp14:anchorId="5A6950C4" wp14:editId="661EA904">
            <wp:extent cx="3666067" cy="3649345"/>
            <wp:effectExtent l="0" t="0" r="0" b="8255"/>
            <wp:docPr id="22639549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51" cy="365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614A" w14:textId="69AEE8CB" w:rsidR="00502646" w:rsidRPr="00502646" w:rsidRDefault="00502646" w:rsidP="00502646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Rys 2. </w:t>
      </w:r>
      <w:r w:rsidR="0086588B">
        <w:rPr>
          <w:sz w:val="20"/>
          <w:szCs w:val="20"/>
        </w:rPr>
        <w:t>Położenie wylosowanych punktów z rozkładu sferycznie konturowanego.</w:t>
      </w:r>
    </w:p>
    <w:p w14:paraId="79F24C1B" w14:textId="77777777" w:rsidR="0029547A" w:rsidRDefault="0029547A"/>
    <w:p w14:paraId="4C2F9A8B" w14:textId="1BAC522A" w:rsidR="0029547A" w:rsidRDefault="0029547A" w:rsidP="00502646">
      <w:pPr>
        <w:jc w:val="center"/>
      </w:pPr>
      <w:r w:rsidRPr="0029547A">
        <w:rPr>
          <w:noProof/>
        </w:rPr>
        <w:lastRenderedPageBreak/>
        <w:drawing>
          <wp:inline distT="0" distB="0" distL="0" distR="0" wp14:anchorId="2CB2D712" wp14:editId="2351FEE5">
            <wp:extent cx="4572000" cy="3683000"/>
            <wp:effectExtent l="0" t="0" r="0" b="0"/>
            <wp:docPr id="40254669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7BAC" w14:textId="7ECE8E68" w:rsidR="00502646" w:rsidRPr="00502646" w:rsidRDefault="00502646" w:rsidP="00502646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Rys 3. </w:t>
      </w:r>
      <w:r w:rsidR="0086588B">
        <w:rPr>
          <w:sz w:val="20"/>
          <w:szCs w:val="20"/>
        </w:rPr>
        <w:t>Położenie wylosowanych punktów z rozkładu sferycznie konturowanego po transformacji z wykorzystaniem macierzy A.</w:t>
      </w:r>
    </w:p>
    <w:p w14:paraId="610C8704" w14:textId="77777777" w:rsidR="00502646" w:rsidRDefault="00502646" w:rsidP="00502646">
      <w:pPr>
        <w:jc w:val="center"/>
      </w:pPr>
    </w:p>
    <w:p w14:paraId="14239BDD" w14:textId="6DCC0EB6" w:rsidR="0029547A" w:rsidRDefault="0029547A" w:rsidP="00502646">
      <w:pPr>
        <w:jc w:val="center"/>
      </w:pPr>
      <w:r w:rsidRPr="0029547A">
        <w:rPr>
          <w:noProof/>
        </w:rPr>
        <w:drawing>
          <wp:inline distT="0" distB="0" distL="0" distR="0" wp14:anchorId="485D5A72" wp14:editId="4A9DFBBB">
            <wp:extent cx="2210108" cy="600159"/>
            <wp:effectExtent l="0" t="0" r="0" b="9525"/>
            <wp:docPr id="1578737100" name="Obraz 1" descr="Obraz zawierający tekst, Czcionka, zrzut ekranu, czar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37100" name="Obraz 1" descr="Obraz zawierający tekst, Czcionka, zrzut ekranu, czarne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DD85" w14:textId="3B937F49" w:rsidR="0086588B" w:rsidRPr="0086588B" w:rsidRDefault="00502646" w:rsidP="0086588B">
      <w:pPr>
        <w:jc w:val="center"/>
      </w:pPr>
      <w:r>
        <w:rPr>
          <w:sz w:val="20"/>
          <w:szCs w:val="20"/>
        </w:rPr>
        <w:t xml:space="preserve">Rys 4. </w:t>
      </w:r>
      <w:r w:rsidR="0086588B">
        <w:rPr>
          <w:sz w:val="20"/>
          <w:szCs w:val="20"/>
        </w:rPr>
        <w:t>Macierz kowariancji oraz współczynnik korelacji r</w:t>
      </w:r>
      <w:r w:rsidR="0086588B">
        <w:rPr>
          <w:sz w:val="20"/>
          <w:szCs w:val="20"/>
          <w:vertAlign w:val="subscript"/>
        </w:rPr>
        <w:t>xy</w:t>
      </w:r>
      <w:r w:rsidR="0086588B">
        <w:rPr>
          <w:sz w:val="20"/>
          <w:szCs w:val="20"/>
        </w:rPr>
        <w:t xml:space="preserve"> dla punktów z rysunku 3.</w:t>
      </w:r>
    </w:p>
    <w:p w14:paraId="1C7053F8" w14:textId="0E2A1AC0" w:rsidR="00502646" w:rsidRPr="00502646" w:rsidRDefault="00502646" w:rsidP="00502646">
      <w:pPr>
        <w:jc w:val="center"/>
        <w:rPr>
          <w:sz w:val="20"/>
          <w:szCs w:val="20"/>
        </w:rPr>
      </w:pPr>
    </w:p>
    <w:p w14:paraId="53BC3234" w14:textId="77777777" w:rsidR="0029547A" w:rsidRDefault="0029547A"/>
    <w:p w14:paraId="7F435263" w14:textId="355396EA" w:rsidR="0029547A" w:rsidRDefault="0029547A" w:rsidP="00502646">
      <w:pPr>
        <w:jc w:val="center"/>
      </w:pPr>
      <w:r w:rsidRPr="0029547A">
        <w:rPr>
          <w:noProof/>
        </w:rPr>
        <w:lastRenderedPageBreak/>
        <w:drawing>
          <wp:inline distT="0" distB="0" distL="0" distR="0" wp14:anchorId="1557BAAF" wp14:editId="584A4C07">
            <wp:extent cx="4487545" cy="3683000"/>
            <wp:effectExtent l="0" t="0" r="8255" b="0"/>
            <wp:docPr id="134018767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0EAC" w14:textId="3E13439B" w:rsidR="00502646" w:rsidRDefault="00502646" w:rsidP="00502646">
      <w:pPr>
        <w:jc w:val="center"/>
        <w:rPr>
          <w:sz w:val="20"/>
          <w:szCs w:val="20"/>
        </w:rPr>
      </w:pPr>
      <w:r>
        <w:rPr>
          <w:sz w:val="20"/>
          <w:szCs w:val="20"/>
        </w:rPr>
        <w:t>Rys 5.</w:t>
      </w:r>
      <w:r w:rsidR="0086588B">
        <w:rPr>
          <w:sz w:val="20"/>
          <w:szCs w:val="20"/>
        </w:rPr>
        <w:t xml:space="preserve"> Położenie wylosowanych punktów z rozkładu normalnego  po transformacji z wykorzystaniem macierzy A.</w:t>
      </w:r>
    </w:p>
    <w:p w14:paraId="53CAACD9" w14:textId="77777777" w:rsidR="00502646" w:rsidRDefault="00502646" w:rsidP="00502646">
      <w:pPr>
        <w:jc w:val="center"/>
      </w:pPr>
    </w:p>
    <w:p w14:paraId="08D543D4" w14:textId="60BC9E30" w:rsidR="0029547A" w:rsidRDefault="0029547A" w:rsidP="00502646">
      <w:pPr>
        <w:jc w:val="center"/>
      </w:pPr>
      <w:r w:rsidRPr="0029547A">
        <w:rPr>
          <w:noProof/>
        </w:rPr>
        <w:drawing>
          <wp:inline distT="0" distB="0" distL="0" distR="0" wp14:anchorId="3F0D8FC6" wp14:editId="7CEF421E">
            <wp:extent cx="2152950" cy="581106"/>
            <wp:effectExtent l="0" t="0" r="0" b="9525"/>
            <wp:docPr id="1802256701" name="Obraz 1" descr="Obraz zawierający tekst, Czcionka, zrzut ekranu, typograf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6701" name="Obraz 1" descr="Obraz zawierający tekst, Czcionka, zrzut ekranu, typografi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9B99" w14:textId="6EDD3BB6" w:rsidR="00502646" w:rsidRDefault="00502646" w:rsidP="00502646">
      <w:pPr>
        <w:jc w:val="center"/>
        <w:rPr>
          <w:sz w:val="20"/>
          <w:szCs w:val="20"/>
        </w:rPr>
      </w:pPr>
      <w:r>
        <w:rPr>
          <w:sz w:val="20"/>
          <w:szCs w:val="20"/>
        </w:rPr>
        <w:t>Rys 6.</w:t>
      </w:r>
      <w:r w:rsidR="0086588B">
        <w:rPr>
          <w:sz w:val="20"/>
          <w:szCs w:val="20"/>
        </w:rPr>
        <w:t xml:space="preserve"> Macierz kowariancji oraz współczynnik korelacji r</w:t>
      </w:r>
      <w:r w:rsidR="0086588B">
        <w:rPr>
          <w:sz w:val="20"/>
          <w:szCs w:val="20"/>
          <w:vertAlign w:val="subscript"/>
        </w:rPr>
        <w:t>xy</w:t>
      </w:r>
      <w:r w:rsidR="0086588B">
        <w:rPr>
          <w:sz w:val="20"/>
          <w:szCs w:val="20"/>
        </w:rPr>
        <w:t xml:space="preserve"> dla punktów z rysunku 5.</w:t>
      </w:r>
    </w:p>
    <w:p w14:paraId="65852B3A" w14:textId="024EA38F" w:rsidR="00C04AF5" w:rsidRDefault="00C04AF5" w:rsidP="00C04AF5">
      <w:pPr>
        <w:pStyle w:val="Akapitzlist"/>
        <w:numPr>
          <w:ilvl w:val="0"/>
          <w:numId w:val="1"/>
        </w:numPr>
      </w:pPr>
      <w:r>
        <w:t>Wnioski</w:t>
      </w:r>
    </w:p>
    <w:p w14:paraId="4756C538" w14:textId="3922EB28" w:rsidR="00084E80" w:rsidRPr="00C04AF5" w:rsidRDefault="002D22F8" w:rsidP="00084E80">
      <w:pPr>
        <w:pStyle w:val="Akapitzlist"/>
        <w:ind w:left="360"/>
      </w:pPr>
      <w:r>
        <w:t xml:space="preserve">Wszystkie transformacje zostały poprawne wykonane. W macierzach kowariancji z rysunków 4 i 6 widać, że wyrazy poza diagonalne są niezerowe co świadczy o </w:t>
      </w:r>
      <w:r w:rsidR="00382BD2">
        <w:t>zależności między zmiennymi. Dodatkowo współczynniki korelacji mają podobne wartości bliskie 1, co świadczy o wysokiej zależności między zmiennymi.</w:t>
      </w:r>
      <w:r w:rsidR="00EF2D9B">
        <w:t xml:space="preserve"> Dla rozkładu normalnego poddanego transformacji afinicznej wariancje zmiennych są większe, gdyż współrzędne punktów są ograniczone jedynie przez prawdopodobieństwo. Możliwe jest więc otrzymanie punktu z większego zakresu niż w przypadku elipsy powstałej z transformacji koła jednostkowego.</w:t>
      </w:r>
    </w:p>
    <w:sectPr w:rsidR="00084E80" w:rsidRPr="00C04A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10A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1E0FE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2262269">
    <w:abstractNumId w:val="0"/>
  </w:num>
  <w:num w:numId="2" w16cid:durableId="890389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13"/>
    <w:rsid w:val="00084E80"/>
    <w:rsid w:val="0011492F"/>
    <w:rsid w:val="00193E01"/>
    <w:rsid w:val="00211CDF"/>
    <w:rsid w:val="00255DB7"/>
    <w:rsid w:val="0029547A"/>
    <w:rsid w:val="002D22F8"/>
    <w:rsid w:val="0032287D"/>
    <w:rsid w:val="00382BD2"/>
    <w:rsid w:val="00502646"/>
    <w:rsid w:val="005D7561"/>
    <w:rsid w:val="00796BCA"/>
    <w:rsid w:val="0086588B"/>
    <w:rsid w:val="008B3259"/>
    <w:rsid w:val="00924713"/>
    <w:rsid w:val="0097761B"/>
    <w:rsid w:val="009A76BB"/>
    <w:rsid w:val="00C04AF5"/>
    <w:rsid w:val="00CE5C88"/>
    <w:rsid w:val="00EA7352"/>
    <w:rsid w:val="00EF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6B52"/>
  <w15:chartTrackingRefBased/>
  <w15:docId w15:val="{0AB63588-970F-4DE9-93D0-C7672243D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247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247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247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247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247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247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247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247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247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247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247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247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2471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2471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2471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2471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2471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2471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247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24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247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247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247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2471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2471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2471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247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2471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24713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C04AF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5</Pages>
  <Words>520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Gajewski</dc:creator>
  <cp:keywords/>
  <dc:description/>
  <cp:lastModifiedBy>Hubert Gajewski</cp:lastModifiedBy>
  <cp:revision>7</cp:revision>
  <dcterms:created xsi:type="dcterms:W3CDTF">2025-03-31T11:22:00Z</dcterms:created>
  <dcterms:modified xsi:type="dcterms:W3CDTF">2025-04-01T13:44:00Z</dcterms:modified>
</cp:coreProperties>
</file>