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CA2D4" w14:textId="77777777" w:rsidR="001106D5" w:rsidRPr="001106D5" w:rsidRDefault="001106D5" w:rsidP="001106D5">
      <w:pPr>
        <w:spacing w:before="360" w:line="324" w:lineRule="atLeast"/>
        <w:rPr>
          <w:rFonts w:ascii="-webkit-standard" w:hAnsi="-webkit-standard" w:cs="Times New Roman"/>
          <w:b/>
          <w:bCs/>
          <w:color w:val="000000" w:themeColor="text1"/>
          <w:kern w:val="0"/>
          <w:sz w:val="27"/>
          <w:szCs w:val="27"/>
          <w14:ligatures w14:val="none"/>
        </w:rPr>
      </w:pPr>
      <w:r w:rsidRPr="001106D5">
        <w:rPr>
          <w:rFonts w:ascii="Calibri" w:hAnsi="Calibri" w:cs="Times New Roman"/>
          <w:b/>
          <w:bCs/>
          <w:color w:val="000000" w:themeColor="text1"/>
          <w:kern w:val="0"/>
          <w:sz w:val="32"/>
          <w:szCs w:val="32"/>
          <w14:ligatures w14:val="none"/>
        </w:rPr>
        <w:t>Japanese–Chinese Relations</w:t>
      </w:r>
    </w:p>
    <w:p w14:paraId="5B0F62D3" w14:textId="4D64C481" w:rsidR="001106D5" w:rsidRPr="001106D5" w:rsidRDefault="001106D5" w:rsidP="001106D5">
      <w:pPr>
        <w:spacing w:before="150" w:line="324" w:lineRule="atLeast"/>
        <w:rPr>
          <w:rFonts w:ascii="-webkit-standard" w:hAnsi="-webkit-standard" w:cs="Times New Roman"/>
          <w:color w:val="000000" w:themeColor="text1"/>
          <w:kern w:val="0"/>
          <w:sz w:val="27"/>
          <w:szCs w:val="27"/>
          <w14:ligatures w14:val="none"/>
        </w:rPr>
      </w:pPr>
      <w:r w:rsidRPr="001106D5">
        <w:rPr>
          <w:rFonts w:ascii="Calibri" w:hAnsi="Calibri" w:cs="Times New Roman"/>
          <w:b/>
          <w:bCs/>
          <w:color w:val="000000" w:themeColor="text1"/>
          <w:kern w:val="0"/>
          <w:sz w:val="30"/>
          <w:szCs w:val="30"/>
          <w14:ligatures w14:val="none"/>
        </w:rPr>
        <w:t xml:space="preserve"> Introduction</w:t>
      </w:r>
    </w:p>
    <w:p w14:paraId="784F2140" w14:textId="5BBF8E81" w:rsidR="001106D5" w:rsidRPr="001106D5" w:rsidRDefault="001106D5" w:rsidP="001106D5">
      <w:pPr>
        <w:spacing w:line="324" w:lineRule="atLeast"/>
        <w:rPr>
          <w:rFonts w:ascii="-webkit-standard" w:hAnsi="-webkit-standard" w:cs="Times New Roman"/>
          <w:color w:val="000000"/>
          <w:kern w:val="0"/>
          <w:sz w:val="27"/>
          <w:szCs w:val="27"/>
          <w14:ligatures w14:val="none"/>
        </w:rPr>
      </w:pPr>
      <w:r w:rsidRPr="001106D5">
        <w:rPr>
          <w:rFonts w:ascii="-webkit-standard" w:hAnsi="-webkit-standard" w:cs="Times New Roman"/>
          <w:color w:val="000000"/>
          <w:kern w:val="0"/>
          <w:sz w:val="27"/>
          <w:szCs w:val="27"/>
          <w14:ligatures w14:val="none"/>
        </w:rPr>
        <w:t>The historical relationship between Japan and China stands among the most intricate and influential bilateral interactions in East Asia. Spanning over a millennium, this relationship reflects a shifting balance between cultural admiration, imitation, rivalry, and mutual influence. Both nations shaped not only each other’s political and economic trajectories but also the broader regional order of the Far East. The depth of their exchanges</w:t>
      </w:r>
      <w:r w:rsidR="00E40AB2">
        <w:rPr>
          <w:rFonts w:ascii="-webkit-standard" w:hAnsi="-webkit-standard" w:cs="Times New Roman"/>
          <w:color w:val="000000"/>
          <w:kern w:val="0"/>
          <w:sz w:val="27"/>
          <w:szCs w:val="27"/>
          <w14:ligatures w14:val="none"/>
        </w:rPr>
        <w:t xml:space="preserve"> </w:t>
      </w:r>
      <w:r w:rsidRPr="001106D5">
        <w:rPr>
          <w:rFonts w:ascii="-webkit-standard" w:hAnsi="-webkit-standard" w:cs="Times New Roman"/>
          <w:color w:val="000000"/>
          <w:kern w:val="0"/>
          <w:sz w:val="27"/>
          <w:szCs w:val="27"/>
          <w14:ligatures w14:val="none"/>
        </w:rPr>
        <w:t>from the adoption of Chinese civilization in Japan’s formative years to the violent confrontations of the twentieth century</w:t>
      </w:r>
      <w:r w:rsidR="00E40AB2">
        <w:rPr>
          <w:rFonts w:ascii="-webkit-standard" w:hAnsi="-webkit-standard" w:cs="Times New Roman"/>
          <w:color w:val="000000"/>
          <w:kern w:val="0"/>
          <w:sz w:val="27"/>
          <w:szCs w:val="27"/>
          <w14:ligatures w14:val="none"/>
        </w:rPr>
        <w:t xml:space="preserve"> </w:t>
      </w:r>
      <w:r w:rsidRPr="001106D5">
        <w:rPr>
          <w:rFonts w:ascii="-webkit-standard" w:hAnsi="-webkit-standard" w:cs="Times New Roman"/>
          <w:color w:val="000000"/>
          <w:kern w:val="0"/>
          <w:sz w:val="27"/>
          <w:szCs w:val="27"/>
          <w14:ligatures w14:val="none"/>
        </w:rPr>
        <w:t>demonstrates how two great Asian civilizations alternately served as sources of inspiration and competition. By the early twentieth century, Japan’s modernization and China’s decline had inverted traditional hierarchies, redefining regional power dynamics and leaving a legacy that continues to shape Asia’s international relations today.</w:t>
      </w:r>
    </w:p>
    <w:p w14:paraId="0EBB83F9" w14:textId="574C42C3" w:rsidR="001106D5" w:rsidRPr="001106D5" w:rsidRDefault="001106D5" w:rsidP="001106D5">
      <w:pPr>
        <w:spacing w:before="150" w:line="324" w:lineRule="atLeast"/>
        <w:rPr>
          <w:rFonts w:ascii="-webkit-standard" w:hAnsi="-webkit-standard" w:cs="Times New Roman"/>
          <w:color w:val="000000" w:themeColor="text1"/>
          <w:kern w:val="0"/>
          <w:sz w:val="27"/>
          <w:szCs w:val="27"/>
          <w14:ligatures w14:val="none"/>
        </w:rPr>
      </w:pPr>
      <w:r w:rsidRPr="001106D5">
        <w:rPr>
          <w:rFonts w:ascii="Calibri" w:hAnsi="Calibri" w:cs="Times New Roman"/>
          <w:b/>
          <w:bCs/>
          <w:color w:val="000000" w:themeColor="text1"/>
          <w:kern w:val="0"/>
          <w:sz w:val="30"/>
          <w:szCs w:val="30"/>
          <w14:ligatures w14:val="none"/>
        </w:rPr>
        <w:t>Early Interactions</w:t>
      </w:r>
    </w:p>
    <w:p w14:paraId="4AC29457" w14:textId="2838CD67" w:rsidR="001106D5" w:rsidRDefault="001106D5" w:rsidP="001106D5">
      <w:pPr>
        <w:spacing w:line="324" w:lineRule="atLeast"/>
        <w:rPr>
          <w:rFonts w:ascii="-webkit-standard" w:hAnsi="-webkit-standard" w:cs="Times New Roman"/>
          <w:color w:val="000000"/>
          <w:kern w:val="0"/>
          <w:sz w:val="27"/>
          <w:szCs w:val="27"/>
          <w14:ligatures w14:val="none"/>
        </w:rPr>
      </w:pPr>
      <w:r w:rsidRPr="001106D5">
        <w:rPr>
          <w:rFonts w:ascii="-webkit-standard" w:hAnsi="-webkit-standard" w:cs="Times New Roman"/>
          <w:color w:val="000000"/>
          <w:kern w:val="0"/>
          <w:sz w:val="27"/>
          <w:szCs w:val="27"/>
          <w14:ligatures w14:val="none"/>
        </w:rPr>
        <w:t>The early interactions between Japan and China were dominated by cultural transmission and economic exchange. Beginning in the Asuka period (6th–8th centuries), Japan sent envoys to the Chinese imperial courts of the Sui and Tang dynasties to learn about Chinese governance, philosophy, religion, and art. Through these missions, Japan absorbed Buddhism, Confucianism, and the Chinese writing system, which became central to Japan’s intellectual and administrative development. Japanese scholars studied Chinese classics, while artisans replicated Tang architectural and artistic styles. During the Nara and Heian periods, Japan adapted Chinese legal codes (Ritsuryō system) and bureaucratic institutions, shaping its centralized imperial court. Trade also flourished between both states, though it remained largely regulated through tribute missions. The exchange of goods such as silk, porcelain, and books from China for Japanese pearls, silver, and lacquerware enriched both societies. However, the relationship was not always harmonious. As China’s Tang Dynasty declined and Japan asserted its own identity, it began distancing itself from Chinese dominance. By the time of the Tokugawa era, Japan’s isolationist policy limited direct contact, while China, under the Ming and later Qing dynasties, viewed Japan as a peripheral state. Yet cultural admiration remained strong</w:t>
      </w:r>
      <w:r w:rsidR="00E40AB2">
        <w:rPr>
          <w:rFonts w:ascii="-webkit-standard" w:hAnsi="-webkit-standard" w:cs="Times New Roman"/>
          <w:color w:val="000000"/>
          <w:kern w:val="0"/>
          <w:sz w:val="27"/>
          <w:szCs w:val="27"/>
          <w14:ligatures w14:val="none"/>
        </w:rPr>
        <w:t xml:space="preserve"> </w:t>
      </w:r>
      <w:r w:rsidRPr="001106D5">
        <w:rPr>
          <w:rFonts w:ascii="-webkit-standard" w:hAnsi="-webkit-standard" w:cs="Times New Roman"/>
          <w:color w:val="000000"/>
          <w:kern w:val="0"/>
          <w:sz w:val="27"/>
          <w:szCs w:val="27"/>
          <w14:ligatures w14:val="none"/>
        </w:rPr>
        <w:t>Japanese scholars continued to revere Chinese learning, even as Japan began forging its own distinct identity. The fall of the Qing Dynasty in the 19th century and the Meiji Restoration in Japan reversed their traditional positions: China entered a period of decline, while Japan emerged as a rising power.</w:t>
      </w:r>
    </w:p>
    <w:p w14:paraId="572F334D" w14:textId="77777777" w:rsidR="000653C7" w:rsidRPr="001106D5" w:rsidRDefault="000653C7" w:rsidP="001106D5">
      <w:pPr>
        <w:spacing w:line="324" w:lineRule="atLeast"/>
        <w:rPr>
          <w:rFonts w:ascii="-webkit-standard" w:hAnsi="-webkit-standard" w:cs="Times New Roman"/>
          <w:color w:val="000000"/>
          <w:kern w:val="0"/>
          <w:sz w:val="27"/>
          <w:szCs w:val="27"/>
          <w14:ligatures w14:val="none"/>
        </w:rPr>
      </w:pPr>
    </w:p>
    <w:p w14:paraId="25C19FE1" w14:textId="74B6DCC2" w:rsidR="001106D5" w:rsidRPr="001106D5" w:rsidRDefault="001106D5" w:rsidP="001106D5">
      <w:pPr>
        <w:spacing w:before="150" w:line="324" w:lineRule="atLeast"/>
        <w:rPr>
          <w:rFonts w:ascii="-webkit-standard" w:hAnsi="-webkit-standard" w:cs="Times New Roman"/>
          <w:color w:val="000000" w:themeColor="text1"/>
          <w:kern w:val="0"/>
          <w:sz w:val="27"/>
          <w:szCs w:val="27"/>
          <w14:ligatures w14:val="none"/>
        </w:rPr>
      </w:pPr>
      <w:r w:rsidRPr="001106D5">
        <w:rPr>
          <w:rFonts w:ascii="Calibri" w:hAnsi="Calibri" w:cs="Times New Roman"/>
          <w:b/>
          <w:bCs/>
          <w:color w:val="000000" w:themeColor="text1"/>
          <w:kern w:val="0"/>
          <w:sz w:val="30"/>
          <w:szCs w:val="30"/>
          <w14:ligatures w14:val="none"/>
        </w:rPr>
        <w:lastRenderedPageBreak/>
        <w:t>Period of Rivalry</w:t>
      </w:r>
    </w:p>
    <w:p w14:paraId="101F3F27" w14:textId="52C7539D" w:rsidR="001106D5" w:rsidRPr="001106D5" w:rsidRDefault="001106D5" w:rsidP="001106D5">
      <w:pPr>
        <w:spacing w:line="324" w:lineRule="atLeast"/>
        <w:rPr>
          <w:rFonts w:ascii="-webkit-standard" w:hAnsi="-webkit-standard" w:cs="Times New Roman"/>
          <w:color w:val="000000"/>
          <w:kern w:val="0"/>
          <w:sz w:val="27"/>
          <w:szCs w:val="27"/>
          <w14:ligatures w14:val="none"/>
        </w:rPr>
      </w:pPr>
      <w:r w:rsidRPr="001106D5">
        <w:rPr>
          <w:rFonts w:ascii="-webkit-standard" w:hAnsi="-webkit-standard" w:cs="Times New Roman"/>
          <w:color w:val="000000"/>
          <w:kern w:val="0"/>
          <w:sz w:val="27"/>
          <w:szCs w:val="27"/>
          <w14:ligatures w14:val="none"/>
        </w:rPr>
        <w:t>The late nineteenth and early twentieth centuries marked a dramatic transformation in the balance of power between the two nations. Japan’s Meiji Restoration (1868) triggered an era of modernization that touched every sector</w:t>
      </w:r>
      <w:r w:rsidR="00E40AB2">
        <w:rPr>
          <w:rFonts w:ascii="-webkit-standard" w:hAnsi="-webkit-standard" w:cs="Times New Roman"/>
          <w:color w:val="000000"/>
          <w:kern w:val="0"/>
          <w:sz w:val="27"/>
          <w:szCs w:val="27"/>
          <w14:ligatures w14:val="none"/>
        </w:rPr>
        <w:t xml:space="preserve"> </w:t>
      </w:r>
      <w:r w:rsidRPr="001106D5">
        <w:rPr>
          <w:rFonts w:ascii="-webkit-standard" w:hAnsi="-webkit-standard" w:cs="Times New Roman"/>
          <w:color w:val="000000"/>
          <w:kern w:val="0"/>
          <w:sz w:val="27"/>
          <w:szCs w:val="27"/>
          <w14:ligatures w14:val="none"/>
        </w:rPr>
        <w:t>military, industrial, political, and educational. By embracing Western technology and governance models, Japan rapidly evolved into an industrial state with a modern army and navy. Meanwhile, China, weakened by corruption, foreign invasion, and internal rebellions such as the Taiping and Boxer uprisings, lagged behind in reform efforts. The First Sino–Japanese War (1894–1895) was a turning point that demonstrated Japan’s new military prowess and China’s vulnerability. Japan’s victory resulted in the Treaty of Shimonoseki, through which China ceded Taiwan (Formosa) and the Pescadores Islands to Japan, and recognized Korea’s independence</w:t>
      </w:r>
      <w:r w:rsidR="00597A6C">
        <w:rPr>
          <w:rFonts w:ascii="-webkit-standard" w:hAnsi="-webkit-standard" w:cs="Times New Roman"/>
          <w:color w:val="000000"/>
          <w:kern w:val="0"/>
          <w:sz w:val="27"/>
          <w:szCs w:val="27"/>
          <w14:ligatures w14:val="none"/>
        </w:rPr>
        <w:t xml:space="preserve">, </w:t>
      </w:r>
      <w:r w:rsidRPr="001106D5">
        <w:rPr>
          <w:rFonts w:ascii="-webkit-standard" w:hAnsi="-webkit-standard" w:cs="Times New Roman"/>
          <w:color w:val="000000"/>
          <w:kern w:val="0"/>
          <w:sz w:val="27"/>
          <w:szCs w:val="27"/>
          <w14:ligatures w14:val="none"/>
        </w:rPr>
        <w:t>a diplomatic move that allowed Japan to turn Korea into a protectorate by 1905. The triumph not only boosted Japan’s confidence but also altered Western perceptions, establishing Japan as the dominant Asian power. The rivalry intensified in the early twentieth century with Japan’s involvement in Manchuria and its victory over Russia in the Russo–Japanese War (1904–1905). This success solidified Japan’s position as a global power and further encroached upon Chinese interests in the region. Japan’s occupation of Manchuria in 1931 and the creation of the puppet state of Manchukuo under the last Qing emperor, Puyi, deepened animosity. Tensions reached their peak with the Second Sino–Japanese War (1937–1945). The Japanese invasion was marked by widespread atrocities, most notably the Nanking Massacre, where Japanese soldiers committed brutal acts against Chinese civilians. This event left deep psychological and historical wounds that remain contentious even today. Japan’s expansionist policies during this period reflected its vision of a ‘Greater East Asia Co-Prosperity Sphere,’ which sought to dominate Asia economically and politically under Japanese leadership.</w:t>
      </w:r>
    </w:p>
    <w:p w14:paraId="19C6686D" w14:textId="4959D00B" w:rsidR="001106D5" w:rsidRPr="001106D5" w:rsidRDefault="001106D5" w:rsidP="001106D5">
      <w:pPr>
        <w:spacing w:before="150" w:line="324" w:lineRule="atLeast"/>
        <w:rPr>
          <w:rFonts w:ascii="-webkit-standard" w:hAnsi="-webkit-standard" w:cs="Times New Roman"/>
          <w:color w:val="000000" w:themeColor="text1"/>
          <w:kern w:val="0"/>
          <w:sz w:val="27"/>
          <w:szCs w:val="27"/>
          <w14:ligatures w14:val="none"/>
        </w:rPr>
      </w:pPr>
      <w:r w:rsidRPr="001106D5">
        <w:rPr>
          <w:rFonts w:ascii="Calibri" w:hAnsi="Calibri" w:cs="Times New Roman"/>
          <w:b/>
          <w:bCs/>
          <w:color w:val="000000" w:themeColor="text1"/>
          <w:kern w:val="0"/>
          <w:sz w:val="30"/>
          <w:szCs w:val="30"/>
          <w14:ligatures w14:val="none"/>
        </w:rPr>
        <w:t>Post-War Relationship</w:t>
      </w:r>
    </w:p>
    <w:p w14:paraId="6BA0EC58" w14:textId="77777777" w:rsidR="001106D5" w:rsidRPr="001106D5" w:rsidRDefault="001106D5" w:rsidP="001106D5">
      <w:pPr>
        <w:spacing w:line="324" w:lineRule="atLeast"/>
        <w:rPr>
          <w:rFonts w:ascii="-webkit-standard" w:hAnsi="-webkit-standard" w:cs="Times New Roman"/>
          <w:color w:val="000000"/>
          <w:kern w:val="0"/>
          <w:sz w:val="27"/>
          <w:szCs w:val="27"/>
          <w14:ligatures w14:val="none"/>
        </w:rPr>
      </w:pPr>
      <w:r w:rsidRPr="001106D5">
        <w:rPr>
          <w:rFonts w:ascii="-webkit-standard" w:hAnsi="-webkit-standard" w:cs="Times New Roman"/>
          <w:color w:val="000000"/>
          <w:kern w:val="0"/>
          <w:sz w:val="27"/>
          <w:szCs w:val="27"/>
          <w14:ligatures w14:val="none"/>
        </w:rPr>
        <w:t xml:space="preserve">Japan’s defeat in 1945 and its subsequent occupation by Allied forces marked the end of its imperial ambitions and transformed the dynamics of its relationship with China. Under American guidance, Japan was demilitarized and restructured into a democratic and industrially advanced nation. Meanwhile, China underwent a revolution that culminated in the founding of the People’s Republic of China (PRC) in 1949 under Communist leadership, while the Nationalist government retreated to Taiwan. During the early years of the Cold War, ideological differences drove the two nations further apart. Japan aligned with the Western bloc through its security alliance with the United States, while the PRC stood with the Soviet Union and other socialist nations. Despite this divide, economic and cultural interactions slowly resumed in the 1950s and 1960s through unofficial channels. A major </w:t>
      </w:r>
      <w:r w:rsidRPr="001106D5">
        <w:rPr>
          <w:rFonts w:ascii="-webkit-standard" w:hAnsi="-webkit-standard" w:cs="Times New Roman"/>
          <w:color w:val="000000"/>
          <w:kern w:val="0"/>
          <w:sz w:val="27"/>
          <w:szCs w:val="27"/>
          <w14:ligatures w14:val="none"/>
        </w:rPr>
        <w:lastRenderedPageBreak/>
        <w:t>breakthrough occurred in 1972, when Japan and the PRC normalized diplomatic relations following U.S. President Nixon’s visit to China. The normalization was symbolically significant—it ended two decades of political estrangement and opened the door to economic cooperation. In the decades that followed, trade between the two countries grew exponentially. Japanese investment and technology played key roles in China’s economic reforms under Deng Xiaoping. However, tensions have persisted. Disputes over the Senkaku/Diaoyu Islands, wartime history textbooks, and differing interpretations of World War II atrocities continue to stir nationalist sentiments on both sides. Despite these challenges, Japan and China remain vital economic partners, their trade and political ties forming one of the most important bilateral relationships in Asia.</w:t>
      </w:r>
    </w:p>
    <w:p w14:paraId="1797E881" w14:textId="5601BA25" w:rsidR="001106D5" w:rsidRPr="001106D5" w:rsidRDefault="001106D5" w:rsidP="001106D5">
      <w:pPr>
        <w:spacing w:before="150" w:line="324" w:lineRule="atLeast"/>
        <w:rPr>
          <w:rFonts w:ascii="-webkit-standard" w:hAnsi="-webkit-standard" w:cs="Times New Roman"/>
          <w:color w:val="000000" w:themeColor="text1"/>
          <w:kern w:val="0"/>
          <w:sz w:val="27"/>
          <w:szCs w:val="27"/>
          <w14:ligatures w14:val="none"/>
        </w:rPr>
      </w:pPr>
      <w:r w:rsidRPr="001106D5">
        <w:rPr>
          <w:rFonts w:ascii="Calibri" w:hAnsi="Calibri" w:cs="Times New Roman"/>
          <w:b/>
          <w:bCs/>
          <w:color w:val="000000" w:themeColor="text1"/>
          <w:kern w:val="0"/>
          <w:sz w:val="30"/>
          <w:szCs w:val="30"/>
          <w14:ligatures w14:val="none"/>
        </w:rPr>
        <w:t>Conclusion</w:t>
      </w:r>
    </w:p>
    <w:p w14:paraId="67DA26CC" w14:textId="77777777" w:rsidR="00B3758F" w:rsidRDefault="001106D5" w:rsidP="001106D5">
      <w:pPr>
        <w:spacing w:line="324" w:lineRule="atLeast"/>
        <w:rPr>
          <w:rFonts w:ascii="-webkit-standard" w:hAnsi="-webkit-standard" w:cs="Times New Roman"/>
          <w:color w:val="000000"/>
          <w:kern w:val="0"/>
          <w:sz w:val="27"/>
          <w:szCs w:val="27"/>
          <w14:ligatures w14:val="none"/>
        </w:rPr>
      </w:pPr>
      <w:r w:rsidRPr="001106D5">
        <w:rPr>
          <w:rFonts w:ascii="-webkit-standard" w:hAnsi="-webkit-standard" w:cs="Times New Roman"/>
          <w:color w:val="000000"/>
          <w:kern w:val="0"/>
          <w:sz w:val="27"/>
          <w:szCs w:val="27"/>
          <w14:ligatures w14:val="none"/>
        </w:rPr>
        <w:t>The evolution of Japanese–Chinese relations reveals how historical legacies, cultural exchanges, and political transformations shape regional dynamics. Their relationship—rooted in shared civilization yet marked by cycles of conflict—illustrates the shifting balance of power in Asia from the pre-modern to the contemporary era. While ancient ties fostered learning and admiration, modern rivalry created wounds that still affect diplomacy today. Nevertheless, both nations have moved beyond open hostility toward pragmatic cooperation, recognizing their mutual importance in global economics and security. The enduring story of Japan and China is not one of perpetual enmity, but of adaptation</w:t>
      </w:r>
      <w:r w:rsidR="000D10BE">
        <w:rPr>
          <w:rFonts w:ascii="-webkit-standard" w:hAnsi="-webkit-standard" w:cs="Times New Roman"/>
          <w:color w:val="000000"/>
          <w:kern w:val="0"/>
          <w:sz w:val="27"/>
          <w:szCs w:val="27"/>
          <w14:ligatures w14:val="none"/>
        </w:rPr>
        <w:t xml:space="preserve"> </w:t>
      </w:r>
    </w:p>
    <w:p w14:paraId="39BF4BFE" w14:textId="3F98E6C7" w:rsidR="001106D5" w:rsidRPr="001106D5" w:rsidRDefault="001106D5" w:rsidP="001106D5">
      <w:pPr>
        <w:spacing w:line="324" w:lineRule="atLeast"/>
        <w:rPr>
          <w:rFonts w:ascii="-webkit-standard" w:hAnsi="-webkit-standard" w:cs="Times New Roman"/>
          <w:color w:val="000000"/>
          <w:kern w:val="0"/>
          <w:sz w:val="27"/>
          <w:szCs w:val="27"/>
          <w14:ligatures w14:val="none"/>
        </w:rPr>
      </w:pPr>
      <w:r w:rsidRPr="001106D5">
        <w:rPr>
          <w:rFonts w:ascii="-webkit-standard" w:hAnsi="-webkit-standard" w:cs="Times New Roman"/>
          <w:color w:val="000000"/>
          <w:kern w:val="0"/>
          <w:sz w:val="27"/>
          <w:szCs w:val="27"/>
          <w14:ligatures w14:val="none"/>
        </w:rPr>
        <w:t>proof that even the most strained relationships can evolve toward coexistence and interdependence in an increasingly interconnected world.</w:t>
      </w:r>
    </w:p>
    <w:p w14:paraId="7AD332C6" w14:textId="77777777" w:rsidR="001106D5" w:rsidRPr="001106D5" w:rsidRDefault="001106D5" w:rsidP="001106D5">
      <w:pPr>
        <w:spacing w:before="150" w:line="324" w:lineRule="atLeast"/>
        <w:rPr>
          <w:rFonts w:ascii="-webkit-standard" w:hAnsi="-webkit-standard" w:cs="Times New Roman"/>
          <w:color w:val="000000" w:themeColor="text1"/>
          <w:kern w:val="0"/>
          <w:sz w:val="27"/>
          <w:szCs w:val="27"/>
          <w14:ligatures w14:val="none"/>
        </w:rPr>
      </w:pPr>
      <w:r w:rsidRPr="001106D5">
        <w:rPr>
          <w:rFonts w:ascii="Calibri" w:hAnsi="Calibri" w:cs="Times New Roman"/>
          <w:b/>
          <w:bCs/>
          <w:color w:val="000000" w:themeColor="text1"/>
          <w:kern w:val="0"/>
          <w:sz w:val="30"/>
          <w:szCs w:val="30"/>
          <w14:ligatures w14:val="none"/>
        </w:rPr>
        <w:t>References</w:t>
      </w:r>
    </w:p>
    <w:p w14:paraId="134FDE87" w14:textId="24C36009" w:rsidR="001106D5" w:rsidRPr="000653C7" w:rsidRDefault="001106D5" w:rsidP="000653C7">
      <w:pPr>
        <w:pStyle w:val="ListParagraph"/>
        <w:numPr>
          <w:ilvl w:val="0"/>
          <w:numId w:val="1"/>
        </w:numPr>
        <w:divId w:val="1074398703"/>
        <w:rPr>
          <w:rFonts w:ascii="-webkit-standard" w:eastAsia="Times New Roman" w:hAnsi="-webkit-standard" w:cs="Times New Roman"/>
          <w:color w:val="000000"/>
          <w:kern w:val="0"/>
          <w:sz w:val="27"/>
          <w:szCs w:val="27"/>
          <w14:ligatures w14:val="none"/>
        </w:rPr>
      </w:pPr>
      <w:r w:rsidRPr="000653C7">
        <w:rPr>
          <w:rFonts w:ascii="-webkit-standard" w:eastAsia="Times New Roman" w:hAnsi="-webkit-standard" w:cs="Times New Roman"/>
          <w:color w:val="000000"/>
          <w:kern w:val="0"/>
          <w:sz w:val="27"/>
          <w:szCs w:val="27"/>
          <w14:ligatures w14:val="none"/>
        </w:rPr>
        <w:t>Beasley, W. G. (1999). The Japanese Experience: A Short History of Japan. University of California Press.</w:t>
      </w:r>
    </w:p>
    <w:p w14:paraId="7A18999C" w14:textId="62D03271" w:rsidR="001106D5" w:rsidRPr="000653C7" w:rsidRDefault="001106D5" w:rsidP="000653C7">
      <w:pPr>
        <w:pStyle w:val="ListParagraph"/>
        <w:numPr>
          <w:ilvl w:val="0"/>
          <w:numId w:val="1"/>
        </w:numPr>
        <w:divId w:val="819810796"/>
        <w:rPr>
          <w:rFonts w:ascii="-webkit-standard" w:eastAsia="Times New Roman" w:hAnsi="-webkit-standard" w:cs="Times New Roman"/>
          <w:color w:val="000000"/>
          <w:kern w:val="0"/>
          <w:sz w:val="27"/>
          <w:szCs w:val="27"/>
          <w14:ligatures w14:val="none"/>
        </w:rPr>
      </w:pPr>
      <w:r w:rsidRPr="000653C7">
        <w:rPr>
          <w:rFonts w:ascii="-webkit-standard" w:eastAsia="Times New Roman" w:hAnsi="-webkit-standard" w:cs="Times New Roman"/>
          <w:color w:val="000000"/>
          <w:kern w:val="0"/>
          <w:sz w:val="27"/>
          <w:szCs w:val="27"/>
          <w14:ligatures w14:val="none"/>
        </w:rPr>
        <w:t>Fairbank, J. K., &amp; Goldman, M. (2006). China: A New History (2nd ed.). Belknap Press.</w:t>
      </w:r>
    </w:p>
    <w:p w14:paraId="1CC9FB32" w14:textId="26069E7C" w:rsidR="001106D5" w:rsidRPr="000653C7" w:rsidRDefault="001106D5" w:rsidP="000653C7">
      <w:pPr>
        <w:pStyle w:val="ListParagraph"/>
        <w:numPr>
          <w:ilvl w:val="0"/>
          <w:numId w:val="1"/>
        </w:numPr>
        <w:divId w:val="2011639969"/>
        <w:rPr>
          <w:rFonts w:ascii="-webkit-standard" w:eastAsia="Times New Roman" w:hAnsi="-webkit-standard" w:cs="Times New Roman"/>
          <w:color w:val="000000"/>
          <w:kern w:val="0"/>
          <w:sz w:val="27"/>
          <w:szCs w:val="27"/>
          <w14:ligatures w14:val="none"/>
        </w:rPr>
      </w:pPr>
      <w:r w:rsidRPr="000653C7">
        <w:rPr>
          <w:rFonts w:ascii="-webkit-standard" w:eastAsia="Times New Roman" w:hAnsi="-webkit-standard" w:cs="Times New Roman"/>
          <w:color w:val="000000"/>
          <w:kern w:val="0"/>
          <w:sz w:val="27"/>
          <w:szCs w:val="27"/>
          <w14:ligatures w14:val="none"/>
        </w:rPr>
        <w:t>Jansen, M. B. (2000). The Making of Modern Japan. Harvard University Press.</w:t>
      </w:r>
    </w:p>
    <w:p w14:paraId="0BB67ADE" w14:textId="1C29BA52" w:rsidR="001106D5" w:rsidRPr="000653C7" w:rsidRDefault="001106D5" w:rsidP="000653C7">
      <w:pPr>
        <w:pStyle w:val="ListParagraph"/>
        <w:numPr>
          <w:ilvl w:val="0"/>
          <w:numId w:val="1"/>
        </w:numPr>
        <w:divId w:val="548612769"/>
        <w:rPr>
          <w:rFonts w:ascii="-webkit-standard" w:eastAsia="Times New Roman" w:hAnsi="-webkit-standard" w:cs="Times New Roman"/>
          <w:color w:val="000000"/>
          <w:kern w:val="0"/>
          <w:sz w:val="27"/>
          <w:szCs w:val="27"/>
          <w14:ligatures w14:val="none"/>
        </w:rPr>
      </w:pPr>
      <w:r w:rsidRPr="000653C7">
        <w:rPr>
          <w:rFonts w:ascii="-webkit-standard" w:eastAsia="Times New Roman" w:hAnsi="-webkit-standard" w:cs="Times New Roman"/>
          <w:color w:val="000000"/>
          <w:kern w:val="0"/>
          <w:sz w:val="27"/>
          <w:szCs w:val="27"/>
          <w14:ligatures w14:val="none"/>
        </w:rPr>
        <w:t>Spence, J. D. (1990). The Search for Modern China. W. W. Norton &amp; Company.</w:t>
      </w:r>
    </w:p>
    <w:p w14:paraId="729457FC" w14:textId="2178A553" w:rsidR="001106D5" w:rsidRPr="000653C7" w:rsidRDefault="001106D5" w:rsidP="000653C7">
      <w:pPr>
        <w:pStyle w:val="ListParagraph"/>
        <w:numPr>
          <w:ilvl w:val="0"/>
          <w:numId w:val="1"/>
        </w:numPr>
        <w:divId w:val="1922981809"/>
        <w:rPr>
          <w:rFonts w:ascii="-webkit-standard" w:eastAsia="Times New Roman" w:hAnsi="-webkit-standard" w:cs="Times New Roman"/>
          <w:color w:val="000000"/>
          <w:kern w:val="0"/>
          <w:sz w:val="27"/>
          <w:szCs w:val="27"/>
          <w14:ligatures w14:val="none"/>
        </w:rPr>
      </w:pPr>
      <w:r w:rsidRPr="000653C7">
        <w:rPr>
          <w:rFonts w:ascii="-webkit-standard" w:eastAsia="Times New Roman" w:hAnsi="-webkit-standard" w:cs="Times New Roman"/>
          <w:color w:val="000000"/>
          <w:kern w:val="0"/>
          <w:sz w:val="27"/>
          <w:szCs w:val="27"/>
          <w14:ligatures w14:val="none"/>
        </w:rPr>
        <w:t>Totman, C. (2005). A History of Japan. Blackwell Publishing.</w:t>
      </w:r>
    </w:p>
    <w:p w14:paraId="4000475F" w14:textId="4945DACD" w:rsidR="001106D5" w:rsidRPr="000653C7" w:rsidRDefault="001106D5" w:rsidP="000653C7">
      <w:pPr>
        <w:pStyle w:val="ListParagraph"/>
        <w:numPr>
          <w:ilvl w:val="0"/>
          <w:numId w:val="1"/>
        </w:numPr>
        <w:divId w:val="584337068"/>
        <w:rPr>
          <w:rFonts w:ascii="-webkit-standard" w:eastAsia="Times New Roman" w:hAnsi="-webkit-standard" w:cs="Times New Roman"/>
          <w:color w:val="000000"/>
          <w:kern w:val="0"/>
          <w:sz w:val="27"/>
          <w:szCs w:val="27"/>
          <w14:ligatures w14:val="none"/>
        </w:rPr>
      </w:pPr>
      <w:r w:rsidRPr="000653C7">
        <w:rPr>
          <w:rFonts w:ascii="-webkit-standard" w:eastAsia="Times New Roman" w:hAnsi="-webkit-standard" w:cs="Times New Roman"/>
          <w:color w:val="000000"/>
          <w:kern w:val="0"/>
          <w:sz w:val="27"/>
          <w:szCs w:val="27"/>
          <w14:ligatures w14:val="none"/>
        </w:rPr>
        <w:t>Walker, R. B. (2015). East Asia and the Modern World: Japan, China, and the Transformation of the 20th Century. Cambridge University Press.</w:t>
      </w:r>
    </w:p>
    <w:p w14:paraId="01BF7199" w14:textId="1C20F9A8" w:rsidR="00DA2DCB" w:rsidRPr="001106D5" w:rsidRDefault="00DA2DCB">
      <w:pPr>
        <w:rPr>
          <w:sz w:val="26"/>
          <w:szCs w:val="26"/>
          <w:lang w:val="en-US"/>
        </w:rPr>
      </w:pPr>
    </w:p>
    <w:sectPr w:rsidR="00DA2DCB" w:rsidRPr="00110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046F9C"/>
    <w:multiLevelType w:val="hybridMultilevel"/>
    <w:tmpl w:val="EC1EE5AA"/>
    <w:lvl w:ilvl="0" w:tplc="08090001">
      <w:start w:val="1"/>
      <w:numFmt w:val="bullet"/>
      <w:lvlText w:val=""/>
      <w:lvlJc w:val="left"/>
      <w:pPr>
        <w:ind w:left="450" w:hanging="360"/>
      </w:pPr>
      <w:rPr>
        <w:rFonts w:ascii="Symbol" w:hAnsi="Symbol"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num w:numId="1" w16cid:durableId="43386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63"/>
    <w:rsid w:val="000653C7"/>
    <w:rsid w:val="000D10BE"/>
    <w:rsid w:val="001106D5"/>
    <w:rsid w:val="00117C73"/>
    <w:rsid w:val="0021483D"/>
    <w:rsid w:val="00597A6C"/>
    <w:rsid w:val="00933786"/>
    <w:rsid w:val="00B3758F"/>
    <w:rsid w:val="00CF7663"/>
    <w:rsid w:val="00DA2DCB"/>
    <w:rsid w:val="00E40AB2"/>
  </w:rsids>
  <m:mathPr>
    <m:mathFont m:val="Cambria Math"/>
    <m:brkBin m:val="before"/>
    <m:brkBinSub m:val="--"/>
    <m:smallFrac m:val="0"/>
    <m:dispDef/>
    <m:lMargin m:val="0"/>
    <m:rMargin m:val="0"/>
    <m:defJc m:val="centerGroup"/>
    <m:wrapIndent m:val="1440"/>
    <m:intLim m:val="subSup"/>
    <m:naryLim m:val="undOvr"/>
  </m:mathPr>
  <w:themeFontLang w:val="en-AO"/>
  <w:clrSchemeMapping w:bg1="light1" w:t1="dark1" w:bg2="light2" w:t2="dark2" w:accent1="accent1" w:accent2="accent2" w:accent3="accent3" w:accent4="accent4" w:accent5="accent5" w:accent6="accent6" w:hyperlink="hyperlink" w:followedHyperlink="followedHyperlink"/>
  <w:decimalSymbol w:val=","/>
  <w:listSeparator w:val=","/>
  <w14:docId w14:val="0C2158DF"/>
  <w15:chartTrackingRefBased/>
  <w15:docId w15:val="{327E74A6-4EEE-7047-AEBC-2C36E56B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O"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3">
    <w:name w:val="s3"/>
    <w:basedOn w:val="Normal"/>
    <w:rsid w:val="001106D5"/>
    <w:pPr>
      <w:spacing w:before="100" w:beforeAutospacing="1" w:after="100" w:afterAutospacing="1"/>
    </w:pPr>
    <w:rPr>
      <w:rFonts w:ascii="Times New Roman" w:hAnsi="Times New Roman" w:cs="Times New Roman"/>
      <w:kern w:val="0"/>
      <w:sz w:val="24"/>
      <w:szCs w:val="24"/>
      <w14:ligatures w14:val="none"/>
    </w:rPr>
  </w:style>
  <w:style w:type="character" w:customStyle="1" w:styleId="bumpedfont15">
    <w:name w:val="bumpedfont15"/>
    <w:basedOn w:val="DefaultParagraphFont"/>
    <w:rsid w:val="001106D5"/>
  </w:style>
  <w:style w:type="paragraph" w:customStyle="1" w:styleId="s5">
    <w:name w:val="s5"/>
    <w:basedOn w:val="Normal"/>
    <w:rsid w:val="001106D5"/>
    <w:pPr>
      <w:spacing w:before="100" w:beforeAutospacing="1" w:after="100" w:afterAutospacing="1"/>
    </w:pPr>
    <w:rPr>
      <w:rFonts w:ascii="Times New Roman" w:hAnsi="Times New Roman" w:cs="Times New Roman"/>
      <w:kern w:val="0"/>
      <w:sz w:val="24"/>
      <w:szCs w:val="24"/>
      <w14:ligatures w14:val="none"/>
    </w:rPr>
  </w:style>
  <w:style w:type="paragraph" w:styleId="NormalWeb">
    <w:name w:val="Normal (Web)"/>
    <w:basedOn w:val="Normal"/>
    <w:uiPriority w:val="99"/>
    <w:semiHidden/>
    <w:unhideWhenUsed/>
    <w:rsid w:val="001106D5"/>
    <w:pPr>
      <w:spacing w:before="100" w:beforeAutospacing="1" w:after="100" w:afterAutospacing="1"/>
    </w:pPr>
    <w:rPr>
      <w:rFonts w:ascii="Times New Roman" w:hAnsi="Times New Roman" w:cs="Times New Roman"/>
      <w:kern w:val="0"/>
      <w:sz w:val="24"/>
      <w:szCs w:val="24"/>
      <w14:ligatures w14:val="none"/>
    </w:rPr>
  </w:style>
  <w:style w:type="character" w:customStyle="1" w:styleId="s6">
    <w:name w:val="s6"/>
    <w:basedOn w:val="DefaultParagraphFont"/>
    <w:rsid w:val="001106D5"/>
  </w:style>
  <w:style w:type="character" w:customStyle="1" w:styleId="apple-converted-space">
    <w:name w:val="apple-converted-space"/>
    <w:basedOn w:val="DefaultParagraphFont"/>
    <w:rsid w:val="001106D5"/>
  </w:style>
  <w:style w:type="paragraph" w:styleId="ListParagraph">
    <w:name w:val="List Paragraph"/>
    <w:basedOn w:val="Normal"/>
    <w:uiPriority w:val="34"/>
    <w:qFormat/>
    <w:rsid w:val="00065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612769">
      <w:marLeft w:val="270"/>
      <w:marRight w:val="0"/>
      <w:marTop w:val="0"/>
      <w:marBottom w:val="0"/>
      <w:divBdr>
        <w:top w:val="none" w:sz="0" w:space="0" w:color="auto"/>
        <w:left w:val="none" w:sz="0" w:space="0" w:color="auto"/>
        <w:bottom w:val="none" w:sz="0" w:space="0" w:color="auto"/>
        <w:right w:val="none" w:sz="0" w:space="0" w:color="auto"/>
      </w:divBdr>
    </w:div>
    <w:div w:id="584337068">
      <w:marLeft w:val="270"/>
      <w:marRight w:val="0"/>
      <w:marTop w:val="0"/>
      <w:marBottom w:val="0"/>
      <w:divBdr>
        <w:top w:val="none" w:sz="0" w:space="0" w:color="auto"/>
        <w:left w:val="none" w:sz="0" w:space="0" w:color="auto"/>
        <w:bottom w:val="none" w:sz="0" w:space="0" w:color="auto"/>
        <w:right w:val="none" w:sz="0" w:space="0" w:color="auto"/>
      </w:divBdr>
    </w:div>
    <w:div w:id="819810796">
      <w:marLeft w:val="270"/>
      <w:marRight w:val="0"/>
      <w:marTop w:val="0"/>
      <w:marBottom w:val="0"/>
      <w:divBdr>
        <w:top w:val="none" w:sz="0" w:space="0" w:color="auto"/>
        <w:left w:val="none" w:sz="0" w:space="0" w:color="auto"/>
        <w:bottom w:val="none" w:sz="0" w:space="0" w:color="auto"/>
        <w:right w:val="none" w:sz="0" w:space="0" w:color="auto"/>
      </w:divBdr>
    </w:div>
    <w:div w:id="1074398703">
      <w:marLeft w:val="270"/>
      <w:marRight w:val="0"/>
      <w:marTop w:val="0"/>
      <w:marBottom w:val="0"/>
      <w:divBdr>
        <w:top w:val="none" w:sz="0" w:space="0" w:color="auto"/>
        <w:left w:val="none" w:sz="0" w:space="0" w:color="auto"/>
        <w:bottom w:val="none" w:sz="0" w:space="0" w:color="auto"/>
        <w:right w:val="none" w:sz="0" w:space="0" w:color="auto"/>
      </w:divBdr>
    </w:div>
    <w:div w:id="1922981809">
      <w:marLeft w:val="270"/>
      <w:marRight w:val="0"/>
      <w:marTop w:val="0"/>
      <w:marBottom w:val="0"/>
      <w:divBdr>
        <w:top w:val="none" w:sz="0" w:space="0" w:color="auto"/>
        <w:left w:val="none" w:sz="0" w:space="0" w:color="auto"/>
        <w:bottom w:val="none" w:sz="0" w:space="0" w:color="auto"/>
        <w:right w:val="none" w:sz="0" w:space="0" w:color="auto"/>
      </w:divBdr>
    </w:div>
    <w:div w:id="2011639969">
      <w:marLeft w:val="27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Ukpabio</dc:creator>
  <cp:keywords/>
  <dc:description/>
  <cp:lastModifiedBy>Victoria Ukpabio</cp:lastModifiedBy>
  <cp:revision>9</cp:revision>
  <dcterms:created xsi:type="dcterms:W3CDTF">2025-10-21T00:32:00Z</dcterms:created>
  <dcterms:modified xsi:type="dcterms:W3CDTF">2025-10-21T16:41:00Z</dcterms:modified>
</cp:coreProperties>
</file>