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96224" w14:textId="77777777" w:rsidR="00DB2D5A" w:rsidRDefault="00DB2D5A" w:rsidP="00FF1967">
            <w:pPr>
              <w:spacing w:before="1600"/>
            </w:pPr>
          </w:p>
          <w:p w14:paraId="5D596225" w14:textId="77777777" w:rsidR="00DB2D5A" w:rsidRDefault="00F9067B" w:rsidP="00FF1967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CARBON HEIST</w:t>
            </w:r>
          </w:p>
          <w:p w14:paraId="5D596226" w14:textId="77777777" w:rsidR="00DB2D5A" w:rsidRDefault="00F9067B" w:rsidP="00FF1967">
            <w:pPr>
              <w:spacing w:after="260"/>
              <w:jc w:val="center"/>
            </w:pPr>
            <w:r>
              <w:rPr>
                <w:b/>
                <w:bCs/>
                <w:color w:val="C89B3C"/>
                <w:sz w:val="44"/>
                <w:szCs w:val="44"/>
              </w:rPr>
              <w:t>MITIGATION PLATFORM</w:t>
            </w:r>
          </w:p>
          <w:p w14:paraId="5D596227" w14:textId="77777777" w:rsidR="00DB2D5A" w:rsidRDefault="00F9067B" w:rsidP="00FF1967">
            <w:pPr>
              <w:pBdr>
                <w:top w:val="single" w:sz="6" w:space="14" w:color="C89B3C"/>
              </w:pBdr>
              <w:spacing w:after="40"/>
              <w:jc w:val="center"/>
            </w:pPr>
            <w:r>
              <w:rPr>
                <w:color w:val="FFFFFF"/>
                <w:sz w:val="22"/>
                <w:szCs w:val="22"/>
              </w:rPr>
              <w:t>NYC LOCAL LAW 97 DECARBONIZATION INTELLIGENCE SYSTEM</w:t>
            </w:r>
          </w:p>
          <w:p w14:paraId="5D596228" w14:textId="77777777" w:rsidR="00DB2D5A" w:rsidRDefault="00F9067B" w:rsidP="00FF1967">
            <w:pPr>
              <w:spacing w:before="700" w:after="4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Data Analysis &amp; Engineering Track</w:t>
            </w:r>
          </w:p>
          <w:p w14:paraId="5D596229" w14:textId="77777777" w:rsidR="00DB2D5A" w:rsidRDefault="00F9067B" w:rsidP="00FF1967">
            <w:pPr>
              <w:spacing w:after="700"/>
              <w:jc w:val="center"/>
            </w:pPr>
            <w:r>
              <w:rPr>
                <w:i/>
                <w:iCs/>
                <w:color w:val="FFFFFF"/>
                <w:sz w:val="22"/>
                <w:szCs w:val="22"/>
              </w:rPr>
              <w:t>Project Documentation Suite</w:t>
            </w:r>
          </w:p>
          <w:p w14:paraId="5D59622A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Project Track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Data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Analysis &amp; Engineering</w:t>
            </w:r>
          </w:p>
          <w:p w14:paraId="5D59622B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Domain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Urban</w:t>
            </w:r>
            <w:proofErr w:type="gramEnd"/>
            <w:r>
              <w:rPr>
                <w:color w:val="FFFFFF"/>
                <w:sz w:val="20"/>
                <w:szCs w:val="20"/>
              </w:rPr>
              <w:t xml:space="preserve"> Sustainability, ML &amp; Financial Risk Modeling</w:t>
            </w:r>
          </w:p>
          <w:p w14:paraId="5D59622C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Repository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github.com</w:t>
            </w:r>
            <w:proofErr w:type="gramEnd"/>
            <w:r>
              <w:rPr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color w:val="FFFFFF"/>
                <w:sz w:val="20"/>
                <w:szCs w:val="20"/>
              </w:rPr>
              <w:t>ahmedadelamin</w:t>
            </w:r>
            <w:proofErr w:type="spellEnd"/>
            <w:r>
              <w:rPr>
                <w:color w:val="FFFFFF"/>
                <w:sz w:val="20"/>
                <w:szCs w:val="20"/>
              </w:rPr>
              <w:t>/carbon-heist-mitigation</w:t>
            </w:r>
          </w:p>
          <w:p w14:paraId="5D59622D" w14:textId="77777777" w:rsidR="00DB2D5A" w:rsidRDefault="00F9067B" w:rsidP="00FF1967">
            <w:pPr>
              <w:spacing w:after="90"/>
              <w:jc w:val="center"/>
            </w:pPr>
            <w:r>
              <w:rPr>
                <w:b/>
                <w:bCs/>
                <w:color w:val="C89B3C"/>
                <w:sz w:val="20"/>
                <w:szCs w:val="20"/>
              </w:rPr>
              <w:t>Version</w:t>
            </w:r>
            <w:proofErr w:type="gramStart"/>
            <w:r>
              <w:rPr>
                <w:b/>
                <w:bCs/>
                <w:color w:val="C89B3C"/>
                <w:sz w:val="20"/>
                <w:szCs w:val="20"/>
              </w:rPr>
              <w:t xml:space="preserve">:  </w:t>
            </w:r>
            <w:r>
              <w:rPr>
                <w:color w:val="FFFFFF"/>
                <w:sz w:val="20"/>
                <w:szCs w:val="20"/>
              </w:rPr>
              <w:t>v1</w:t>
            </w:r>
            <w:proofErr w:type="gramEnd"/>
            <w:r>
              <w:rPr>
                <w:color w:val="FFFFFF"/>
                <w:sz w:val="20"/>
                <w:szCs w:val="20"/>
              </w:rPr>
              <w:t>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16-sheet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>
      <w:r>
        <w:t>US-05: As a C-Suite Executive, I want to converse with a dedicated AI Co-Pilot in Tab 5 to query portfolio breakdowns and dynamically generate custom Plotly charts on-the-fly without writing SQL or filtering rows.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  <w:tr>
        <w:tc>
          <w:tcPr>
            <w:tcW w:type="dxa" w:w="1200"/>
          </w:tcPr>
          <w:p>
            <w:r>
              <w:t>UC-05</w:t>
            </w:r>
          </w:p>
        </w:tc>
        <w:tc>
          <w:tcPr>
            <w:tcW w:type="dxa" w:w="2600"/>
          </w:tcPr>
          <w:p>
            <w:r>
              <w:t>Conversational AI &amp; Dynamic Charting</w:t>
            </w:r>
          </w:p>
        </w:tc>
        <w:tc>
          <w:tcPr>
            <w:tcW w:type="dxa" w:w="1900"/>
          </w:tcPr>
          <w:p>
            <w:r>
              <w:t>C-Suite Executive / Asset Owner</w:t>
            </w:r>
          </w:p>
        </w:tc>
        <w:tc>
          <w:tcPr>
            <w:tcW w:type="dxa" w:w="3650"/>
          </w:tcPr>
          <w:p>
            <w:r>
              <w:t>Query the 11,639-building portfolio via Tab 5 Dual-Engine AI Co-Pilot (Gemini 2.5 Flash + offline fallback) to receive instant natural-language insights and custom interactive Plotly charts.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FR-05: Interactive KPI cards and playbook recommendations via Streamlit/Plotly across 5 specialized analytical tabs.</w:t>
      </w:r>
    </w:p>
    <w:p>
      <w:r>
        <w:t>FR-07: Dual-Engine Conversational AI &amp; Dynamic Charting (Tab 5) integrating Google Gemini 2.5 Flash and local offline quantitative fallback for on-the-fly interactive Plotly chart generation.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Co2 Project.xlsx (16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>
        <w:tc>
          <w:tcPr>
            <w:tcW w:type="dxa" w:w="1000"/>
          </w:tcPr>
          <w:p>
            <w:r>
              <w:t>TC-08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Query Tab 5 in English/Arabic ("Show top 5 emitting property types")</w:t>
            </w:r>
          </w:p>
        </w:tc>
        <w:tc>
          <w:tcPr>
            <w:tcW w:type="dxa" w:w="1900"/>
          </w:tcPr>
          <w:p>
            <w:r>
              <w:t>System parses intent, calculates totals from local dataset, and renders interactive Plotly chart inside chat</w:t>
            </w:r>
          </w:p>
        </w:tc>
        <w:tc>
          <w:tcPr>
            <w:tcW w:type="dxa" w:w="1700"/>
          </w:tcPr>
          <w:p>
            <w:r>
              <w:t>Generated chart &amp; text response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  <w:tr>
        <w:tc>
          <w:tcPr>
            <w:tcW w:type="dxa" w:w="1000"/>
          </w:tcPr>
          <w:p>
            <w:r>
              <w:t>TC-09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API Rate-Limit Shielding (HTTP 429 / No API Key)</w:t>
            </w:r>
          </w:p>
        </w:tc>
        <w:tc>
          <w:tcPr>
            <w:tcW w:type="dxa" w:w="1900"/>
          </w:tcPr>
          <w:p>
            <w:r>
              <w:t>System catches exception and routes prompt to embedded local quantitative charting engine without crashing</w:t>
            </w:r>
          </w:p>
        </w:tc>
        <w:tc>
          <w:tcPr>
            <w:tcW w:type="dxa" w:w="1700"/>
          </w:tcPr>
          <w:p>
            <w:r>
              <w:t>Zero downtime, instant local chart fallback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1 – Configure Profile: Use sidebar controls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2 – Tab 1 &amp; Tab 3 Analysis: Review real-time KPI cards, predicted GHG emissions (R² = 81.65%), liability ($/sqft), and peer gaps.</w:t>
      </w:r>
    </w:p>
    <w:p>
      <w:r>
        <w:t>Step 4 – Tab 5 AI Chatbot: Ask natural-language strategic questions in English or Arabic to dynamically generate custom interactive Plotly charts and quantitative audits (Dual-Engine: Gemini 2.5 Flash + Local Fallback).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3 – Tab 2 &amp; Tab 4 Simulation: Model HVAC retro-commissioning, envelope insulation, and electrification upgrades across the 5 Decarbonization Playbooks.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