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fill="0A2F5C"/>
          </w:tcPr>
          <w:p>
            <w:pPr>
              <w:spacing w:before="0" w:after="0"/>
            </w:pPr>
            <w:r/>
            <w:r>
              <w:rPr>
                <w:sz w:val="6"/>
              </w:rPr>
              <w:t xml:space="preserve"> </w:t>
            </w:r>
          </w:p>
        </w:tc>
      </w:tr>
    </w:tbl>
    <w:p/>
    <w:p/>
    <w:p/>
    <w:p/>
    <w:p>
      <w:pPr>
        <w:jc w:val="center"/>
      </w:pPr>
      <w:r>
        <w:rPr>
          <w:sz w:val="72"/>
        </w:rPr>
        <w:t>🏙️ 🌍 📊</w:t>
      </w:r>
    </w:p>
    <w:p/>
    <w:p>
      <w:pPr>
        <w:jc w:val="center"/>
      </w:pPr>
      <w:r>
        <w:rPr>
          <w:rFonts w:ascii="Calibri" w:hAnsi="Calibri"/>
          <w:b/>
          <w:color w:val="0A2F5C"/>
          <w:sz w:val="72"/>
        </w:rPr>
        <w:t>Carbon Heist Mitigation</w:t>
      </w:r>
    </w:p>
    <w:p>
      <w:pPr>
        <w:jc w:val="center"/>
      </w:pPr>
      <w:r>
        <w:rPr>
          <w:rFonts w:ascii="Calibri" w:hAnsi="Calibri"/>
          <w:b/>
          <w:color w:val="0A2F5C"/>
          <w:sz w:val="72"/>
        </w:rPr>
        <w:t>Platform</w:t>
      </w:r>
    </w:p>
    <w:p/>
    <w:p>
      <w:pPr>
        <w:jc w:val="center"/>
      </w:pPr>
      <w:r>
        <w:rPr>
          <w:rFonts w:ascii="Calibri" w:hAnsi="Calibri"/>
          <w:i/>
          <w:color w:val="009688"/>
          <w:sz w:val="30"/>
        </w:rPr>
        <w:t>NYC Local Law 97 Decarbonization Intelligence System</w:t>
      </w:r>
    </w:p>
    <w:p>
      <w:pPr>
        <w:jc w:val="center"/>
      </w:pPr>
      <w:r>
        <w:rPr>
          <w:rFonts w:ascii="Calibri" w:hAnsi="Calibri"/>
          <w:color w:val="606D76"/>
          <w:sz w:val="22"/>
        </w:rPr>
        <w:t>Data Analysis &amp; Engineering Track  |  Project Documentation Suite</w:t>
      </w:r>
    </w:p>
    <w:p/>
    <w:p/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2" w:space="0" w:color="DEE2E6"/>
          <w:insideV w:val="none" w:sz="0" w:space="0" w:color="auto"/>
        </w:tblBorders>
      </w:tblPr>
      <w:tblGrid>
        <w:gridCol w:w="4873"/>
        <w:gridCol w:w="4873"/>
      </w:tblGrid>
      <w:tr>
        <w:tc>
          <w:tcPr>
            <w:tcW w:type="dxa" w:w="2835"/>
          </w:tcPr>
          <w:p>
            <w:pPr>
              <w:spacing w:before="120" w:after="120"/>
              <w:jc w:val="right"/>
            </w:pPr>
            <w:r/>
            <w:r>
              <w:rPr>
                <w:rFonts w:ascii="Calibri" w:hAnsi="Calibri"/>
                <w:b/>
                <w:color w:val="0A2F5C"/>
                <w:sz w:val="20"/>
              </w:rPr>
              <w:t>Project Track</w:t>
            </w:r>
          </w:p>
        </w:tc>
        <w:tc>
          <w:tcPr>
            <w:tcW w:type="dxa" w:w="5669"/>
          </w:tcPr>
          <w:p>
            <w:pPr>
              <w:spacing w:before="120" w:after="120"/>
            </w:pPr>
            <w:r/>
            <w:r>
              <w:rPr>
                <w:rFonts w:ascii="Calibri" w:hAnsi="Calibri"/>
                <w:color w:val="37474F"/>
                <w:sz w:val="20"/>
              </w:rPr>
              <w:t xml:space="preserve">  Data Analysis &amp; Engineering</w:t>
            </w:r>
          </w:p>
        </w:tc>
      </w:tr>
      <w:tr>
        <w:tc>
          <w:tcPr>
            <w:tcW w:type="dxa" w:w="2835"/>
          </w:tcPr>
          <w:p>
            <w:pPr>
              <w:spacing w:before="120" w:after="120"/>
              <w:jc w:val="right"/>
            </w:pPr>
            <w:r/>
            <w:r>
              <w:rPr>
                <w:rFonts w:ascii="Calibri" w:hAnsi="Calibri"/>
                <w:b/>
                <w:color w:val="0A2F5C"/>
                <w:sz w:val="20"/>
              </w:rPr>
              <w:t>Domain</w:t>
            </w:r>
          </w:p>
        </w:tc>
        <w:tc>
          <w:tcPr>
            <w:tcW w:type="dxa" w:w="5669"/>
          </w:tcPr>
          <w:p>
            <w:pPr>
              <w:spacing w:before="120" w:after="120"/>
            </w:pPr>
            <w:r/>
            <w:r>
              <w:rPr>
                <w:rFonts w:ascii="Calibri" w:hAnsi="Calibri"/>
                <w:color w:val="37474F"/>
                <w:sz w:val="20"/>
              </w:rPr>
              <w:t xml:space="preserve">  Urban Sustainability, ML &amp; Financial Risk Modeling</w:t>
            </w:r>
          </w:p>
        </w:tc>
      </w:tr>
      <w:tr>
        <w:tc>
          <w:tcPr>
            <w:tcW w:type="dxa" w:w="2835"/>
          </w:tcPr>
          <w:p>
            <w:pPr>
              <w:spacing w:before="120" w:after="120"/>
              <w:jc w:val="right"/>
            </w:pPr>
            <w:r/>
            <w:r>
              <w:rPr>
                <w:rFonts w:ascii="Calibri" w:hAnsi="Calibri"/>
                <w:b/>
                <w:color w:val="0A2F5C"/>
                <w:sz w:val="20"/>
              </w:rPr>
              <w:t>Repository</w:t>
            </w:r>
          </w:p>
        </w:tc>
        <w:tc>
          <w:tcPr>
            <w:tcW w:type="dxa" w:w="5669"/>
          </w:tcPr>
          <w:p>
            <w:pPr>
              <w:spacing w:before="120" w:after="120"/>
            </w:pPr>
            <w:r/>
            <w:r>
              <w:rPr>
                <w:rFonts w:ascii="Calibri" w:hAnsi="Calibri"/>
                <w:color w:val="37474F"/>
                <w:sz w:val="20"/>
              </w:rPr>
              <w:t xml:space="preserve">  github.com/ahmedadelamin/carbon-heist-mitigation</w:t>
            </w:r>
          </w:p>
        </w:tc>
      </w:tr>
      <w:tr>
        <w:tc>
          <w:tcPr>
            <w:tcW w:type="dxa" w:w="2835"/>
          </w:tcPr>
          <w:p>
            <w:pPr>
              <w:spacing w:before="120" w:after="120"/>
              <w:jc w:val="right"/>
            </w:pPr>
            <w:r/>
            <w:r>
              <w:rPr>
                <w:rFonts w:ascii="Calibri" w:hAnsi="Calibri"/>
                <w:b/>
                <w:color w:val="0A2F5C"/>
                <w:sz w:val="20"/>
              </w:rPr>
              <w:t>Document Version</w:t>
            </w:r>
          </w:p>
        </w:tc>
        <w:tc>
          <w:tcPr>
            <w:tcW w:type="dxa" w:w="5669"/>
          </w:tcPr>
          <w:p>
            <w:pPr>
              <w:spacing w:before="120" w:after="120"/>
            </w:pPr>
            <w:r/>
            <w:r>
              <w:rPr>
                <w:rFonts w:ascii="Calibri" w:hAnsi="Calibri"/>
                <w:color w:val="37474F"/>
                <w:sz w:val="20"/>
              </w:rPr>
              <w:t xml:space="preserve">  v1.0  |  July 2026</w:t>
            </w:r>
          </w:p>
        </w:tc>
      </w:tr>
      <w:tr>
        <w:tc>
          <w:tcPr>
            <w:tcW w:type="dxa" w:w="2835"/>
          </w:tcPr>
          <w:p>
            <w:pPr>
              <w:spacing w:before="120" w:after="120"/>
              <w:jc w:val="right"/>
            </w:pPr>
            <w:r/>
            <w:r>
              <w:rPr>
                <w:rFonts w:ascii="Calibri" w:hAnsi="Calibri"/>
                <w:b/>
                <w:color w:val="0A2F5C"/>
                <w:sz w:val="20"/>
              </w:rPr>
              <w:t>Total Pages</w:t>
            </w:r>
          </w:p>
        </w:tc>
        <w:tc>
          <w:tcPr>
            <w:tcW w:type="dxa" w:w="5669"/>
          </w:tcPr>
          <w:p>
            <w:pPr>
              <w:spacing w:before="120" w:after="120"/>
            </w:pPr>
            <w:r/>
            <w:r>
              <w:rPr>
                <w:rFonts w:ascii="Calibri" w:hAnsi="Calibri"/>
                <w:color w:val="37474F"/>
                <w:sz w:val="20"/>
              </w:rPr>
              <w:t xml:space="preserve">  25+</w:t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pPr>
        <w:spacing w:before="120" w:after="120"/>
        <w:pBdr>
          <w:bottom w:val="single" w:sz="4" w:space="1" w:color="DEE2E6"/>
        </w:pBdr>
      </w:pPr>
    </w:p>
    <w:p>
      <w:pPr>
        <w:spacing w:after="20" w:before="160"/>
      </w:pPr>
      <w:r>
        <w:rPr>
          <w:rFonts w:ascii="Calibri" w:hAnsi="Calibri"/>
          <w:b/>
          <w:color w:val="0A2F5C"/>
          <w:sz w:val="24"/>
        </w:rPr>
        <w:t>1. Project Planning &amp; Management</w:t>
      </w:r>
    </w:p>
    <w:p>
      <w:pPr>
        <w:spacing w:after="20"/>
        <w:ind w:left="567"/>
      </w:pPr>
      <w:r>
        <w:rPr>
          <w:rFonts w:ascii="Calibri" w:hAnsi="Calibri"/>
          <w:color w:val="37474F"/>
          <w:sz w:val="21"/>
        </w:rPr>
        <w:t>1.1 Project Proposal &amp; Executive Overview</w:t>
      </w:r>
    </w:p>
    <w:p>
      <w:pPr>
        <w:spacing w:after="20"/>
        <w:ind w:left="567"/>
      </w:pPr>
      <w:r>
        <w:rPr>
          <w:rFonts w:ascii="Calibri" w:hAnsi="Calibri"/>
          <w:color w:val="37474F"/>
          <w:sz w:val="21"/>
        </w:rPr>
        <w:t>1.2 Project Plan &amp; Timeline</w:t>
      </w:r>
    </w:p>
    <w:p>
      <w:pPr>
        <w:spacing w:after="20"/>
        <w:ind w:left="567"/>
      </w:pPr>
      <w:r>
        <w:rPr>
          <w:rFonts w:ascii="Calibri" w:hAnsi="Calibri"/>
          <w:color w:val="37474F"/>
          <w:sz w:val="21"/>
        </w:rPr>
        <w:t>1.3 Task Assignment &amp; Roles</w:t>
      </w:r>
    </w:p>
    <w:p>
      <w:pPr>
        <w:spacing w:after="20"/>
        <w:ind w:left="567"/>
      </w:pPr>
      <w:r>
        <w:rPr>
          <w:rFonts w:ascii="Calibri" w:hAnsi="Calibri"/>
          <w:color w:val="37474F"/>
          <w:sz w:val="21"/>
        </w:rPr>
        <w:t>1.4 Risk Assessment &amp; Mitigation Plan</w:t>
      </w:r>
    </w:p>
    <w:p>
      <w:pPr>
        <w:spacing w:after="20"/>
        <w:ind w:left="567"/>
      </w:pPr>
      <w:r>
        <w:rPr>
          <w:rFonts w:ascii="Calibri" w:hAnsi="Calibri"/>
          <w:color w:val="37474F"/>
          <w:sz w:val="21"/>
        </w:rPr>
        <w:t>1.5 Key Performance Indicators</w:t>
      </w:r>
    </w:p>
    <w:p>
      <w:pPr>
        <w:spacing w:after="20" w:before="160"/>
      </w:pPr>
      <w:r>
        <w:rPr>
          <w:rFonts w:ascii="Calibri" w:hAnsi="Calibri"/>
          <w:b/>
          <w:color w:val="0A2F5C"/>
          <w:sz w:val="24"/>
        </w:rPr>
        <w:t>2. Requirements Gathering &amp; Stakeholder Analysis</w:t>
      </w:r>
    </w:p>
    <w:p>
      <w:pPr>
        <w:spacing w:after="20"/>
        <w:ind w:left="567"/>
      </w:pPr>
      <w:r>
        <w:rPr>
          <w:rFonts w:ascii="Calibri" w:hAnsi="Calibri"/>
          <w:color w:val="37474F"/>
          <w:sz w:val="21"/>
        </w:rPr>
        <w:t>2.1 Stakeholder Analysis</w:t>
      </w:r>
    </w:p>
    <w:p>
      <w:pPr>
        <w:spacing w:after="20"/>
        <w:ind w:left="567"/>
      </w:pPr>
      <w:r>
        <w:rPr>
          <w:rFonts w:ascii="Calibri" w:hAnsi="Calibri"/>
          <w:color w:val="37474F"/>
          <w:sz w:val="21"/>
        </w:rPr>
        <w:t>2.2 User Stories &amp; Use Cases</w:t>
      </w:r>
    </w:p>
    <w:p>
      <w:pPr>
        <w:spacing w:after="20"/>
        <w:ind w:left="567"/>
      </w:pPr>
      <w:r>
        <w:rPr>
          <w:rFonts w:ascii="Calibri" w:hAnsi="Calibri"/>
          <w:color w:val="37474F"/>
          <w:sz w:val="21"/>
        </w:rPr>
        <w:t>2.3 Functional Requirements</w:t>
      </w:r>
    </w:p>
    <w:p>
      <w:pPr>
        <w:spacing w:after="20"/>
        <w:ind w:left="567"/>
      </w:pPr>
      <w:r>
        <w:rPr>
          <w:rFonts w:ascii="Calibri" w:hAnsi="Calibri"/>
          <w:color w:val="37474F"/>
          <w:sz w:val="21"/>
        </w:rPr>
        <w:t>2.4 Non-Functional Requirements</w:t>
      </w:r>
    </w:p>
    <w:p>
      <w:pPr>
        <w:spacing w:after="20" w:before="160"/>
      </w:pPr>
      <w:r>
        <w:rPr>
          <w:rFonts w:ascii="Calibri" w:hAnsi="Calibri"/>
          <w:b/>
          <w:color w:val="0A2F5C"/>
          <w:sz w:val="24"/>
        </w:rPr>
        <w:t>3. System Analysis &amp; Design</w:t>
      </w:r>
    </w:p>
    <w:p>
      <w:pPr>
        <w:spacing w:after="20"/>
        <w:ind w:left="567"/>
      </w:pPr>
      <w:r>
        <w:rPr>
          <w:rFonts w:ascii="Calibri" w:hAnsi="Calibri"/>
          <w:color w:val="37474F"/>
          <w:sz w:val="21"/>
        </w:rPr>
        <w:t>3.1 Problem Statement &amp; Architecture</w:t>
      </w:r>
    </w:p>
    <w:p>
      <w:pPr>
        <w:spacing w:after="20"/>
        <w:ind w:left="567"/>
      </w:pPr>
      <w:r>
        <w:rPr>
          <w:rFonts w:ascii="Calibri" w:hAnsi="Calibri"/>
          <w:color w:val="37474F"/>
          <w:sz w:val="21"/>
        </w:rPr>
        <w:t>3.2 Database Design &amp; ER Diagram</w:t>
      </w:r>
    </w:p>
    <w:p>
      <w:pPr>
        <w:spacing w:after="20"/>
        <w:ind w:left="567"/>
      </w:pPr>
      <w:r>
        <w:rPr>
          <w:rFonts w:ascii="Calibri" w:hAnsi="Calibri"/>
          <w:color w:val="37474F"/>
          <w:sz w:val="21"/>
        </w:rPr>
        <w:t>3.3 Data Flow &amp; System Behavior</w:t>
      </w:r>
    </w:p>
    <w:p>
      <w:pPr>
        <w:spacing w:after="20" w:before="160"/>
      </w:pPr>
      <w:r>
        <w:rPr>
          <w:rFonts w:ascii="Calibri" w:hAnsi="Calibri"/>
          <w:b/>
          <w:color w:val="0A2F5C"/>
          <w:sz w:val="24"/>
        </w:rPr>
        <w:t>4. Implementation &amp; Version Control</w:t>
      </w:r>
    </w:p>
    <w:p>
      <w:pPr>
        <w:spacing w:after="20"/>
        <w:ind w:left="567"/>
      </w:pPr>
      <w:r>
        <w:rPr>
          <w:rFonts w:ascii="Calibri" w:hAnsi="Calibri"/>
          <w:color w:val="37474F"/>
          <w:sz w:val="21"/>
        </w:rPr>
        <w:t>4.1 Coding Standards</w:t>
      </w:r>
    </w:p>
    <w:p>
      <w:pPr>
        <w:spacing w:after="20"/>
        <w:ind w:left="567"/>
      </w:pPr>
      <w:r>
        <w:rPr>
          <w:rFonts w:ascii="Calibri" w:hAnsi="Calibri"/>
          <w:color w:val="37474F"/>
          <w:sz w:val="21"/>
        </w:rPr>
        <w:t>4.2 Modular Code &amp; Reusability</w:t>
      </w:r>
    </w:p>
    <w:p>
      <w:pPr>
        <w:spacing w:after="20"/>
        <w:ind w:left="567"/>
      </w:pPr>
      <w:r>
        <w:rPr>
          <w:rFonts w:ascii="Calibri" w:hAnsi="Calibri"/>
          <w:color w:val="37474F"/>
          <w:sz w:val="21"/>
        </w:rPr>
        <w:t>4.3 Security &amp; Error Handling</w:t>
      </w:r>
    </w:p>
    <w:p>
      <w:pPr>
        <w:spacing w:after="20"/>
        <w:ind w:left="567"/>
      </w:pPr>
      <w:r>
        <w:rPr>
          <w:rFonts w:ascii="Calibri" w:hAnsi="Calibri"/>
          <w:color w:val="37474F"/>
          <w:sz w:val="21"/>
        </w:rPr>
        <w:t>4.4 Version Control Strategy</w:t>
      </w:r>
    </w:p>
    <w:p>
      <w:pPr>
        <w:spacing w:after="20" w:before="160"/>
      </w:pPr>
      <w:r>
        <w:rPr>
          <w:rFonts w:ascii="Calibri" w:hAnsi="Calibri"/>
          <w:b/>
          <w:color w:val="0A2F5C"/>
          <w:sz w:val="24"/>
        </w:rPr>
        <w:t>5. Testing &amp; Quality Assurance</w:t>
      </w:r>
    </w:p>
    <w:p>
      <w:pPr>
        <w:spacing w:after="20"/>
        <w:ind w:left="567"/>
      </w:pPr>
      <w:r>
        <w:rPr>
          <w:rFonts w:ascii="Calibri" w:hAnsi="Calibri"/>
          <w:color w:val="37474F"/>
          <w:sz w:val="21"/>
        </w:rPr>
        <w:t>5.1 Test Plan &amp; Test Scenarios</w:t>
      </w:r>
    </w:p>
    <w:p>
      <w:pPr>
        <w:spacing w:after="20"/>
        <w:ind w:left="567"/>
      </w:pPr>
      <w:r>
        <w:rPr>
          <w:rFonts w:ascii="Calibri" w:hAnsi="Calibri"/>
          <w:color w:val="37474F"/>
          <w:sz w:val="21"/>
        </w:rPr>
        <w:t>5.2 Automated Testing</w:t>
      </w:r>
    </w:p>
    <w:p>
      <w:pPr>
        <w:spacing w:after="20"/>
        <w:ind w:left="567"/>
      </w:pPr>
      <w:r>
        <w:rPr>
          <w:rFonts w:ascii="Calibri" w:hAnsi="Calibri"/>
          <w:color w:val="37474F"/>
          <w:sz w:val="21"/>
        </w:rPr>
        <w:t>5.3 Bug Reports &amp; Resolutions</w:t>
      </w:r>
    </w:p>
    <w:p>
      <w:pPr>
        <w:spacing w:after="20" w:before="160"/>
      </w:pPr>
      <w:r>
        <w:rPr>
          <w:rFonts w:ascii="Calibri" w:hAnsi="Calibri"/>
          <w:b/>
          <w:color w:val="0A2F5C"/>
          <w:sz w:val="24"/>
        </w:rPr>
        <w:t>6. User Manual &amp; Deployment Guide</w:t>
      </w:r>
    </w:p>
    <w:p>
      <w:pPr>
        <w:spacing w:after="20"/>
        <w:ind w:left="567"/>
      </w:pPr>
      <w:r>
        <w:rPr>
          <w:rFonts w:ascii="Calibri" w:hAnsi="Calibri"/>
          <w:color w:val="37474F"/>
          <w:sz w:val="21"/>
        </w:rPr>
        <w:t>6.1 System Requirements</w:t>
      </w:r>
    </w:p>
    <w:p>
      <w:pPr>
        <w:spacing w:after="20"/>
        <w:ind w:left="567"/>
      </w:pPr>
      <w:r>
        <w:rPr>
          <w:rFonts w:ascii="Calibri" w:hAnsi="Calibri"/>
          <w:color w:val="37474F"/>
          <w:sz w:val="21"/>
        </w:rPr>
        <w:t>6.2 Installation Steps</w:t>
      </w:r>
    </w:p>
    <w:p>
      <w:pPr>
        <w:spacing w:after="20"/>
        <w:ind w:left="567"/>
      </w:pPr>
      <w:r>
        <w:rPr>
          <w:rFonts w:ascii="Calibri" w:hAnsi="Calibri"/>
          <w:color w:val="37474F"/>
          <w:sz w:val="21"/>
        </w:rPr>
        <w:t>6.3 Execution Guide</w:t>
      </w:r>
    </w:p>
    <w:p>
      <w:pPr>
        <w:spacing w:after="20"/>
        <w:ind w:left="567"/>
      </w:pPr>
      <w:r>
        <w:rPr>
          <w:rFonts w:ascii="Calibri" w:hAnsi="Calibri"/>
          <w:color w:val="37474F"/>
          <w:sz w:val="21"/>
        </w:rPr>
        <w:t>6.4 End User Manual</w:t>
      </w:r>
    </w:p>
    <w:p>
      <w:pPr>
        <w:spacing w:after="20"/>
        <w:ind w:left="567"/>
      </w:pPr>
      <w:r>
        <w:rPr>
          <w:rFonts w:ascii="Calibri" w:hAnsi="Calibri"/>
          <w:color w:val="37474F"/>
          <w:sz w:val="21"/>
        </w:rPr>
        <w:t>6.5 Database Initialization</w:t>
      </w:r>
    </w:p>
    <w:p>
      <w:r>
        <w:br w:type="page"/>
      </w:r>
    </w:p>
    <w:p>
      <w:pPr>
        <w:pStyle w:val="Heading1"/>
      </w:pPr>
      <w:r>
        <w:t>1. Project Planning &amp; Management</w:t>
      </w:r>
    </w:p>
    <w:p>
      <w:pPr>
        <w:spacing w:before="120" w:after="120"/>
        <w:pBdr>
          <w:bottom w:val="single" w:sz="4" w:space="1" w:color="DEE2E6"/>
        </w:pBdr>
      </w:pPr>
    </w:p>
    <w:p>
      <w:pPr>
        <w:spacing w:after="200"/>
      </w:pPr>
      <w:r>
        <w:rPr>
          <w:rFonts w:ascii="Calibri" w:hAnsi="Calibri"/>
          <w:i/>
          <w:color w:val="37474F"/>
          <w:sz w:val="22"/>
        </w:rPr>
        <w:t>This section covers the project proposal, implementation timeline, team structure, risk management, and success metrics.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single" w:sz="8" w:space="0" w:color="FFFFF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fill="0A2F5C"/>
          </w:tcPr>
          <w:p>
            <w:pPr>
              <w:spacing w:before="20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40"/>
              </w:rPr>
              <w:t>11,639</w:t>
            </w:r>
          </w:p>
        </w:tc>
        <w:tc>
          <w:tcPr>
            <w:tcW w:type="dxa" w:w="2436"/>
            <w:vAlign w:val="center"/>
            <w:shd w:fill="0D7377"/>
          </w:tcPr>
          <w:p>
            <w:pPr>
              <w:spacing w:before="20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40"/>
              </w:rPr>
              <w:t>81.65%</w:t>
            </w:r>
          </w:p>
        </w:tc>
        <w:tc>
          <w:tcPr>
            <w:tcW w:type="dxa" w:w="2436"/>
            <w:vAlign w:val="center"/>
            <w:shd w:fill="1565C0"/>
          </w:tcPr>
          <w:p>
            <w:pPr>
              <w:spacing w:before="20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40"/>
              </w:rPr>
              <w:t>$268</w:t>
            </w:r>
          </w:p>
        </w:tc>
        <w:tc>
          <w:tcPr>
            <w:tcW w:type="dxa" w:w="2436"/>
            <w:vAlign w:val="center"/>
            <w:shd w:fill="6A1B9A"/>
          </w:tcPr>
          <w:p>
            <w:pPr>
              <w:spacing w:before="200" w:after="4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40"/>
              </w:rPr>
              <w:t>&lt;0.3s</w:t>
            </w:r>
          </w:p>
        </w:tc>
      </w:tr>
      <w:tr>
        <w:tc>
          <w:tcPr>
            <w:tcW w:type="dxa" w:w="2436"/>
            <w:vAlign w:val="center"/>
            <w:shd w:fill="0A2F5C"/>
          </w:tcPr>
          <w:p>
            <w:pPr>
              <w:spacing w:before="40" w:after="200"/>
              <w:jc w:val="center"/>
            </w:pPr>
            <w:r/>
            <w:r>
              <w:rPr>
                <w:rFonts w:ascii="Calibri" w:hAnsi="Calibri"/>
                <w:color w:val="CCDDEE"/>
                <w:sz w:val="18"/>
              </w:rPr>
              <w:t>Buildings Analyzed</w:t>
            </w:r>
          </w:p>
        </w:tc>
        <w:tc>
          <w:tcPr>
            <w:tcW w:type="dxa" w:w="2436"/>
            <w:vAlign w:val="center"/>
            <w:shd w:fill="0D7377"/>
          </w:tcPr>
          <w:p>
            <w:pPr>
              <w:spacing w:before="40" w:after="200"/>
              <w:jc w:val="center"/>
            </w:pPr>
            <w:r/>
            <w:r>
              <w:rPr>
                <w:rFonts w:ascii="Calibri" w:hAnsi="Calibri"/>
                <w:color w:val="CCDDEE"/>
                <w:sz w:val="18"/>
              </w:rPr>
              <w:t>Model Accuracy (R2)</w:t>
            </w:r>
          </w:p>
        </w:tc>
        <w:tc>
          <w:tcPr>
            <w:tcW w:type="dxa" w:w="2436"/>
            <w:vAlign w:val="center"/>
            <w:shd w:fill="1565C0"/>
          </w:tcPr>
          <w:p>
            <w:pPr>
              <w:spacing w:before="40" w:after="200"/>
              <w:jc w:val="center"/>
            </w:pPr>
            <w:r/>
            <w:r>
              <w:rPr>
                <w:rFonts w:ascii="Calibri" w:hAnsi="Calibri"/>
                <w:color w:val="CCDDEE"/>
                <w:sz w:val="18"/>
              </w:rPr>
              <w:t>Penalty Rate ($/MT)</w:t>
            </w:r>
          </w:p>
        </w:tc>
        <w:tc>
          <w:tcPr>
            <w:tcW w:type="dxa" w:w="2436"/>
            <w:vAlign w:val="center"/>
            <w:shd w:fill="6A1B9A"/>
          </w:tcPr>
          <w:p>
            <w:pPr>
              <w:spacing w:before="40" w:after="200"/>
              <w:jc w:val="center"/>
            </w:pPr>
            <w:r/>
            <w:r>
              <w:rPr>
                <w:rFonts w:ascii="Calibri" w:hAnsi="Calibri"/>
                <w:color w:val="CCDDEE"/>
                <w:sz w:val="18"/>
              </w:rPr>
              <w:t>Response Time</w:t>
            </w:r>
          </w:p>
        </w:tc>
      </w:tr>
    </w:tbl>
    <w:p/>
    <w:p>
      <w:pPr>
        <w:pStyle w:val="Heading2"/>
      </w:pPr>
      <w:r>
        <w:t>1.1 Project Proposal</w:t>
      </w:r>
    </w:p>
    <w:p>
      <w:pPr>
        <w:pStyle w:val="Heading3"/>
      </w:pPr>
      <w:r>
        <w:t>Executive Summary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fill="E8F4FD"/>
            <w:tcBorders>
              <w:left w:val="single" w:sz="24" w:space="0" w:color="0A2F5C"/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80"/>
            </w:pPr>
            <w:r/>
            <w:r>
              <w:rPr>
                <w:rFonts w:ascii="Calibri" w:hAnsi="Calibri"/>
                <w:b/>
                <w:color w:val="0A2F5C"/>
                <w:sz w:val="22"/>
              </w:rPr>
              <w:t>🏛️  About Local Law 97</w:t>
            </w:r>
          </w:p>
          <w:p>
            <w:pPr>
              <w:spacing w:after="160"/>
            </w:pPr>
            <w:r>
              <w:rPr>
                <w:rFonts w:ascii="Calibri" w:hAnsi="Calibri"/>
                <w:color w:val="333333"/>
                <w:sz w:val="20"/>
              </w:rPr>
              <w:t>NYC's Local Law 97 (LL97) imposes strict carbon emission limits on buildings over 25,000 sq. ft. starting in 2024. Property owners exceeding their statutory carbon thresholds face annual penalties of $268 per metric ton of CO2e. These fines can amount to millions of dollars annually.</w:t>
            </w:r>
          </w:p>
        </w:tc>
      </w:tr>
    </w:tbl>
    <w:p/>
    <w:p>
      <w:pPr>
        <w:spacing w:line="288" w:lineRule="auto"/>
      </w:pPr>
      <w:r>
        <w:rPr>
          <w:rFonts w:ascii="Calibri" w:hAnsi="Calibri"/>
          <w:sz w:val="22"/>
        </w:rPr>
        <w:t>The Carbon Heist Mitigation Platform is an end-to-end data engineering, machine learning, and interactive financial decision-support system. It transforms raw municipal energy disclosure records into actionable engineering retrofits, strategic capital expenditure (CAPEX) modeling, and accurate emissions forecasting.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2" w:space="0" w:color="DEE2E6"/>
          <w:insideV w:val="single" w:sz="2" w:space="0" w:color="DEE2E6"/>
        </w:tblBorders>
      </w:tblPr>
      <w:tblGrid>
        <w:gridCol w:w="4873"/>
        <w:gridCol w:w="4873"/>
      </w:tblGrid>
      <w:tr>
        <w:tc>
          <w:tcPr>
            <w:tcW w:type="dxa" w:w="2268"/>
            <w:vAlign w:val="center"/>
            <w:shd w:fill="0A2F5C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7370"/>
            <w:vAlign w:val="center"/>
            <w:shd w:fill="0A2F5C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Project Name</w:t>
            </w:r>
          </w:p>
        </w:tc>
        <w:tc>
          <w:tcPr>
            <w:tcW w:type="dxa" w:w="7370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Carbon Heist Mitigation &amp; NYC LL97 Decarbonization Intelligence Platform</w:t>
            </w:r>
          </w:p>
        </w:tc>
      </w:tr>
      <w:tr>
        <w:tc>
          <w:tcPr>
            <w:tcW w:type="dxa" w:w="2268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Domain</w:t>
            </w:r>
          </w:p>
        </w:tc>
        <w:tc>
          <w:tcPr>
            <w:tcW w:type="dxa" w:w="7370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Urban Sustainability, Data Science, Machine Learning &amp; Financial Risk Modeling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Target Dataset</w:t>
            </w:r>
          </w:p>
        </w:tc>
        <w:tc>
          <w:tcPr>
            <w:tcW w:type="dxa" w:w="7370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NYC Local Law 84 (LL84 Benchmarking) &amp; Local Law 97 (LL97 Carbon Limits)</w:t>
            </w:r>
          </w:p>
        </w:tc>
      </w:tr>
      <w:tr>
        <w:tc>
          <w:tcPr>
            <w:tcW w:type="dxa" w:w="2268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Core Formula</w:t>
            </w:r>
          </w:p>
        </w:tc>
        <w:tc>
          <w:tcPr>
            <w:tcW w:type="dxa" w:w="7370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Penalty = Total Emissions x 268</w:t>
            </w:r>
          </w:p>
        </w:tc>
      </w:tr>
    </w:tbl>
    <w:p/>
    <w:p>
      <w:pPr>
        <w:pStyle w:val="Heading3"/>
      </w:pPr>
      <w:r>
        <w:t>Objectives</w:t>
      </w:r>
    </w:p>
    <w:p>
      <w:pPr>
        <w:pStyle w:val="ListBullet"/>
        <w:spacing w:after="60"/>
        <w:ind w:left="720"/>
      </w:pPr>
      <w:r>
        <w:rPr>
          <w:rFonts w:ascii="Calibri" w:hAnsi="Calibri"/>
          <w:b/>
          <w:color w:val="0A2F5C"/>
          <w:sz w:val="22"/>
        </w:rPr>
        <w:t xml:space="preserve">1. Automated Data Pipeline: </w:t>
      </w:r>
      <w:r>
        <w:rPr>
          <w:rFonts w:ascii="Calibri" w:hAnsi="Calibri"/>
          <w:sz w:val="22"/>
        </w:rPr>
        <w:t>Build a robust ETL pipeline ingesting raw NYC LL84 datasets (11,000+ properties, 240+ variables) with automated address standardization and anomaly detection.</w:t>
      </w:r>
    </w:p>
    <w:p>
      <w:pPr>
        <w:pStyle w:val="ListBullet"/>
        <w:spacing w:after="60"/>
        <w:ind w:left="720"/>
      </w:pPr>
      <w:r>
        <w:rPr>
          <w:rFonts w:ascii="Calibri" w:hAnsi="Calibri"/>
          <w:b/>
          <w:color w:val="0A2F5C"/>
          <w:sz w:val="22"/>
        </w:rPr>
        <w:t xml:space="preserve">2. Predictive Carbon AI Engine: </w:t>
      </w:r>
      <w:r>
        <w:rPr>
          <w:rFonts w:ascii="Calibri" w:hAnsi="Calibri"/>
          <w:sz w:val="22"/>
        </w:rPr>
        <w:t>Train a Random Forest ML Regression model (R2 = 81.6%) to forecast building GHG emissions and carbon liability intensity ($/sq. ft.).</w:t>
      </w:r>
    </w:p>
    <w:p>
      <w:pPr>
        <w:pStyle w:val="ListBullet"/>
        <w:spacing w:after="60"/>
        <w:ind w:left="720"/>
      </w:pPr>
      <w:r>
        <w:rPr>
          <w:rFonts w:ascii="Calibri" w:hAnsi="Calibri"/>
          <w:b/>
          <w:color w:val="0A2F5C"/>
          <w:sz w:val="22"/>
        </w:rPr>
        <w:t xml:space="preserve">3. Database Standardization: </w:t>
      </w:r>
      <w:r>
        <w:rPr>
          <w:rFonts w:ascii="Calibri" w:hAnsi="Calibri"/>
          <w:sz w:val="22"/>
        </w:rPr>
        <w:t>Design normalized relational schemas (MySQL/PostgreSQL and Microsoft SQL Server T-SQL) for physical asset metadata and emission facts.</w:t>
      </w:r>
    </w:p>
    <w:p>
      <w:pPr>
        <w:pStyle w:val="ListBullet"/>
        <w:spacing w:after="60"/>
        <w:ind w:left="720"/>
      </w:pPr>
      <w:r>
        <w:rPr>
          <w:rFonts w:ascii="Calibri" w:hAnsi="Calibri"/>
          <w:b/>
          <w:color w:val="0A2F5C"/>
          <w:sz w:val="22"/>
        </w:rPr>
        <w:t xml:space="preserve">4. Executive Decision Dashboard: </w:t>
      </w:r>
      <w:r>
        <w:rPr>
          <w:rFonts w:ascii="Calibri" w:hAnsi="Calibri"/>
          <w:sz w:val="22"/>
        </w:rPr>
        <w:t>Provide real-time UI/UX via Streamlit and Plotly to simulate decarbonization playbooks and evaluate payback horizons.</w:t>
      </w:r>
    </w:p>
    <w:p>
      <w:pPr>
        <w:pStyle w:val="Heading3"/>
      </w:pPr>
      <w:r>
        <w:t>Project Scope</w:t>
      </w:r>
    </w:p>
    <w:p>
      <w:pPr>
        <w:spacing w:line="288" w:lineRule="auto"/>
      </w:pPr>
      <w:r>
        <w:rPr>
          <w:rFonts w:ascii="Calibri" w:hAnsi="Calibri"/>
          <w:sz w:val="22"/>
        </w:rPr>
        <w:t>In-Scope:</w:t>
      </w:r>
    </w:p>
    <w:p>
      <w:pPr>
        <w:pStyle w:val="ListBullet"/>
        <w:spacing w:after="60"/>
        <w:ind w:left="720"/>
      </w:pPr>
      <w:r/>
      <w:r>
        <w:rPr>
          <w:rFonts w:ascii="Calibri" w:hAnsi="Calibri"/>
          <w:sz w:val="22"/>
        </w:rPr>
        <w:t>Automated cleaning and anomaly detection on NYC Open Data (LL84/LL97).</w:t>
      </w:r>
    </w:p>
    <w:p>
      <w:pPr>
        <w:pStyle w:val="ListBullet"/>
        <w:spacing w:after="60"/>
        <w:ind w:left="720"/>
      </w:pPr>
      <w:r/>
      <w:r>
        <w:rPr>
          <w:rFonts w:ascii="Calibri" w:hAnsi="Calibri"/>
          <w:sz w:val="22"/>
        </w:rPr>
        <w:t>Machine learning regression modeling for emission baseline forecasting.</w:t>
      </w:r>
    </w:p>
    <w:p>
      <w:pPr>
        <w:pStyle w:val="ListBullet"/>
        <w:spacing w:after="60"/>
        <w:ind w:left="720"/>
      </w:pPr>
      <w:r/>
      <w:r>
        <w:rPr>
          <w:rFonts w:ascii="Calibri" w:hAnsi="Calibri"/>
          <w:sz w:val="22"/>
        </w:rPr>
        <w:t>Interactive web dashboard (app.py) for property owners and sustainability officers.</w:t>
      </w:r>
    </w:p>
    <w:p>
      <w:pPr>
        <w:pStyle w:val="ListBullet"/>
        <w:spacing w:after="60"/>
        <w:ind w:left="720"/>
      </w:pPr>
      <w:r/>
      <w:r>
        <w:rPr>
          <w:rFonts w:ascii="Calibri" w:hAnsi="Calibri"/>
          <w:sz w:val="22"/>
        </w:rPr>
        <w:t>Multi-engine SQL relational database schemas (MySQL &amp; MSSQL).</w:t>
      </w:r>
    </w:p>
    <w:p>
      <w:pPr>
        <w:spacing w:line="288" w:lineRule="auto"/>
      </w:pPr>
      <w:r>
        <w:rPr>
          <w:rFonts w:ascii="Calibri" w:hAnsi="Calibri"/>
          <w:sz w:val="22"/>
        </w:rPr>
        <w:t>Out-of-Scope:</w:t>
      </w:r>
    </w:p>
    <w:p>
      <w:pPr>
        <w:pStyle w:val="ListBullet"/>
        <w:spacing w:after="60"/>
        <w:ind w:left="720"/>
      </w:pPr>
      <w:r/>
      <w:r>
        <w:rPr>
          <w:rFonts w:ascii="Calibri" w:hAnsi="Calibri"/>
          <w:sz w:val="22"/>
        </w:rPr>
        <w:t>Real-time IoT hardware sensor integration inside individual buildings.</w:t>
      </w:r>
    </w:p>
    <w:p>
      <w:pPr>
        <w:pStyle w:val="ListBullet"/>
        <w:spacing w:after="60"/>
        <w:ind w:left="720"/>
      </w:pPr>
      <w:r/>
      <w:r>
        <w:rPr>
          <w:rFonts w:ascii="Calibri" w:hAnsi="Calibri"/>
          <w:sz w:val="22"/>
        </w:rPr>
        <w:t>Automated legal filing or municipal penalty dispute generation with NYC DOB.</w:t>
      </w:r>
    </w:p>
    <w:p>
      <w:pPr>
        <w:spacing w:before="120" w:after="120"/>
        <w:pBdr>
          <w:bottom w:val="single" w:sz="4" w:space="1" w:color="DEE2E6"/>
        </w:pBdr>
      </w:pPr>
    </w:p>
    <w:p>
      <w:pPr>
        <w:pStyle w:val="Heading2"/>
      </w:pPr>
      <w:r>
        <w:t>1.2 Project Plan &amp; Timeline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2" w:space="0" w:color="DEE2E6"/>
          <w:insideV w:val="single" w:sz="2" w:space="0" w:color="DEE2E6"/>
        </w:tblBorders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84"/>
            <w:vAlign w:val="center"/>
            <w:shd w:fill="0D7377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Phase</w:t>
            </w:r>
          </w:p>
        </w:tc>
        <w:tc>
          <w:tcPr>
            <w:tcW w:type="dxa" w:w="3118"/>
            <w:vAlign w:val="center"/>
            <w:shd w:fill="0D7377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Key Deliverable</w:t>
            </w:r>
          </w:p>
        </w:tc>
        <w:tc>
          <w:tcPr>
            <w:tcW w:type="dxa" w:w="1417"/>
            <w:vAlign w:val="center"/>
            <w:shd w:fill="0D7377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Start</w:t>
            </w:r>
          </w:p>
        </w:tc>
        <w:tc>
          <w:tcPr>
            <w:tcW w:type="dxa" w:w="1417"/>
            <w:vAlign w:val="center"/>
            <w:shd w:fill="0D7377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End</w:t>
            </w:r>
          </w:p>
        </w:tc>
        <w:tc>
          <w:tcPr>
            <w:tcW w:type="dxa" w:w="1134"/>
            <w:vAlign w:val="center"/>
            <w:shd w:fill="0D7377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Phase 1: Architecture</w:t>
            </w:r>
          </w:p>
        </w:tc>
        <w:tc>
          <w:tcPr>
            <w:tcW w:type="dxa" w:w="3118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Requirements &amp; Scope Analysis</w:t>
            </w:r>
          </w:p>
        </w:tc>
        <w:tc>
          <w:tcPr>
            <w:tcW w:type="dxa" w:w="1417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May 12</w:t>
            </w:r>
          </w:p>
        </w:tc>
        <w:tc>
          <w:tcPr>
            <w:tcW w:type="dxa" w:w="1417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May 18</w:t>
            </w:r>
          </w:p>
        </w:tc>
        <w:tc>
          <w:tcPr>
            <w:tcW w:type="dxa" w:w="113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7 Days</w:t>
            </w:r>
          </w:p>
        </w:tc>
      </w:tr>
      <w:tr>
        <w:tc>
          <w:tcPr>
            <w:tcW w:type="dxa" w:w="1984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</w:r>
          </w:p>
        </w:tc>
        <w:tc>
          <w:tcPr>
            <w:tcW w:type="dxa" w:w="3118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Database Schema &amp; ERD Design</w:t>
            </w:r>
          </w:p>
        </w:tc>
        <w:tc>
          <w:tcPr>
            <w:tcW w:type="dxa" w:w="1417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May 19</w:t>
            </w:r>
          </w:p>
        </w:tc>
        <w:tc>
          <w:tcPr>
            <w:tcW w:type="dxa" w:w="1417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May 25</w:t>
            </w:r>
          </w:p>
        </w:tc>
        <w:tc>
          <w:tcPr>
            <w:tcW w:type="dxa" w:w="1134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7 Days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Phase 2: Data Pipeline</w:t>
            </w:r>
          </w:p>
        </w:tc>
        <w:tc>
          <w:tcPr>
            <w:tcW w:type="dxa" w:w="3118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ETL Script &amp; Data Cleaning</w:t>
            </w:r>
          </w:p>
        </w:tc>
        <w:tc>
          <w:tcPr>
            <w:tcW w:type="dxa" w:w="1417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May 26</w:t>
            </w:r>
          </w:p>
        </w:tc>
        <w:tc>
          <w:tcPr>
            <w:tcW w:type="dxa" w:w="1417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Jun 05</w:t>
            </w:r>
          </w:p>
        </w:tc>
        <w:tc>
          <w:tcPr>
            <w:tcW w:type="dxa" w:w="113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10 Days</w:t>
            </w:r>
          </w:p>
        </w:tc>
      </w:tr>
      <w:tr>
        <w:tc>
          <w:tcPr>
            <w:tcW w:type="dxa" w:w="1984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</w:r>
          </w:p>
        </w:tc>
        <w:tc>
          <w:tcPr>
            <w:tcW w:type="dxa" w:w="3118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Audit Validation &amp; PDF Report</w:t>
            </w:r>
          </w:p>
        </w:tc>
        <w:tc>
          <w:tcPr>
            <w:tcW w:type="dxa" w:w="1417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Jun 06</w:t>
            </w:r>
          </w:p>
        </w:tc>
        <w:tc>
          <w:tcPr>
            <w:tcW w:type="dxa" w:w="1417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Jun 10</w:t>
            </w:r>
          </w:p>
        </w:tc>
        <w:tc>
          <w:tcPr>
            <w:tcW w:type="dxa" w:w="1134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5 Days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Phase 3: AI Modeling</w:t>
            </w:r>
          </w:p>
        </w:tc>
        <w:tc>
          <w:tcPr>
            <w:tcW w:type="dxa" w:w="3118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Feature Engineering &amp; Encoding</w:t>
            </w:r>
          </w:p>
        </w:tc>
        <w:tc>
          <w:tcPr>
            <w:tcW w:type="dxa" w:w="1417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Jun 11</w:t>
            </w:r>
          </w:p>
        </w:tc>
        <w:tc>
          <w:tcPr>
            <w:tcW w:type="dxa" w:w="1417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Jun 17</w:t>
            </w:r>
          </w:p>
        </w:tc>
        <w:tc>
          <w:tcPr>
            <w:tcW w:type="dxa" w:w="113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7 Days</w:t>
            </w:r>
          </w:p>
        </w:tc>
      </w:tr>
      <w:tr>
        <w:tc>
          <w:tcPr>
            <w:tcW w:type="dxa" w:w="1984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</w:r>
          </w:p>
        </w:tc>
        <w:tc>
          <w:tcPr>
            <w:tcW w:type="dxa" w:w="3118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Random Forest Training &amp; Tuning</w:t>
            </w:r>
          </w:p>
        </w:tc>
        <w:tc>
          <w:tcPr>
            <w:tcW w:type="dxa" w:w="1417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Jun 18</w:t>
            </w:r>
          </w:p>
        </w:tc>
        <w:tc>
          <w:tcPr>
            <w:tcW w:type="dxa" w:w="1417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Jun 24</w:t>
            </w:r>
          </w:p>
        </w:tc>
        <w:tc>
          <w:tcPr>
            <w:tcW w:type="dxa" w:w="1134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7 Days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Phase 4: Dashboard</w:t>
            </w:r>
          </w:p>
        </w:tc>
        <w:tc>
          <w:tcPr>
            <w:tcW w:type="dxa" w:w="3118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Streamlit UI Development</w:t>
            </w:r>
          </w:p>
        </w:tc>
        <w:tc>
          <w:tcPr>
            <w:tcW w:type="dxa" w:w="1417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Jun 25</w:t>
            </w:r>
          </w:p>
        </w:tc>
        <w:tc>
          <w:tcPr>
            <w:tcW w:type="dxa" w:w="1417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Jul 01</w:t>
            </w:r>
          </w:p>
        </w:tc>
        <w:tc>
          <w:tcPr>
            <w:tcW w:type="dxa" w:w="113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7 Days</w:t>
            </w:r>
          </w:p>
        </w:tc>
      </w:tr>
      <w:tr>
        <w:tc>
          <w:tcPr>
            <w:tcW w:type="dxa" w:w="1984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</w:r>
          </w:p>
        </w:tc>
        <w:tc>
          <w:tcPr>
            <w:tcW w:type="dxa" w:w="3118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Interactive Plotly Charts</w:t>
            </w:r>
          </w:p>
        </w:tc>
        <w:tc>
          <w:tcPr>
            <w:tcW w:type="dxa" w:w="1417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Jul 02</w:t>
            </w:r>
          </w:p>
        </w:tc>
        <w:tc>
          <w:tcPr>
            <w:tcW w:type="dxa" w:w="1417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Jul 06</w:t>
            </w:r>
          </w:p>
        </w:tc>
        <w:tc>
          <w:tcPr>
            <w:tcW w:type="dxa" w:w="1134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5 Days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Phase 5: Deployment</w:t>
            </w:r>
          </w:p>
        </w:tc>
        <w:tc>
          <w:tcPr>
            <w:tcW w:type="dxa" w:w="3118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QA Testing &amp; Documentation</w:t>
            </w:r>
          </w:p>
        </w:tc>
        <w:tc>
          <w:tcPr>
            <w:tcW w:type="dxa" w:w="1417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Jul 07</w:t>
            </w:r>
          </w:p>
        </w:tc>
        <w:tc>
          <w:tcPr>
            <w:tcW w:type="dxa" w:w="1417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Jul 11</w:t>
            </w:r>
          </w:p>
        </w:tc>
        <w:tc>
          <w:tcPr>
            <w:tcW w:type="dxa" w:w="113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5 Days</w:t>
            </w:r>
          </w:p>
        </w:tc>
      </w:tr>
    </w:tbl>
    <w:p/>
    <w:p>
      <w:pPr>
        <w:spacing w:before="120" w:after="120"/>
        <w:pBdr>
          <w:bottom w:val="single" w:sz="4" w:space="1" w:color="DEE2E6"/>
        </w:pBdr>
      </w:pPr>
    </w:p>
    <w:p>
      <w:pPr>
        <w:pStyle w:val="Heading2"/>
      </w:pPr>
      <w:r>
        <w:t>1.3 Task Assignment &amp; Roles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2" w:space="0" w:color="DEE2E6"/>
          <w:insideV w:val="single" w:sz="2" w:space="0" w:color="DEE2E6"/>
        </w:tblBorders>
      </w:tblPr>
      <w:tblGrid>
        <w:gridCol w:w="3249"/>
        <w:gridCol w:w="3249"/>
        <w:gridCol w:w="3249"/>
      </w:tblGrid>
      <w:tr>
        <w:tc>
          <w:tcPr>
            <w:tcW w:type="dxa" w:w="1984"/>
            <w:vAlign w:val="center"/>
            <w:shd w:fill="0A2F5C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Team Role</w:t>
            </w:r>
          </w:p>
        </w:tc>
        <w:tc>
          <w:tcPr>
            <w:tcW w:type="dxa" w:w="3969"/>
            <w:vAlign w:val="center"/>
            <w:shd w:fill="0A2F5C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Key Responsibilities</w:t>
            </w:r>
          </w:p>
        </w:tc>
        <w:tc>
          <w:tcPr>
            <w:tcW w:type="dxa" w:w="3685"/>
            <w:vAlign w:val="center"/>
            <w:shd w:fill="0A2F5C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Primary Deliverables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Lead Data Engineer</w:t>
            </w:r>
          </w:p>
        </w:tc>
        <w:tc>
          <w:tcPr>
            <w:tcW w:type="dxa" w:w="3969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Design and execute ETL pipeline; handle missing values, standardizations, and generate audit reports.</w:t>
            </w:r>
          </w:p>
        </w:tc>
        <w:tc>
          <w:tcPr>
            <w:tcW w:type="dxa" w:w="3685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Cleaned datasets, ETL scripts, Data Cleaning Report (PDF).</w:t>
            </w:r>
          </w:p>
        </w:tc>
      </w:tr>
      <w:tr>
        <w:tc>
          <w:tcPr>
            <w:tcW w:type="dxa" w:w="1984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Database Architect</w:t>
            </w:r>
          </w:p>
        </w:tc>
        <w:tc>
          <w:tcPr>
            <w:tcW w:type="dxa" w:w="3969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Develop relational database architecture, normalizations, DDL scripts, and ERD design.</w:t>
            </w:r>
          </w:p>
        </w:tc>
        <w:tc>
          <w:tcPr>
            <w:tcW w:type="dxa" w:w="3685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SQL DDL schemas (MySQL &amp; MSSQL), ERD diagram.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ML Engineer</w:t>
            </w:r>
          </w:p>
        </w:tc>
        <w:tc>
          <w:tcPr>
            <w:tcW w:type="dxa" w:w="3969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Build predictive models, train-test validation, feature evaluation, export serialized pipelines.</w:t>
            </w:r>
          </w:p>
        </w:tc>
        <w:tc>
          <w:tcPr>
            <w:tcW w:type="dxa" w:w="3685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Trained Random Forest (R2 = 81.6%), encoders (.joblib).</w:t>
            </w:r>
          </w:p>
        </w:tc>
      </w:tr>
      <w:tr>
        <w:tc>
          <w:tcPr>
            <w:tcW w:type="dxa" w:w="1984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UI/UX Engineer</w:t>
            </w:r>
          </w:p>
        </w:tc>
        <w:tc>
          <w:tcPr>
            <w:tcW w:type="dxa" w:w="3969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Develop Streamlit dashboard, KPI cards, Plotly charts, dark-mode design system.</w:t>
            </w:r>
          </w:p>
        </w:tc>
        <w:tc>
          <w:tcPr>
            <w:tcW w:type="dxa" w:w="3685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Interactive Web App, simulation dashboards.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ESG Specialist</w:t>
            </w:r>
          </w:p>
        </w:tc>
        <w:tc>
          <w:tcPr>
            <w:tcW w:type="dxa" w:w="3969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Structure engineering playbooks, calculate LL97 thresholds, design CAPEX models.</w:t>
            </w:r>
          </w:p>
        </w:tc>
        <w:tc>
          <w:tcPr>
            <w:tcW w:type="dxa" w:w="3685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13-sheet domain reference workbook.</w:t>
            </w:r>
          </w:p>
        </w:tc>
      </w:tr>
    </w:tbl>
    <w:p/>
    <w:p>
      <w:pPr>
        <w:spacing w:before="120" w:after="120"/>
        <w:pBdr>
          <w:bottom w:val="single" w:sz="4" w:space="1" w:color="DEE2E6"/>
        </w:pBdr>
      </w:pPr>
    </w:p>
    <w:p>
      <w:pPr>
        <w:pStyle w:val="Heading2"/>
      </w:pPr>
      <w:r>
        <w:t>1.4 Risk Assessment &amp; Mitigation Plan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2" w:space="0" w:color="DEE2E6"/>
          <w:insideV w:val="single" w:sz="2" w:space="0" w:color="DEE2E6"/>
        </w:tblBorders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567"/>
            <w:vAlign w:val="center"/>
            <w:shd w:fill="0A2F5C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2551"/>
            <w:vAlign w:val="center"/>
            <w:shd w:fill="0A2F5C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Risk Description</w:t>
            </w:r>
          </w:p>
        </w:tc>
        <w:tc>
          <w:tcPr>
            <w:tcW w:type="dxa" w:w="1134"/>
            <w:vAlign w:val="center"/>
            <w:shd w:fill="0A2F5C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Likelihood</w:t>
            </w:r>
          </w:p>
        </w:tc>
        <w:tc>
          <w:tcPr>
            <w:tcW w:type="dxa" w:w="850"/>
            <w:vAlign w:val="center"/>
            <w:shd w:fill="0A2F5C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Impact</w:t>
            </w:r>
          </w:p>
        </w:tc>
        <w:tc>
          <w:tcPr>
            <w:tcW w:type="dxa" w:w="4535"/>
            <w:vAlign w:val="center"/>
            <w:shd w:fill="0A2F5C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Mitigation Strategy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R-01</w:t>
            </w:r>
          </w:p>
        </w:tc>
        <w:tc>
          <w:tcPr>
            <w:tcW w:type="dxa" w:w="2551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Dirty Municipal Data with typos, misspellings, and extreme outliers.</w:t>
            </w:r>
          </w:p>
        </w:tc>
        <w:tc>
          <w:tcPr>
            <w:tcW w:type="dxa" w:w="1134"/>
            <w:vAlign w:val="center"/>
            <w:shd w:fill="F8D7DA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/>
                <w:color w:val="721C24"/>
                <w:sz w:val="19"/>
              </w:rPr>
              <w:t>High</w:t>
            </w:r>
          </w:p>
        </w:tc>
        <w:tc>
          <w:tcPr>
            <w:tcW w:type="dxa" w:w="850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High</w:t>
            </w:r>
          </w:p>
        </w:tc>
        <w:tc>
          <w:tcPr>
            <w:tcW w:type="dxa" w:w="4535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Multi-step cleaning with regex city normalization and outlier filtering (EUI &lt; 2000).</w:t>
            </w:r>
          </w:p>
        </w:tc>
      </w:tr>
      <w:tr>
        <w:tc>
          <w:tcPr>
            <w:tcW w:type="dxa" w:w="567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R-02</w:t>
            </w:r>
          </w:p>
        </w:tc>
        <w:tc>
          <w:tcPr>
            <w:tcW w:type="dxa" w:w="2551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Model Overfitting on noisy energy anomalies.</w:t>
            </w:r>
          </w:p>
        </w:tc>
        <w:tc>
          <w:tcPr>
            <w:tcW w:type="dxa" w:w="1134"/>
            <w:vAlign w:val="center"/>
            <w:shd w:fill="EDF4FA"/>
            <w:shd w:fill="FFF3CD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/>
                <w:color w:val="856A04"/>
                <w:sz w:val="19"/>
              </w:rPr>
              <w:t>Medium</w:t>
            </w:r>
          </w:p>
        </w:tc>
        <w:tc>
          <w:tcPr>
            <w:tcW w:type="dxa" w:w="850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High</w:t>
            </w:r>
          </w:p>
        </w:tc>
        <w:tc>
          <w:tcPr>
            <w:tcW w:type="dxa" w:w="4535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Controlled tree depth (max_depth=20, n_estimators=150) and 80/20 train/test split.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R-03</w:t>
            </w:r>
          </w:p>
        </w:tc>
        <w:tc>
          <w:tcPr>
            <w:tcW w:type="dxa" w:w="2551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SQL Dialect Incompatibility across enterprise stakeholders.</w:t>
            </w:r>
          </w:p>
        </w:tc>
        <w:tc>
          <w:tcPr>
            <w:tcW w:type="dxa" w:w="1134"/>
            <w:vAlign w:val="center"/>
            <w:shd w:fill="FFF3CD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/>
                <w:color w:val="856A04"/>
                <w:sz w:val="19"/>
              </w:rPr>
              <w:t>Medium</w:t>
            </w:r>
          </w:p>
        </w:tc>
        <w:tc>
          <w:tcPr>
            <w:tcW w:type="dxa" w:w="850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Medium</w:t>
            </w:r>
          </w:p>
        </w:tc>
        <w:tc>
          <w:tcPr>
            <w:tcW w:type="dxa" w:w="4535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Separate DDL files for MySQL and Microsoft SQL Server with strict syntax.</w:t>
            </w:r>
          </w:p>
        </w:tc>
      </w:tr>
      <w:tr>
        <w:tc>
          <w:tcPr>
            <w:tcW w:type="dxa" w:w="567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R-04</w:t>
            </w:r>
          </w:p>
        </w:tc>
        <w:tc>
          <w:tcPr>
            <w:tcW w:type="dxa" w:w="2551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Large File Upload Restrictions for serialized ML models (~70MB).</w:t>
            </w:r>
          </w:p>
        </w:tc>
        <w:tc>
          <w:tcPr>
            <w:tcW w:type="dxa" w:w="1134"/>
            <w:vAlign w:val="center"/>
            <w:shd w:fill="EDF4FA"/>
            <w:shd w:fill="F8D7DA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/>
                <w:color w:val="721C24"/>
                <w:sz w:val="19"/>
              </w:rPr>
              <w:t>High</w:t>
            </w:r>
          </w:p>
        </w:tc>
        <w:tc>
          <w:tcPr>
            <w:tcW w:type="dxa" w:w="850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Medium</w:t>
            </w:r>
          </w:p>
        </w:tc>
        <w:tc>
          <w:tcPr>
            <w:tcW w:type="dxa" w:w="4535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Configured Git buffer (524MB) and lightweight encoder serialization.</w:t>
            </w:r>
          </w:p>
        </w:tc>
      </w:tr>
    </w:tbl>
    <w:p/>
    <w:p>
      <w:pPr>
        <w:spacing w:before="120" w:after="120"/>
        <w:pBdr>
          <w:bottom w:val="single" w:sz="4" w:space="1" w:color="DEE2E6"/>
        </w:pBdr>
      </w:pPr>
    </w:p>
    <w:p>
      <w:pPr>
        <w:pStyle w:val="Heading2"/>
      </w:pPr>
      <w:r>
        <w:t>1.5 Key Performance Indicators (KPIs)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2" w:space="0" w:color="DEE2E6"/>
          <w:insideV w:val="single" w:sz="2" w:space="0" w:color="DEE2E6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1984"/>
            <w:vAlign w:val="center"/>
            <w:shd w:fill="0A2F5C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KPI Category</w:t>
            </w:r>
          </w:p>
        </w:tc>
        <w:tc>
          <w:tcPr>
            <w:tcW w:type="dxa" w:w="3118"/>
            <w:vAlign w:val="center"/>
            <w:shd w:fill="0A2F5C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Target</w:t>
            </w:r>
          </w:p>
        </w:tc>
        <w:tc>
          <w:tcPr>
            <w:tcW w:type="dxa" w:w="2835"/>
            <w:vAlign w:val="center"/>
            <w:shd w:fill="0A2F5C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Achieved Result</w:t>
            </w:r>
          </w:p>
        </w:tc>
        <w:tc>
          <w:tcPr>
            <w:tcW w:type="dxa" w:w="1134"/>
            <w:vAlign w:val="center"/>
            <w:shd w:fill="0A2F5C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ETL Data Retention</w:t>
            </w:r>
          </w:p>
        </w:tc>
        <w:tc>
          <w:tcPr>
            <w:tcW w:type="dxa" w:w="3118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Retain 100% of LL97 buildings (GFA &gt;= 50,000 sq.ft.) with 0% nulls.</w:t>
            </w:r>
          </w:p>
        </w:tc>
        <w:tc>
          <w:tcPr>
            <w:tcW w:type="dxa" w:w="2835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11,639 validated records with complete integrity.</w:t>
            </w:r>
          </w:p>
        </w:tc>
        <w:tc>
          <w:tcPr>
            <w:tcW w:type="dxa" w:w="1134"/>
            <w:vAlign w:val="center"/>
            <w:shd w:fill="D4EDDA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/>
                <w:color w:val="155724"/>
                <w:sz w:val="19"/>
              </w:rPr>
              <w:t>PASS</w:t>
            </w:r>
          </w:p>
        </w:tc>
      </w:tr>
      <w:tr>
        <w:tc>
          <w:tcPr>
            <w:tcW w:type="dxa" w:w="1984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ML Predictive Accuracy</w:t>
            </w:r>
          </w:p>
        </w:tc>
        <w:tc>
          <w:tcPr>
            <w:tcW w:type="dxa" w:w="3118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R2 &gt;= 0.75 and MAE &lt;= 250 MT CO2e.</w:t>
            </w:r>
          </w:p>
        </w:tc>
        <w:tc>
          <w:tcPr>
            <w:tcW w:type="dxa" w:w="2835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R2 = 81.65% and MAE = 212.99 MT CO2e.</w:t>
            </w:r>
          </w:p>
        </w:tc>
        <w:tc>
          <w:tcPr>
            <w:tcW w:type="dxa" w:w="1134"/>
            <w:vAlign w:val="center"/>
            <w:shd w:fill="EDF4FA"/>
            <w:shd w:fill="D4EDDA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/>
                <w:color w:val="155724"/>
                <w:sz w:val="19"/>
              </w:rPr>
              <w:t>PASS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Dashboard Response</w:t>
            </w:r>
          </w:p>
        </w:tc>
        <w:tc>
          <w:tcPr>
            <w:tcW w:type="dxa" w:w="3118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UI recalculation under 1.5 seconds.</w:t>
            </w:r>
          </w:p>
        </w:tc>
        <w:tc>
          <w:tcPr>
            <w:tcW w:type="dxa" w:w="2835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Sub-second (~0.3s) via Streamlit caching.</w:t>
            </w:r>
          </w:p>
        </w:tc>
        <w:tc>
          <w:tcPr>
            <w:tcW w:type="dxa" w:w="1134"/>
            <w:vAlign w:val="center"/>
            <w:shd w:fill="D4EDDA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/>
                <w:color w:val="155724"/>
                <w:sz w:val="19"/>
              </w:rPr>
              <w:t>PASS</w:t>
            </w:r>
          </w:p>
        </w:tc>
      </w:tr>
      <w:tr>
        <w:tc>
          <w:tcPr>
            <w:tcW w:type="dxa" w:w="1984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Regulatory Precision</w:t>
            </w:r>
          </w:p>
        </w:tc>
        <w:tc>
          <w:tcPr>
            <w:tcW w:type="dxa" w:w="3118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Exact match: Penalty = Total Emissions x 268.</w:t>
            </w:r>
          </w:p>
        </w:tc>
        <w:tc>
          <w:tcPr>
            <w:tcW w:type="dxa" w:w="2835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Verified across 13 engineering scenarios.</w:t>
            </w:r>
          </w:p>
        </w:tc>
        <w:tc>
          <w:tcPr>
            <w:tcW w:type="dxa" w:w="1134"/>
            <w:vAlign w:val="center"/>
            <w:shd w:fill="EDF4FA"/>
            <w:shd w:fill="D4EDDA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/>
                <w:color w:val="155724"/>
                <w:sz w:val="19"/>
              </w:rPr>
              <w:t>PASS</w:t>
            </w:r>
          </w:p>
        </w:tc>
      </w:tr>
    </w:tbl>
    <w:p/>
    <w:p>
      <w:r>
        <w:br w:type="page"/>
      </w:r>
    </w:p>
    <w:p>
      <w:pPr>
        <w:pStyle w:val="Heading1"/>
      </w:pPr>
      <w:r>
        <w:t>2. Requirements Gathering &amp; Stakeholder Analysis</w:t>
      </w:r>
    </w:p>
    <w:p>
      <w:pPr>
        <w:spacing w:before="120" w:after="120"/>
        <w:pBdr>
          <w:bottom w:val="single" w:sz="4" w:space="1" w:color="DEE2E6"/>
        </w:pBdr>
      </w:pPr>
    </w:p>
    <w:p>
      <w:pPr>
        <w:spacing w:after="200"/>
      </w:pPr>
      <w:r>
        <w:rPr>
          <w:rFonts w:ascii="Calibri" w:hAnsi="Calibri"/>
          <w:i/>
          <w:color w:val="37474F"/>
          <w:sz w:val="22"/>
        </w:rPr>
        <w:t>This section identifies key stakeholders, defines user stories and use cases, and specifies the functional and non-functional requirements of the system.</w:t>
      </w:r>
    </w:p>
    <w:p>
      <w:pPr>
        <w:pStyle w:val="Heading2"/>
      </w:pPr>
      <w:r>
        <w:t>2.1 Stakeholder Analysis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2" w:space="0" w:color="DEE2E6"/>
          <w:insideV w:val="single" w:sz="2" w:space="0" w:color="DEE2E6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1417"/>
            <w:vAlign w:val="center"/>
            <w:shd w:fill="0D7377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Stakeholder</w:t>
            </w:r>
          </w:p>
        </w:tc>
        <w:tc>
          <w:tcPr>
            <w:tcW w:type="dxa" w:w="2835"/>
            <w:vAlign w:val="center"/>
            <w:shd w:fill="0D7377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Role &amp; Interests</w:t>
            </w:r>
          </w:p>
        </w:tc>
        <w:tc>
          <w:tcPr>
            <w:tcW w:type="dxa" w:w="2551"/>
            <w:vAlign w:val="center"/>
            <w:shd w:fill="0D7377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Pain Points</w:t>
            </w:r>
          </w:p>
        </w:tc>
        <w:tc>
          <w:tcPr>
            <w:tcW w:type="dxa" w:w="2835"/>
            <w:vAlign w:val="center"/>
            <w:shd w:fill="0D7377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System Value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Asset Managers</w:t>
            </w:r>
          </w:p>
        </w:tc>
        <w:tc>
          <w:tcPr>
            <w:tcW w:type="dxa" w:w="2835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Oversee financial profitability and legal compliance of commercial portfolios.</w:t>
            </w:r>
          </w:p>
        </w:tc>
        <w:tc>
          <w:tcPr>
            <w:tcW w:type="dxa" w:w="2551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Unbudgeted LL97 fines eroding NOI; difficulty prioritizing buildings.</w:t>
            </w:r>
          </w:p>
        </w:tc>
        <w:tc>
          <w:tcPr>
            <w:tcW w:type="dxa" w:w="2835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Real-time carbon liability calculation ($/sq.ft.) and scenario modeling.</w:t>
            </w:r>
          </w:p>
        </w:tc>
      </w:tr>
      <w:tr>
        <w:tc>
          <w:tcPr>
            <w:tcW w:type="dxa" w:w="1417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ESG Officers</w:t>
            </w:r>
          </w:p>
        </w:tc>
        <w:tc>
          <w:tcPr>
            <w:tcW w:type="dxa" w:w="2835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Execute decarbonization strategies and track Energy Star metrics.</w:t>
            </w:r>
          </w:p>
        </w:tc>
        <w:tc>
          <w:tcPr>
            <w:tcW w:type="dxa" w:w="2551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Fragmented utility data; no predictive tools for emissions forecasting.</w:t>
            </w:r>
          </w:p>
        </w:tc>
        <w:tc>
          <w:tcPr>
            <w:tcW w:type="dxa" w:w="2835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Automated cleaning pipeline and peer benchmark comparisons.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MEP Engineers</w:t>
            </w:r>
          </w:p>
        </w:tc>
        <w:tc>
          <w:tcPr>
            <w:tcW w:type="dxa" w:w="2835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Manage HVAC, lighting, BMS, and mechanical retrofits.</w:t>
            </w:r>
          </w:p>
        </w:tc>
        <w:tc>
          <w:tcPr>
            <w:tcW w:type="dxa" w:w="2551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Cannot identify which system yields highest CO2 reduction per dollar.</w:t>
            </w:r>
          </w:p>
        </w:tc>
        <w:tc>
          <w:tcPr>
            <w:tcW w:type="dxa" w:w="2835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Engineering Playbooks with concrete ROI estimates.</w:t>
            </w:r>
          </w:p>
        </w:tc>
      </w:tr>
      <w:tr>
        <w:tc>
          <w:tcPr>
            <w:tcW w:type="dxa" w:w="1417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Regulators</w:t>
            </w:r>
          </w:p>
        </w:tc>
        <w:tc>
          <w:tcPr>
            <w:tcW w:type="dxa" w:w="2835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Monitor compliance with LL84 and LL97 enforcement.</w:t>
            </w:r>
          </w:p>
        </w:tc>
        <w:tc>
          <w:tcPr>
            <w:tcW w:type="dxa" w:w="2551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Inconsistent reports, data entry errors, missing meter data.</w:t>
            </w:r>
          </w:p>
        </w:tc>
        <w:tc>
          <w:tcPr>
            <w:tcW w:type="dxa" w:w="2835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Transparent audit reports (PDF) and standardized DB schemas.</w:t>
            </w:r>
          </w:p>
        </w:tc>
      </w:tr>
    </w:tbl>
    <w:p/>
    <w:p>
      <w:pPr>
        <w:spacing w:before="120" w:after="120"/>
        <w:pBdr>
          <w:bottom w:val="single" w:sz="4" w:space="1" w:color="DEE2E6"/>
        </w:pBdr>
      </w:pPr>
    </w:p>
    <w:p>
      <w:pPr>
        <w:pStyle w:val="Heading2"/>
      </w:pPr>
      <w:r>
        <w:t>2.2 User Stories &amp; Use Cases</w:t>
      </w:r>
    </w:p>
    <w:p>
      <w:pPr>
        <w:pStyle w:val="Heading3"/>
      </w:pPr>
      <w:r>
        <w:t>User Stories</w:t>
      </w:r>
    </w:p>
    <w:p>
      <w:pPr>
        <w:pStyle w:val="ListBullet"/>
        <w:spacing w:after="60"/>
        <w:ind w:left="720"/>
      </w:pPr>
      <w:r>
        <w:rPr>
          <w:rFonts w:ascii="Calibri" w:hAnsi="Calibri"/>
          <w:b/>
          <w:color w:val="0A2F5C"/>
          <w:sz w:val="22"/>
        </w:rPr>
        <w:t xml:space="preserve">US-01: </w:t>
      </w:r>
      <w:r>
        <w:rPr>
          <w:rFonts w:ascii="Calibri" w:hAnsi="Calibri"/>
          <w:sz w:val="22"/>
        </w:rPr>
        <w:t>As an Asset Manager, I want to input my building specs so I can instantly view my projected LL97 penalty.</w:t>
      </w:r>
    </w:p>
    <w:p>
      <w:pPr>
        <w:pStyle w:val="ListBullet"/>
        <w:spacing w:after="60"/>
        <w:ind w:left="720"/>
      </w:pPr>
      <w:r>
        <w:rPr>
          <w:rFonts w:ascii="Calibri" w:hAnsi="Calibri"/>
          <w:b/>
          <w:color w:val="0A2F5C"/>
          <w:sz w:val="22"/>
        </w:rPr>
        <w:t xml:space="preserve">US-02: </w:t>
      </w:r>
      <w:r>
        <w:rPr>
          <w:rFonts w:ascii="Calibri" w:hAnsi="Calibri"/>
          <w:sz w:val="22"/>
        </w:rPr>
        <w:t>As an ESG Officer, I want to compare my emissions intensity against peer averages to identify low-performing assets.</w:t>
      </w:r>
    </w:p>
    <w:p>
      <w:pPr>
        <w:pStyle w:val="ListBullet"/>
        <w:spacing w:after="60"/>
        <w:ind w:left="720"/>
      </w:pPr>
      <w:r>
        <w:rPr>
          <w:rFonts w:ascii="Calibri" w:hAnsi="Calibri"/>
          <w:b/>
          <w:color w:val="0A2F5C"/>
          <w:sz w:val="22"/>
        </w:rPr>
        <w:t xml:space="preserve">US-03: </w:t>
      </w:r>
      <w:r>
        <w:rPr>
          <w:rFonts w:ascii="Calibri" w:hAnsi="Calibri"/>
          <w:sz w:val="22"/>
        </w:rPr>
        <w:t>As a MEP Engineer, I want to simulate heating system upgrades to justify the CAPEX budget to leadership.</w:t>
      </w:r>
    </w:p>
    <w:p>
      <w:pPr>
        <w:pStyle w:val="ListBullet"/>
        <w:spacing w:after="60"/>
        <w:ind w:left="720"/>
      </w:pPr>
      <w:r>
        <w:rPr>
          <w:rFonts w:ascii="Calibri" w:hAnsi="Calibri"/>
          <w:b/>
          <w:color w:val="0A2F5C"/>
          <w:sz w:val="22"/>
        </w:rPr>
        <w:t xml:space="preserve">US-04: </w:t>
      </w:r>
      <w:r>
        <w:rPr>
          <w:rFonts w:ascii="Calibri" w:hAnsi="Calibri"/>
          <w:sz w:val="22"/>
        </w:rPr>
        <w:t>As a Data Analyst, I want an automated cleaning pipeline that removes invalid data for verified analysis.</w:t>
      </w:r>
    </w:p>
    <w:p>
      <w:pPr>
        <w:pStyle w:val="Heading3"/>
      </w:pPr>
      <w:r>
        <w:t>Use Case Table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2" w:space="0" w:color="DEE2E6"/>
          <w:insideV w:val="single" w:sz="2" w:space="0" w:color="DEE2E6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850"/>
            <w:vAlign w:val="center"/>
            <w:shd w:fill="0A2F5C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2268"/>
            <w:vAlign w:val="center"/>
            <w:shd w:fill="0A2F5C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Name</w:t>
            </w:r>
          </w:p>
        </w:tc>
        <w:tc>
          <w:tcPr>
            <w:tcW w:type="dxa" w:w="1701"/>
            <w:vAlign w:val="center"/>
            <w:shd w:fill="0A2F5C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Primary Actor</w:t>
            </w:r>
          </w:p>
        </w:tc>
        <w:tc>
          <w:tcPr>
            <w:tcW w:type="dxa" w:w="4819"/>
            <w:vAlign w:val="center"/>
            <w:shd w:fill="0A2F5C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UC-01</w:t>
            </w:r>
          </w:p>
        </w:tc>
        <w:tc>
          <w:tcPr>
            <w:tcW w:type="dxa" w:w="2268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Ingest &amp; Clean LL84 Data</w:t>
            </w:r>
          </w:p>
        </w:tc>
        <w:tc>
          <w:tcPr>
            <w:tcW w:type="dxa" w:w="1701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Data Engineer</w:t>
            </w:r>
          </w:p>
        </w:tc>
        <w:tc>
          <w:tcPr>
            <w:tcW w:type="dxa" w:w="4819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Automated ingestion applying 8-step cleaning and validation rules.</w:t>
            </w:r>
          </w:p>
        </w:tc>
      </w:tr>
      <w:tr>
        <w:tc>
          <w:tcPr>
            <w:tcW w:type="dxa" w:w="850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UC-02</w:t>
            </w:r>
          </w:p>
        </w:tc>
        <w:tc>
          <w:tcPr>
            <w:tcW w:type="dxa" w:w="2268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Predict Carbon Footprint</w:t>
            </w:r>
          </w:p>
        </w:tc>
        <w:tc>
          <w:tcPr>
            <w:tcW w:type="dxa" w:w="1701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ML Engine</w:t>
            </w:r>
          </w:p>
        </w:tc>
        <w:tc>
          <w:tcPr>
            <w:tcW w:type="dxa" w:w="4819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Predict annual GHG Emissions using trained Random Forest Regressor.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UC-03</w:t>
            </w:r>
          </w:p>
        </w:tc>
        <w:tc>
          <w:tcPr>
            <w:tcW w:type="dxa" w:w="2268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Simulate CAPEX Decarbonization</w:t>
            </w:r>
          </w:p>
        </w:tc>
        <w:tc>
          <w:tcPr>
            <w:tcW w:type="dxa" w:w="1701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Asset Manager</w:t>
            </w:r>
          </w:p>
        </w:tc>
        <w:tc>
          <w:tcPr>
            <w:tcW w:type="dxa" w:w="4819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Adjust sliders to calculate revised carbon penalty exposure.</w:t>
            </w:r>
          </w:p>
        </w:tc>
      </w:tr>
      <w:tr>
        <w:tc>
          <w:tcPr>
            <w:tcW w:type="dxa" w:w="850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UC-04</w:t>
            </w:r>
          </w:p>
        </w:tc>
        <w:tc>
          <w:tcPr>
            <w:tcW w:type="dxa" w:w="2268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Export ESG Report</w:t>
            </w:r>
          </w:p>
        </w:tc>
        <w:tc>
          <w:tcPr>
            <w:tcW w:type="dxa" w:w="1701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ESG Officer</w:t>
            </w:r>
          </w:p>
        </w:tc>
        <w:tc>
          <w:tcPr>
            <w:tcW w:type="dxa" w:w="4819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Generate KPI cards and compliance reports for C-suite executives.</w:t>
            </w:r>
          </w:p>
        </w:tc>
      </w:tr>
    </w:tbl>
    <w:p/>
    <w:p>
      <w:pPr>
        <w:spacing w:before="120" w:after="120"/>
        <w:pBdr>
          <w:bottom w:val="single" w:sz="4" w:space="1" w:color="DEE2E6"/>
        </w:pBdr>
      </w:pPr>
    </w:p>
    <w:p>
      <w:pPr>
        <w:pStyle w:val="Heading2"/>
      </w:pPr>
      <w:r>
        <w:t>2.3 Functional Requirements</w:t>
      </w:r>
    </w:p>
    <w:p>
      <w:pPr>
        <w:pStyle w:val="ListBullet"/>
        <w:spacing w:after="60"/>
        <w:ind w:left="720"/>
      </w:pPr>
      <w:r>
        <w:rPr>
          <w:rFonts w:ascii="Calibri" w:hAnsi="Calibri"/>
          <w:b/>
          <w:color w:val="0A2F5C"/>
          <w:sz w:val="22"/>
        </w:rPr>
        <w:t xml:space="preserve">FR-01: </w:t>
      </w:r>
      <w:r>
        <w:rPr>
          <w:rFonts w:ascii="Calibri" w:hAnsi="Calibri"/>
          <w:sz w:val="22"/>
        </w:rPr>
        <w:t>Ingest raw Excel (.xlsx) files formatted per NYC Local Law 84 disclosure standards.</w:t>
      </w:r>
    </w:p>
    <w:p>
      <w:pPr>
        <w:pStyle w:val="ListBullet"/>
        <w:spacing w:after="60"/>
        <w:ind w:left="720"/>
      </w:pPr>
      <w:r>
        <w:rPr>
          <w:rFonts w:ascii="Calibri" w:hAnsi="Calibri"/>
          <w:b/>
          <w:color w:val="0A2F5C"/>
          <w:sz w:val="22"/>
        </w:rPr>
        <w:t xml:space="preserve">FR-02: </w:t>
      </w:r>
      <w:r>
        <w:rPr>
          <w:rFonts w:ascii="Calibri" w:hAnsi="Calibri"/>
          <w:sz w:val="22"/>
        </w:rPr>
        <w:t>Automatically replace "Not Available" placeholders, filter below 50,000 sq.ft., correct city name typos, and remove records with meter data gaps.</w:t>
      </w:r>
    </w:p>
    <w:p>
      <w:pPr>
        <w:pStyle w:val="ListBullet"/>
        <w:spacing w:after="60"/>
        <w:ind w:left="720"/>
      </w:pPr>
      <w:r>
        <w:rPr>
          <w:rFonts w:ascii="Calibri" w:hAnsi="Calibri"/>
          <w:b/>
          <w:color w:val="0A2F5C"/>
          <w:sz w:val="22"/>
        </w:rPr>
        <w:t xml:space="preserve">FR-03: </w:t>
      </w:r>
      <w:r>
        <w:rPr>
          <w:rFonts w:ascii="Calibri" w:hAnsi="Calibri"/>
          <w:sz w:val="22"/>
        </w:rPr>
        <w:t>Provide inference endpoint via serialized Random Forest model to estimate annual GHG emissions from [Year Built, GFA, Energy Star, Borough, Property Type].</w:t>
      </w:r>
    </w:p>
    <w:p>
      <w:pPr>
        <w:pStyle w:val="ListBullet"/>
        <w:spacing w:after="60"/>
        <w:ind w:left="720"/>
      </w:pPr>
      <w:r>
        <w:rPr>
          <w:rFonts w:ascii="Calibri" w:hAnsi="Calibri"/>
          <w:b/>
          <w:color w:val="0A2F5C"/>
          <w:sz w:val="22"/>
        </w:rPr>
        <w:t xml:space="preserve">FR-04: </w:t>
      </w:r>
      <w:r>
        <w:rPr>
          <w:rFonts w:ascii="Calibri" w:hAnsi="Calibri"/>
          <w:sz w:val="22"/>
        </w:rPr>
        <w:t>Calculate statutory penalty: Penalty = Total Emissions x 268.</w:t>
      </w:r>
    </w:p>
    <w:p>
      <w:pPr>
        <w:pStyle w:val="ListBullet"/>
        <w:spacing w:after="60"/>
        <w:ind w:left="720"/>
      </w:pPr>
      <w:r>
        <w:rPr>
          <w:rFonts w:ascii="Calibri" w:hAnsi="Calibri"/>
          <w:b/>
          <w:color w:val="0A2F5C"/>
          <w:sz w:val="22"/>
        </w:rPr>
        <w:t xml:space="preserve">FR-05: </w:t>
      </w:r>
      <w:r>
        <w:rPr>
          <w:rFonts w:ascii="Calibri" w:hAnsi="Calibri"/>
          <w:sz w:val="22"/>
        </w:rPr>
        <w:t>Render interactive KPI cards, peer comparisons, and playbook recommendations via Streamlit and Plotly.</w:t>
      </w:r>
    </w:p>
    <w:p>
      <w:pPr>
        <w:pStyle w:val="ListBullet"/>
        <w:spacing w:after="60"/>
        <w:ind w:left="720"/>
      </w:pPr>
      <w:r>
        <w:rPr>
          <w:rFonts w:ascii="Calibri" w:hAnsi="Calibri"/>
          <w:b/>
          <w:color w:val="0A2F5C"/>
          <w:sz w:val="22"/>
        </w:rPr>
        <w:t xml:space="preserve">FR-06: </w:t>
      </w:r>
      <w:r>
        <w:rPr>
          <w:rFonts w:ascii="Calibri" w:hAnsi="Calibri"/>
          <w:sz w:val="22"/>
        </w:rPr>
        <w:t>Define standard SQL DDL structures for normalized property dimensions, metering facts, and compliance alerts.</w:t>
      </w:r>
    </w:p>
    <w:p>
      <w:pPr>
        <w:spacing w:before="120" w:after="120"/>
        <w:pBdr>
          <w:bottom w:val="single" w:sz="4" w:space="1" w:color="DEE2E6"/>
        </w:pBdr>
      </w:pPr>
    </w:p>
    <w:p>
      <w:pPr>
        <w:pStyle w:val="Heading2"/>
      </w:pPr>
      <w:r>
        <w:t>2.4 Non-Functional Requirements</w:t>
      </w:r>
    </w:p>
    <w:p>
      <w:pPr>
        <w:pStyle w:val="ListBullet"/>
        <w:spacing w:after="60"/>
        <w:ind w:left="720"/>
      </w:pPr>
      <w:r>
        <w:rPr>
          <w:rFonts w:ascii="Calibri" w:hAnsi="Calibri"/>
          <w:b/>
          <w:color w:val="0A2F5C"/>
          <w:sz w:val="22"/>
        </w:rPr>
        <w:t xml:space="preserve">NFR-01 Performance: </w:t>
      </w:r>
      <w:r>
        <w:rPr>
          <w:rFonts w:ascii="Calibri" w:hAnsi="Calibri"/>
          <w:sz w:val="22"/>
        </w:rPr>
        <w:t>ML inference and UI recalculations execute in under 1.0 second.</w:t>
      </w:r>
    </w:p>
    <w:p>
      <w:pPr>
        <w:pStyle w:val="ListBullet"/>
        <w:spacing w:after="60"/>
        <w:ind w:left="720"/>
      </w:pPr>
      <w:r>
        <w:rPr>
          <w:rFonts w:ascii="Calibri" w:hAnsi="Calibri"/>
          <w:b/>
          <w:color w:val="0A2F5C"/>
          <w:sz w:val="22"/>
        </w:rPr>
        <w:t xml:space="preserve">NFR-02 Scalability: </w:t>
      </w:r>
      <w:r>
        <w:rPr>
          <w:rFonts w:ascii="Calibri" w:hAnsi="Calibri"/>
          <w:sz w:val="22"/>
        </w:rPr>
        <w:t>Pipeline supports batch processing of 50,000+ building records.</w:t>
      </w:r>
    </w:p>
    <w:p>
      <w:pPr>
        <w:pStyle w:val="ListBullet"/>
        <w:spacing w:after="60"/>
        <w:ind w:left="720"/>
      </w:pPr>
      <w:r>
        <w:rPr>
          <w:rFonts w:ascii="Calibri" w:hAnsi="Calibri"/>
          <w:b/>
          <w:color w:val="0A2F5C"/>
          <w:sz w:val="22"/>
        </w:rPr>
        <w:t xml:space="preserve">NFR-03 Reliability: </w:t>
      </w:r>
      <w:r>
        <w:rPr>
          <w:rFonts w:ascii="Calibri" w:hAnsi="Calibri"/>
          <w:sz w:val="22"/>
        </w:rPr>
        <w:t>100% deterministic financial calculations matching official municipal formulas.</w:t>
      </w:r>
    </w:p>
    <w:p>
      <w:pPr>
        <w:pStyle w:val="ListBullet"/>
        <w:spacing w:after="60"/>
        <w:ind w:left="720"/>
      </w:pPr>
      <w:r>
        <w:rPr>
          <w:rFonts w:ascii="Calibri" w:hAnsi="Calibri"/>
          <w:b/>
          <w:color w:val="0A2F5C"/>
          <w:sz w:val="22"/>
        </w:rPr>
        <w:t xml:space="preserve">NFR-04 Usability: </w:t>
      </w:r>
      <w:r>
        <w:rPr>
          <w:rFonts w:ascii="Calibri" w:hAnsi="Calibri"/>
          <w:sz w:val="22"/>
        </w:rPr>
        <w:t>Modern dark-mode design with high-contrast HSL accent colors for executive scannability.</w:t>
      </w:r>
    </w:p>
    <w:p>
      <w:pPr>
        <w:pStyle w:val="ListBullet"/>
        <w:spacing w:after="60"/>
        <w:ind w:left="720"/>
      </w:pPr>
      <w:r>
        <w:rPr>
          <w:rFonts w:ascii="Calibri" w:hAnsi="Calibri"/>
          <w:b/>
          <w:color w:val="0A2F5C"/>
          <w:sz w:val="22"/>
        </w:rPr>
        <w:t xml:space="preserve">NFR-05 Cross-Platform: </w:t>
      </w:r>
      <w:r>
        <w:rPr>
          <w:rFonts w:ascii="Calibri" w:hAnsi="Calibri"/>
          <w:sz w:val="22"/>
        </w:rPr>
        <w:t>Runs on Windows, macOS, and Linux; supports MySQL/PostgreSQL and Microsoft SQL Server.</w:t>
      </w:r>
    </w:p>
    <w:p>
      <w:r>
        <w:br w:type="page"/>
      </w:r>
    </w:p>
    <w:p>
      <w:pPr>
        <w:pStyle w:val="Heading1"/>
      </w:pPr>
      <w:r>
        <w:t>3. System Analysis &amp; Design</w:t>
      </w:r>
    </w:p>
    <w:p>
      <w:pPr>
        <w:spacing w:before="120" w:after="120"/>
        <w:pBdr>
          <w:bottom w:val="single" w:sz="4" w:space="1" w:color="DEE2E6"/>
        </w:pBdr>
      </w:pPr>
    </w:p>
    <w:p>
      <w:pPr>
        <w:spacing w:after="200"/>
      </w:pPr>
      <w:r>
        <w:rPr>
          <w:rFonts w:ascii="Calibri" w:hAnsi="Calibri"/>
          <w:i/>
          <w:color w:val="37474F"/>
          <w:sz w:val="22"/>
        </w:rPr>
        <w:t>This section presents the system architecture, database entity-relationship design, data flow diagrams, and process workflows.</w:t>
      </w:r>
    </w:p>
    <w:p>
      <w:pPr>
        <w:pStyle w:val="Heading2"/>
      </w:pPr>
      <w:r>
        <w:t>3.1 Problem Statement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fill="FFF3CD"/>
            <w:tcBorders>
              <w:left w:val="single" w:sz="24" w:space="0" w:color="F59E0B"/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80"/>
            </w:pPr>
            <w:r/>
            <w:r>
              <w:rPr>
                <w:rFonts w:ascii="Calibri" w:hAnsi="Calibri"/>
                <w:b/>
                <w:color w:val="F59E0B"/>
                <w:sz w:val="22"/>
              </w:rPr>
              <w:t>⚠️  The Challenge</w:t>
            </w:r>
          </w:p>
          <w:p>
            <w:pPr>
              <w:spacing w:after="160"/>
            </w:pPr>
            <w:r>
              <w:rPr>
                <w:rFonts w:ascii="Calibri" w:hAnsi="Calibri"/>
                <w:color w:val="333333"/>
                <w:sz w:val="20"/>
              </w:rPr>
              <w:t>Raw annual building disclosure data is often incomplete or noisy. Predicting future carbon penalties under varying operational parameters is extremely difficult. Without a predictive platform, property managers risk paying excessive fines or overspending on unoptimized capital projects.</w:t>
            </w:r>
          </w:p>
        </w:tc>
      </w:tr>
    </w:tbl>
    <w:p/>
    <w:p>
      <w:pPr>
        <w:pStyle w:val="Heading3"/>
      </w:pPr>
      <w:r>
        <w:t>Five-Pillar Layered Architecture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2" w:space="0" w:color="DEE2E6"/>
          <w:insideV w:val="single" w:sz="2" w:space="0" w:color="DEE2E6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1701"/>
            <w:vAlign w:val="center"/>
            <w:shd w:fill="0D7377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2551"/>
            <w:vAlign w:val="center"/>
            <w:shd w:fill="0D7377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2835"/>
            <w:vAlign w:val="center"/>
            <w:shd w:fill="0D7377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Key Files</w:t>
            </w:r>
          </w:p>
        </w:tc>
        <w:tc>
          <w:tcPr>
            <w:tcW w:type="dxa" w:w="2551"/>
            <w:vAlign w:val="center"/>
            <w:shd w:fill="0D7377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Technology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1. Data Ingestion</w:t>
            </w:r>
          </w:p>
        </w:tc>
        <w:tc>
          <w:tcPr>
            <w:tcW w:type="dxa" w:w="2551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ETL &amp; Data Engineering Pipeline</w:t>
            </w:r>
          </w:p>
        </w:tc>
        <w:tc>
          <w:tcPr>
            <w:tcW w:type="dxa" w:w="2835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Clean_Data_Pipeline.py, sample_nyc_energy.xlsx</w:t>
            </w:r>
          </w:p>
        </w:tc>
        <w:tc>
          <w:tcPr>
            <w:tcW w:type="dxa" w:w="2551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Python, Pandas, OpenPyXL</w:t>
            </w:r>
          </w:p>
        </w:tc>
      </w:tr>
      <w:tr>
        <w:tc>
          <w:tcPr>
            <w:tcW w:type="dxa" w:w="1701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2. Relational Database</w:t>
            </w:r>
          </w:p>
        </w:tc>
        <w:tc>
          <w:tcPr>
            <w:tcW w:type="dxa" w:w="2551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Normalized 3NF Schema</w:t>
            </w:r>
          </w:p>
        </w:tc>
        <w:tc>
          <w:tcPr>
            <w:tcW w:type="dxa" w:w="2835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carbon_heist_schema_mysql.sql, _mssql.sql</w:t>
            </w:r>
          </w:p>
        </w:tc>
        <w:tc>
          <w:tcPr>
            <w:tcW w:type="dxa" w:w="2551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MySQL, SQL Server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3. Machine Learning</w:t>
            </w:r>
          </w:p>
        </w:tc>
        <w:tc>
          <w:tcPr>
            <w:tcW w:type="dxa" w:w="2551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Predictive Regression Engine</w:t>
            </w:r>
          </w:p>
        </w:tc>
        <w:tc>
          <w:tcPr>
            <w:tcW w:type="dxa" w:w="2835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train_ll97_model.py, ll97_model.joblib</w:t>
            </w:r>
          </w:p>
        </w:tc>
        <w:tc>
          <w:tcPr>
            <w:tcW w:type="dxa" w:w="2551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Scikit-Learn, Random Forest</w:t>
            </w:r>
          </w:p>
        </w:tc>
      </w:tr>
      <w:tr>
        <w:tc>
          <w:tcPr>
            <w:tcW w:type="dxa" w:w="1701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4. Presentation UI</w:t>
            </w:r>
          </w:p>
        </w:tc>
        <w:tc>
          <w:tcPr>
            <w:tcW w:type="dxa" w:w="2551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Executive Dashboard</w:t>
            </w:r>
          </w:p>
        </w:tc>
        <w:tc>
          <w:tcPr>
            <w:tcW w:type="dxa" w:w="2835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app.py</w:t>
            </w:r>
          </w:p>
        </w:tc>
        <w:tc>
          <w:tcPr>
            <w:tcW w:type="dxa" w:w="2551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Streamlit, Plotly, CSS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5. Domain Knowledge</w:t>
            </w:r>
          </w:p>
        </w:tc>
        <w:tc>
          <w:tcPr>
            <w:tcW w:type="dxa" w:w="2551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Financial &amp; Engineering Playbooks</w:t>
            </w:r>
          </w:p>
        </w:tc>
        <w:tc>
          <w:tcPr>
            <w:tcW w:type="dxa" w:w="2835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Co2 Project.xlsx (13 sheets)</w:t>
            </w:r>
          </w:p>
        </w:tc>
        <w:tc>
          <w:tcPr>
            <w:tcW w:type="dxa" w:w="2551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Excel Modeling</w:t>
            </w:r>
          </w:p>
        </w:tc>
      </w:tr>
    </w:tbl>
    <w:p/>
    <w:p>
      <w:pPr>
        <w:spacing w:before="120" w:after="120"/>
        <w:pBdr>
          <w:bottom w:val="single" w:sz="4" w:space="1" w:color="DEE2E6"/>
        </w:pBdr>
      </w:pPr>
    </w:p>
    <w:p>
      <w:pPr>
        <w:pStyle w:val="Heading2"/>
      </w:pPr>
      <w:r>
        <w:t>3.2 Database Design &amp; ER Diagram</w:t>
      </w:r>
    </w:p>
    <w:p>
      <w:pPr>
        <w:spacing w:line="288" w:lineRule="auto"/>
      </w:pPr>
      <w:r>
        <w:rPr>
          <w:rFonts w:ascii="Calibri" w:hAnsi="Calibri"/>
          <w:sz w:val="22"/>
        </w:rPr>
        <w:t>The relational schema follows Third Normal Form (3NF) to eliminate data redundancy. Below is a summary of all entities and their relationships: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2" w:space="0" w:color="DEE2E6"/>
          <w:insideV w:val="single" w:sz="2" w:space="0" w:color="DEE2E6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1984"/>
            <w:vAlign w:val="center"/>
            <w:shd w:fill="0A2F5C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Entity (Table)</w:t>
            </w:r>
          </w:p>
        </w:tc>
        <w:tc>
          <w:tcPr>
            <w:tcW w:type="dxa" w:w="1417"/>
            <w:vAlign w:val="center"/>
            <w:shd w:fill="0A2F5C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Primary Key</w:t>
            </w:r>
          </w:p>
        </w:tc>
        <w:tc>
          <w:tcPr>
            <w:tcW w:type="dxa" w:w="2835"/>
            <w:vAlign w:val="center"/>
            <w:shd w:fill="0A2F5C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Key Attributes</w:t>
            </w:r>
          </w:p>
        </w:tc>
        <w:tc>
          <w:tcPr>
            <w:tcW w:type="dxa" w:w="3402"/>
            <w:vAlign w:val="center"/>
            <w:shd w:fill="0A2F5C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Foreign Keys / Relationships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CITIES</w:t>
            </w:r>
          </w:p>
        </w:tc>
        <w:tc>
          <w:tcPr>
            <w:tcW w:type="dxa" w:w="1417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city_id</w:t>
            </w:r>
          </w:p>
        </w:tc>
        <w:tc>
          <w:tcPr>
            <w:tcW w:type="dxa" w:w="2835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city_name (UNIQUE)</w:t>
            </w:r>
          </w:p>
        </w:tc>
        <w:tc>
          <w:tcPr>
            <w:tcW w:type="dxa" w:w="3402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Referenced by BOROUGHS, PROPERTIES</w:t>
            </w:r>
          </w:p>
        </w:tc>
      </w:tr>
      <w:tr>
        <w:tc>
          <w:tcPr>
            <w:tcW w:type="dxa" w:w="1984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BOROUGHS</w:t>
            </w:r>
          </w:p>
        </w:tc>
        <w:tc>
          <w:tcPr>
            <w:tcW w:type="dxa" w:w="1417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borough_id</w:t>
            </w:r>
          </w:p>
        </w:tc>
        <w:tc>
          <w:tcPr>
            <w:tcW w:type="dxa" w:w="2835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borough_name (UNIQUE)</w:t>
            </w:r>
          </w:p>
        </w:tc>
        <w:tc>
          <w:tcPr>
            <w:tcW w:type="dxa" w:w="3402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FK: city_id -&gt; CITIES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PROPERTY_TYPES</w:t>
            </w:r>
          </w:p>
        </w:tc>
        <w:tc>
          <w:tcPr>
            <w:tcW w:type="dxa" w:w="1417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property_type_id</w:t>
            </w:r>
          </w:p>
        </w:tc>
        <w:tc>
          <w:tcPr>
            <w:tcW w:type="dxa" w:w="2835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property_type_name</w:t>
            </w:r>
          </w:p>
        </w:tc>
        <w:tc>
          <w:tcPr>
            <w:tcW w:type="dxa" w:w="3402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Referenced by PROPERTIES</w:t>
            </w:r>
          </w:p>
        </w:tc>
      </w:tr>
      <w:tr>
        <w:tc>
          <w:tcPr>
            <w:tcW w:type="dxa" w:w="1984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PROPERTIES</w:t>
            </w:r>
          </w:p>
        </w:tc>
        <w:tc>
          <w:tcPr>
            <w:tcW w:type="dxa" w:w="1417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property_id</w:t>
            </w:r>
          </w:p>
        </w:tc>
        <w:tc>
          <w:tcPr>
            <w:tcW w:type="dxa" w:w="2835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property_name, year_built, gfa_ft2</w:t>
            </w:r>
          </w:p>
        </w:tc>
        <w:tc>
          <w:tcPr>
            <w:tcW w:type="dxa" w:w="3402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FK: borough_id, property_type_id, city_id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ENERGY_METRICS</w:t>
            </w:r>
          </w:p>
        </w:tc>
        <w:tc>
          <w:tcPr>
            <w:tcW w:type="dxa" w:w="1417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energy_metric_id</w:t>
            </w:r>
          </w:p>
        </w:tc>
        <w:tc>
          <w:tcPr>
            <w:tcW w:type="dxa" w:w="2835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energy_star_score, site_eui</w:t>
            </w:r>
          </w:p>
        </w:tc>
        <w:tc>
          <w:tcPr>
            <w:tcW w:type="dxa" w:w="3402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FK: property_id -&gt; PROPERTIES</w:t>
            </w:r>
          </w:p>
        </w:tc>
      </w:tr>
      <w:tr>
        <w:tc>
          <w:tcPr>
            <w:tcW w:type="dxa" w:w="1984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EMISSION_METRICS</w:t>
            </w:r>
          </w:p>
        </w:tc>
        <w:tc>
          <w:tcPr>
            <w:tcW w:type="dxa" w:w="1417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emission_metric_id</w:t>
            </w:r>
          </w:p>
        </w:tc>
        <w:tc>
          <w:tcPr>
            <w:tcW w:type="dxa" w:w="2835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total_ghg_emissions (MT CO2e)</w:t>
            </w:r>
          </w:p>
        </w:tc>
        <w:tc>
          <w:tcPr>
            <w:tcW w:type="dxa" w:w="3402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FK: property_id -&gt; PROPERTIES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LL97_PENALTIES</w:t>
            </w:r>
          </w:p>
        </w:tc>
        <w:tc>
          <w:tcPr>
            <w:tcW w:type="dxa" w:w="1417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penalty_id</w:t>
            </w:r>
          </w:p>
        </w:tc>
        <w:tc>
          <w:tcPr>
            <w:tcW w:type="dxa" w:w="2835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base_ll97_penalty, penalty_per_ft2</w:t>
            </w:r>
          </w:p>
        </w:tc>
        <w:tc>
          <w:tcPr>
            <w:tcW w:type="dxa" w:w="3402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FK: property_id -&gt; PROPERTIES</w:t>
            </w:r>
          </w:p>
        </w:tc>
      </w:tr>
      <w:tr>
        <w:tc>
          <w:tcPr>
            <w:tcW w:type="dxa" w:w="1984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PROPERTY_FUEL_USAGE</w:t>
            </w:r>
          </w:p>
        </w:tc>
        <w:tc>
          <w:tcPr>
            <w:tcW w:type="dxa" w:w="1417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fuel_usage_id</w:t>
            </w:r>
          </w:p>
        </w:tc>
        <w:tc>
          <w:tcPr>
            <w:tcW w:type="dxa" w:w="2835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fuel_type, consumption_kbtu</w:t>
            </w:r>
          </w:p>
        </w:tc>
        <w:tc>
          <w:tcPr>
            <w:tcW w:type="dxa" w:w="3402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FK: property_id -&gt; PROPERTIES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PROPERTY_ALERTS</w:t>
            </w:r>
          </w:p>
        </w:tc>
        <w:tc>
          <w:tcPr>
            <w:tcW w:type="dxa" w:w="1417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alert_id</w:t>
            </w:r>
          </w:p>
        </w:tc>
        <w:tc>
          <w:tcPr>
            <w:tcW w:type="dxa" w:w="2835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alert_type, description</w:t>
            </w:r>
          </w:p>
        </w:tc>
        <w:tc>
          <w:tcPr>
            <w:tcW w:type="dxa" w:w="3402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FK: property_id -&gt; PROPERTIES</w:t>
            </w:r>
          </w:p>
        </w:tc>
      </w:tr>
    </w:tbl>
    <w:p/>
    <w:p>
      <w:pPr>
        <w:spacing w:before="120" w:after="120"/>
        <w:pBdr>
          <w:bottom w:val="single" w:sz="4" w:space="1" w:color="DEE2E6"/>
        </w:pBdr>
      </w:pPr>
    </w:p>
    <w:p>
      <w:pPr>
        <w:pStyle w:val="Heading2"/>
      </w:pPr>
      <w:r>
        <w:t>3.3 Data Flow &amp; System Behavior</w:t>
      </w:r>
    </w:p>
    <w:p>
      <w:pPr>
        <w:pStyle w:val="Heading3"/>
      </w:pPr>
      <w:r>
        <w:t>Context-Level Data Flow (DFD Level 0)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2" w:space="0" w:color="DEE2E6"/>
          <w:insideV w:val="single" w:sz="2" w:space="0" w:color="DEE2E6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vAlign w:val="center"/>
            <w:shd w:fill="0A2F5C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External Entity</w:t>
            </w:r>
          </w:p>
        </w:tc>
        <w:tc>
          <w:tcPr>
            <w:tcW w:type="dxa" w:w="1134"/>
            <w:vAlign w:val="center"/>
            <w:shd w:fill="0A2F5C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Direction</w:t>
            </w:r>
          </w:p>
        </w:tc>
        <w:tc>
          <w:tcPr>
            <w:tcW w:type="dxa" w:w="3402"/>
            <w:vAlign w:val="center"/>
            <w:shd w:fill="0A2F5C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Data Flow</w:t>
            </w:r>
          </w:p>
        </w:tc>
        <w:tc>
          <w:tcPr>
            <w:tcW w:type="dxa" w:w="2835"/>
            <w:vAlign w:val="center"/>
            <w:shd w:fill="0A2F5C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System Component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NYC Open Data Portal</w:t>
            </w:r>
          </w:p>
        </w:tc>
        <w:tc>
          <w:tcPr>
            <w:tcW w:type="dxa" w:w="113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INPUT</w:t>
            </w:r>
          </w:p>
        </w:tc>
        <w:tc>
          <w:tcPr>
            <w:tcW w:type="dxa" w:w="3402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Raw Annual Energy Benchmarking Records</w:t>
            </w:r>
          </w:p>
        </w:tc>
        <w:tc>
          <w:tcPr>
            <w:tcW w:type="dxa" w:w="2835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Data Ingestion Layer</w:t>
            </w:r>
          </w:p>
        </w:tc>
      </w:tr>
      <w:tr>
        <w:tc>
          <w:tcPr>
            <w:tcW w:type="dxa" w:w="2268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Asset Manager / ESG Officer</w:t>
            </w:r>
          </w:p>
        </w:tc>
        <w:tc>
          <w:tcPr>
            <w:tcW w:type="dxa" w:w="1134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INPUT</w:t>
            </w:r>
          </w:p>
        </w:tc>
        <w:tc>
          <w:tcPr>
            <w:tcW w:type="dxa" w:w="3402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Building Parameters &amp; CAPEX Sliders</w:t>
            </w:r>
          </w:p>
        </w:tc>
        <w:tc>
          <w:tcPr>
            <w:tcW w:type="dxa" w:w="2835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Streamlit UI Layer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System</w:t>
            </w:r>
          </w:p>
        </w:tc>
        <w:tc>
          <w:tcPr>
            <w:tcW w:type="dxa" w:w="113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OUTPUT</w:t>
            </w:r>
          </w:p>
        </w:tc>
        <w:tc>
          <w:tcPr>
            <w:tcW w:type="dxa" w:w="3402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Projected Emissions &amp; LL97 Penalties</w:t>
            </w:r>
          </w:p>
        </w:tc>
        <w:tc>
          <w:tcPr>
            <w:tcW w:type="dxa" w:w="2835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ML + Financial Engine</w:t>
            </w:r>
          </w:p>
        </w:tc>
      </w:tr>
      <w:tr>
        <w:tc>
          <w:tcPr>
            <w:tcW w:type="dxa" w:w="2268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System</w:t>
            </w:r>
          </w:p>
        </w:tc>
        <w:tc>
          <w:tcPr>
            <w:tcW w:type="dxa" w:w="1134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OUTPUT</w:t>
            </w:r>
          </w:p>
        </w:tc>
        <w:tc>
          <w:tcPr>
            <w:tcW w:type="dxa" w:w="3402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Decarbonization Playbook &amp; ROI Audit</w:t>
            </w:r>
          </w:p>
        </w:tc>
        <w:tc>
          <w:tcPr>
            <w:tcW w:type="dxa" w:w="2835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Presentation UI</w:t>
            </w:r>
          </w:p>
        </w:tc>
      </w:tr>
    </w:tbl>
    <w:p/>
    <w:p>
      <w:pPr>
        <w:pStyle w:val="Heading3"/>
      </w:pPr>
      <w:r>
        <w:t>ETL Data Cleaning Workflow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2" w:space="0" w:color="DEE2E6"/>
          <w:insideV w:val="single" w:sz="2" w:space="0" w:color="DEE2E6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850"/>
            <w:vAlign w:val="center"/>
            <w:shd w:fill="0D7377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Step</w:t>
            </w:r>
          </w:p>
        </w:tc>
        <w:tc>
          <w:tcPr>
            <w:tcW w:type="dxa" w:w="1701"/>
            <w:vAlign w:val="center"/>
            <w:shd w:fill="0D7377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Activity</w:t>
            </w:r>
          </w:p>
        </w:tc>
        <w:tc>
          <w:tcPr>
            <w:tcW w:type="dxa" w:w="3402"/>
            <w:vAlign w:val="center"/>
            <w:shd w:fill="0D7377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685"/>
            <w:vAlign w:val="center"/>
            <w:shd w:fill="0D7377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Data Impact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1</w:t>
            </w:r>
          </w:p>
        </w:tc>
        <w:tc>
          <w:tcPr>
            <w:tcW w:type="dxa" w:w="1701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Load Raw Data</w:t>
            </w:r>
          </w:p>
        </w:tc>
        <w:tc>
          <w:tcPr>
            <w:tcW w:type="dxa" w:w="3402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Read LL84 Excel Spreadsheet</w:t>
            </w:r>
          </w:p>
        </w:tc>
        <w:tc>
          <w:tcPr>
            <w:tcW w:type="dxa" w:w="3685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Full dataset loaded</w:t>
            </w:r>
          </w:p>
        </w:tc>
      </w:tr>
      <w:tr>
        <w:tc>
          <w:tcPr>
            <w:tcW w:type="dxa" w:w="850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2</w:t>
            </w:r>
          </w:p>
        </w:tc>
        <w:tc>
          <w:tcPr>
            <w:tcW w:type="dxa" w:w="1701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Replace Nulls</w:t>
            </w:r>
          </w:p>
        </w:tc>
        <w:tc>
          <w:tcPr>
            <w:tcW w:type="dxa" w:w="3402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"Not Available" -&gt; NaN standardization</w:t>
            </w:r>
          </w:p>
        </w:tc>
        <w:tc>
          <w:tcPr>
            <w:tcW w:type="dxa" w:w="3685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No row reduction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3</w:t>
            </w:r>
          </w:p>
        </w:tc>
        <w:tc>
          <w:tcPr>
            <w:tcW w:type="dxa" w:w="1701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Filter Status</w:t>
            </w:r>
          </w:p>
        </w:tc>
        <w:tc>
          <w:tcPr>
            <w:tcW w:type="dxa" w:w="3402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Remove test/non-operational properties</w:t>
            </w:r>
          </w:p>
        </w:tc>
        <w:tc>
          <w:tcPr>
            <w:tcW w:type="dxa" w:w="3685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Minor reduction</w:t>
            </w:r>
          </w:p>
        </w:tc>
      </w:tr>
      <w:tr>
        <w:tc>
          <w:tcPr>
            <w:tcW w:type="dxa" w:w="850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4</w:t>
            </w:r>
          </w:p>
        </w:tc>
        <w:tc>
          <w:tcPr>
            <w:tcW w:type="dxa" w:w="1701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Filter GFA</w:t>
            </w:r>
          </w:p>
        </w:tc>
        <w:tc>
          <w:tcPr>
            <w:tcW w:type="dxa" w:w="3402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Retain buildings &gt;= 50,000 sq.ft.</w:t>
            </w:r>
          </w:p>
        </w:tc>
        <w:tc>
          <w:tcPr>
            <w:tcW w:type="dxa" w:w="3685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Significant filtering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5</w:t>
            </w:r>
          </w:p>
        </w:tc>
        <w:tc>
          <w:tcPr>
            <w:tcW w:type="dxa" w:w="1701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Normalize City</w:t>
            </w:r>
          </w:p>
        </w:tc>
        <w:tc>
          <w:tcPr>
            <w:tcW w:type="dxa" w:w="3402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Fix city typos; enforce NYC boroughs only</w:t>
            </w:r>
          </w:p>
        </w:tc>
        <w:tc>
          <w:tcPr>
            <w:tcW w:type="dxa" w:w="3685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Non-NYC removed</w:t>
            </w:r>
          </w:p>
        </w:tc>
      </w:tr>
      <w:tr>
        <w:tc>
          <w:tcPr>
            <w:tcW w:type="dxa" w:w="850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6</w:t>
            </w:r>
          </w:p>
        </w:tc>
        <w:tc>
          <w:tcPr>
            <w:tcW w:type="dxa" w:w="1701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Filter Alerts</w:t>
            </w:r>
          </w:p>
        </w:tc>
        <w:tc>
          <w:tcPr>
            <w:tcW w:type="dxa" w:w="3402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Drop records with meter gaps</w:t>
            </w:r>
          </w:p>
        </w:tc>
        <w:tc>
          <w:tcPr>
            <w:tcW w:type="dxa" w:w="3685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Moderate filtering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7</w:t>
            </w:r>
          </w:p>
        </w:tc>
        <w:tc>
          <w:tcPr>
            <w:tcW w:type="dxa" w:w="1701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Filter Outliers</w:t>
            </w:r>
          </w:p>
        </w:tc>
        <w:tc>
          <w:tcPr>
            <w:tcW w:type="dxa" w:w="3402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Drop extreme outliers ($/ft2 &gt; $1,700)</w:t>
            </w:r>
          </w:p>
        </w:tc>
        <w:tc>
          <w:tcPr>
            <w:tcW w:type="dxa" w:w="3685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Minor reduction</w:t>
            </w:r>
          </w:p>
        </w:tc>
      </w:tr>
      <w:tr>
        <w:tc>
          <w:tcPr>
            <w:tcW w:type="dxa" w:w="850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8</w:t>
            </w:r>
          </w:p>
        </w:tc>
        <w:tc>
          <w:tcPr>
            <w:tcW w:type="dxa" w:w="1701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Deduplicate</w:t>
            </w:r>
          </w:p>
        </w:tc>
        <w:tc>
          <w:tcPr>
            <w:tcW w:type="dxa" w:w="3402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Remove duplicate Property IDs</w:t>
            </w:r>
          </w:p>
        </w:tc>
        <w:tc>
          <w:tcPr>
            <w:tcW w:type="dxa" w:w="3685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Minor reduction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9</w:t>
            </w:r>
          </w:p>
        </w:tc>
        <w:tc>
          <w:tcPr>
            <w:tcW w:type="dxa" w:w="1701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Export</w:t>
            </w:r>
          </w:p>
        </w:tc>
        <w:tc>
          <w:tcPr>
            <w:tcW w:type="dxa" w:w="3402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Save sample_nyc_energy.xlsx (11,639 records)</w:t>
            </w:r>
          </w:p>
        </w:tc>
        <w:tc>
          <w:tcPr>
            <w:tcW w:type="dxa" w:w="3685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Final clean dataset</w:t>
            </w:r>
          </w:p>
        </w:tc>
      </w:tr>
    </w:tbl>
    <w:p/>
    <w:p>
      <w:r>
        <w:br w:type="page"/>
      </w:r>
    </w:p>
    <w:p>
      <w:pPr>
        <w:pStyle w:val="Heading1"/>
      </w:pPr>
      <w:r>
        <w:t>4. Implementation, Coding Standards &amp; Version Control</w:t>
      </w:r>
    </w:p>
    <w:p>
      <w:pPr>
        <w:spacing w:before="120" w:after="120"/>
        <w:pBdr>
          <w:bottom w:val="single" w:sz="4" w:space="1" w:color="DEE2E6"/>
        </w:pBdr>
      </w:pPr>
    </w:p>
    <w:p>
      <w:pPr>
        <w:spacing w:after="200"/>
      </w:pPr>
      <w:r>
        <w:rPr>
          <w:rFonts w:ascii="Calibri" w:hAnsi="Calibri"/>
          <w:i/>
          <w:color w:val="37474F"/>
          <w:sz w:val="22"/>
        </w:rPr>
        <w:t>This section documents the coding conventions, modular project structure, security practices, and version control strategy.</w:t>
      </w:r>
    </w:p>
    <w:p>
      <w:pPr>
        <w:pStyle w:val="Heading2"/>
      </w:pPr>
      <w:r>
        <w:t>4.1 Coding Standards</w:t>
      </w:r>
    </w:p>
    <w:p>
      <w:pPr>
        <w:pStyle w:val="Heading3"/>
      </w:pPr>
      <w:r>
        <w:t>Python (PEP 8)</w:t>
      </w:r>
    </w:p>
    <w:p>
      <w:pPr>
        <w:pStyle w:val="ListBullet"/>
        <w:spacing w:after="60"/>
        <w:ind w:left="720"/>
      </w:pPr>
      <w:r>
        <w:rPr>
          <w:rFonts w:ascii="Calibri" w:hAnsi="Calibri"/>
          <w:b/>
          <w:color w:val="0A2F5C"/>
          <w:sz w:val="22"/>
        </w:rPr>
        <w:t xml:space="preserve">Variables &amp; Functions: </w:t>
      </w:r>
      <w:r>
        <w:rPr>
          <w:rFonts w:ascii="Calibri" w:hAnsi="Calibri"/>
          <w:sz w:val="22"/>
        </w:rPr>
        <w:t>snake_case for variables, functions, and modules.</w:t>
      </w:r>
    </w:p>
    <w:p>
      <w:pPr>
        <w:pStyle w:val="ListBullet"/>
        <w:spacing w:after="60"/>
        <w:ind w:left="720"/>
      </w:pPr>
      <w:r>
        <w:rPr>
          <w:rFonts w:ascii="Calibri" w:hAnsi="Calibri"/>
          <w:b/>
          <w:color w:val="0A2F5C"/>
          <w:sz w:val="22"/>
        </w:rPr>
        <w:t xml:space="preserve">Classes: </w:t>
      </w:r>
      <w:r>
        <w:rPr>
          <w:rFonts w:ascii="Calibri" w:hAnsi="Calibri"/>
          <w:sz w:val="22"/>
        </w:rPr>
        <w:t>PascalCase for class definitions.</w:t>
      </w:r>
    </w:p>
    <w:p>
      <w:pPr>
        <w:pStyle w:val="ListBullet"/>
        <w:spacing w:after="60"/>
        <w:ind w:left="720"/>
      </w:pPr>
      <w:r>
        <w:rPr>
          <w:rFonts w:ascii="Calibri" w:hAnsi="Calibri"/>
          <w:b/>
          <w:color w:val="0A2F5C"/>
          <w:sz w:val="22"/>
        </w:rPr>
        <w:t xml:space="preserve">Constants: </w:t>
      </w:r>
      <w:r>
        <w:rPr>
          <w:rFonts w:ascii="Calibri" w:hAnsi="Calibri"/>
          <w:sz w:val="22"/>
        </w:rPr>
        <w:t>UPPER_CASE_WITH_UNDERSCORES for constants and design tokens.</w:t>
      </w:r>
    </w:p>
    <w:p>
      <w:pPr>
        <w:pStyle w:val="ListBullet"/>
        <w:spacing w:after="60"/>
        <w:ind w:left="720"/>
      </w:pPr>
      <w:r>
        <w:rPr>
          <w:rFonts w:ascii="Calibri" w:hAnsi="Calibri"/>
          <w:b/>
          <w:color w:val="0A2F5C"/>
          <w:sz w:val="22"/>
        </w:rPr>
        <w:t xml:space="preserve">Docstrings: </w:t>
      </w:r>
      <w:r>
        <w:rPr>
          <w:rFonts w:ascii="Calibri" w:hAnsi="Calibri"/>
          <w:sz w:val="22"/>
        </w:rPr>
        <w:t>All core functions include explicit docstrings with input/output documentation.</w:t>
      </w:r>
    </w:p>
    <w:p>
      <w:pPr>
        <w:pStyle w:val="Heading3"/>
      </w:pPr>
      <w:r>
        <w:t>SQL</w:t>
      </w:r>
    </w:p>
    <w:p>
      <w:pPr>
        <w:pStyle w:val="ListBullet"/>
        <w:spacing w:after="60"/>
        <w:ind w:left="720"/>
      </w:pPr>
      <w:r>
        <w:rPr>
          <w:rFonts w:ascii="Calibri" w:hAnsi="Calibri"/>
          <w:b/>
          <w:color w:val="0A2F5C"/>
          <w:sz w:val="22"/>
        </w:rPr>
        <w:t xml:space="preserve">Keywords: </w:t>
      </w:r>
      <w:r>
        <w:rPr>
          <w:rFonts w:ascii="Calibri" w:hAnsi="Calibri"/>
          <w:sz w:val="22"/>
        </w:rPr>
        <w:t>UPPERCASE for keywords (CREATE TABLE, PRIMARY KEY, FOREIGN KEY).</w:t>
      </w:r>
    </w:p>
    <w:p>
      <w:pPr>
        <w:pStyle w:val="ListBullet"/>
        <w:spacing w:after="60"/>
        <w:ind w:left="720"/>
      </w:pPr>
      <w:r>
        <w:rPr>
          <w:rFonts w:ascii="Calibri" w:hAnsi="Calibri"/>
          <w:b/>
          <w:color w:val="0A2F5C"/>
          <w:sz w:val="22"/>
        </w:rPr>
        <w:t xml:space="preserve">Table Names: </w:t>
      </w:r>
      <w:r>
        <w:rPr>
          <w:rFonts w:ascii="Calibri" w:hAnsi="Calibri"/>
          <w:sz w:val="22"/>
        </w:rPr>
        <w:t>Plural uppercase nouns (PROPERTIES, EMISSION_METRICS, LL97_PENALTIES).</w:t>
      </w:r>
    </w:p>
    <w:p>
      <w:pPr>
        <w:pStyle w:val="ListBullet"/>
        <w:spacing w:after="60"/>
        <w:ind w:left="720"/>
      </w:pPr>
      <w:r>
        <w:rPr>
          <w:rFonts w:ascii="Calibri" w:hAnsi="Calibri"/>
          <w:b/>
          <w:color w:val="0A2F5C"/>
          <w:sz w:val="22"/>
        </w:rPr>
        <w:t xml:space="preserve">Column Names: </w:t>
      </w:r>
      <w:r>
        <w:rPr>
          <w:rFonts w:ascii="Calibri" w:hAnsi="Calibri"/>
          <w:sz w:val="22"/>
        </w:rPr>
        <w:t>Lowercase snake_case with unit suffixes (site_eui_kbtu_ft2).</w:t>
      </w:r>
    </w:p>
    <w:p>
      <w:pPr>
        <w:spacing w:before="120" w:after="120"/>
        <w:pBdr>
          <w:bottom w:val="single" w:sz="4" w:space="1" w:color="DEE2E6"/>
        </w:pBdr>
      </w:pPr>
    </w:p>
    <w:p>
      <w:pPr>
        <w:pStyle w:val="Heading2"/>
      </w:pPr>
      <w:r>
        <w:t>4.2 Modular Code &amp; Reusability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2" w:space="0" w:color="DEE2E6"/>
          <w:insideV w:val="single" w:sz="2" w:space="0" w:color="DEE2E6"/>
        </w:tblBorders>
      </w:tblPr>
      <w:tblGrid>
        <w:gridCol w:w="3249"/>
        <w:gridCol w:w="3249"/>
        <w:gridCol w:w="3249"/>
      </w:tblGrid>
      <w:tr>
        <w:tc>
          <w:tcPr>
            <w:tcW w:type="dxa" w:w="1701"/>
            <w:vAlign w:val="center"/>
            <w:shd w:fill="0D7377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Directory</w:t>
            </w:r>
          </w:p>
        </w:tc>
        <w:tc>
          <w:tcPr>
            <w:tcW w:type="dxa" w:w="2835"/>
            <w:vAlign w:val="center"/>
            <w:shd w:fill="0D7377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Layer / Purpose</w:t>
            </w:r>
          </w:p>
        </w:tc>
        <w:tc>
          <w:tcPr>
            <w:tcW w:type="dxa" w:w="5102"/>
            <w:vAlign w:val="center"/>
            <w:shd w:fill="0D7377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Key Files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application/</w:t>
            </w:r>
          </w:p>
        </w:tc>
        <w:tc>
          <w:tcPr>
            <w:tcW w:type="dxa" w:w="2835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Presentation Layer (Dashboard)</w:t>
            </w:r>
          </w:p>
        </w:tc>
        <w:tc>
          <w:tcPr>
            <w:tcW w:type="dxa" w:w="5102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app.py, input.xlsx, results.csv</w:t>
            </w:r>
          </w:p>
        </w:tc>
      </w:tr>
      <w:tr>
        <w:tc>
          <w:tcPr>
            <w:tcW w:type="dxa" w:w="1701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data/</w:t>
            </w:r>
          </w:p>
        </w:tc>
        <w:tc>
          <w:tcPr>
            <w:tcW w:type="dxa" w:w="2835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Data Engineering &amp; ETL</w:t>
            </w:r>
          </w:p>
        </w:tc>
        <w:tc>
          <w:tcPr>
            <w:tcW w:type="dxa" w:w="5102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Clean_Data_Pipeline.py, sample_nyc_energy.xlsx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database/</w:t>
            </w:r>
          </w:p>
        </w:tc>
        <w:tc>
          <w:tcPr>
            <w:tcW w:type="dxa" w:w="2835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Persistence &amp; DDL</w:t>
            </w:r>
          </w:p>
        </w:tc>
        <w:tc>
          <w:tcPr>
            <w:tcW w:type="dxa" w:w="5102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carbon_heist_schema_mysql.sql, _mssql.sql, ERD.drawio</w:t>
            </w:r>
          </w:p>
        </w:tc>
      </w:tr>
      <w:tr>
        <w:tc>
          <w:tcPr>
            <w:tcW w:type="dxa" w:w="1701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models/</w:t>
            </w:r>
          </w:p>
        </w:tc>
        <w:tc>
          <w:tcPr>
            <w:tcW w:type="dxa" w:w="2835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AI &amp; Prediction</w:t>
            </w:r>
          </w:p>
        </w:tc>
        <w:tc>
          <w:tcPr>
            <w:tcW w:type="dxa" w:w="5102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train_ll97_model.py, ll97_playground.py, .joblib files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Excel Project/</w:t>
            </w:r>
          </w:p>
        </w:tc>
        <w:tc>
          <w:tcPr>
            <w:tcW w:type="dxa" w:w="2835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Financial Domain Engine</w:t>
            </w:r>
          </w:p>
        </w:tc>
        <w:tc>
          <w:tcPr>
            <w:tcW w:type="dxa" w:w="5102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Co2 Project.xlsx (13 sheets)</w:t>
            </w:r>
          </w:p>
        </w:tc>
      </w:tr>
      <w:tr>
        <w:tc>
          <w:tcPr>
            <w:tcW w:type="dxa" w:w="1701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docs/</w:t>
            </w:r>
          </w:p>
        </w:tc>
        <w:tc>
          <w:tcPr>
            <w:tcW w:type="dxa" w:w="2835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Documentation Suite</w:t>
            </w:r>
          </w:p>
        </w:tc>
        <w:tc>
          <w:tcPr>
            <w:tcW w:type="dxa" w:w="5102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6 Markdown files + Word document</w:t>
            </w:r>
          </w:p>
        </w:tc>
      </w:tr>
    </w:tbl>
    <w:p/>
    <w:p>
      <w:pPr>
        <w:spacing w:before="120" w:after="120"/>
        <w:pBdr>
          <w:bottom w:val="single" w:sz="4" w:space="1" w:color="DEE2E6"/>
        </w:pBdr>
      </w:pPr>
    </w:p>
    <w:p>
      <w:pPr>
        <w:pStyle w:val="Heading2"/>
      </w:pPr>
      <w:r>
        <w:t>4.3 Security &amp; Error Handling</w:t>
      </w:r>
    </w:p>
    <w:p>
      <w:pPr>
        <w:pStyle w:val="ListBullet"/>
        <w:spacing w:after="60"/>
        <w:ind w:left="720"/>
      </w:pPr>
      <w:r>
        <w:rPr>
          <w:rFonts w:ascii="Calibri" w:hAnsi="Calibri"/>
          <w:b/>
          <w:color w:val="0A2F5C"/>
          <w:sz w:val="22"/>
        </w:rPr>
        <w:t xml:space="preserve">Data Validation: </w:t>
      </w:r>
      <w:r>
        <w:rPr>
          <w:rFonts w:ascii="Calibri" w:hAnsi="Calibri"/>
          <w:sz w:val="22"/>
        </w:rPr>
        <w:t>All external inputs wrapped in type coercion blocks (float(), pd.to_numeric(errors="coerce")).</w:t>
      </w:r>
    </w:p>
    <w:p>
      <w:pPr>
        <w:pStyle w:val="ListBullet"/>
        <w:spacing w:after="60"/>
        <w:ind w:left="720"/>
      </w:pPr>
      <w:r>
        <w:rPr>
          <w:rFonts w:ascii="Calibri" w:hAnsi="Calibri"/>
          <w:b/>
          <w:color w:val="0A2F5C"/>
          <w:sz w:val="22"/>
        </w:rPr>
        <w:t xml:space="preserve">Outlier Guardrails: </w:t>
      </w:r>
      <w:r>
        <w:rPr>
          <w:rFonts w:ascii="Calibri" w:hAnsi="Calibri"/>
          <w:sz w:val="22"/>
        </w:rPr>
        <w:t>Physical domain guardrails (Site EUI &lt; 2000, GFA &gt; 0) prevent out-of-distribution predictions.</w:t>
      </w:r>
    </w:p>
    <w:p>
      <w:pPr>
        <w:pStyle w:val="ListBullet"/>
        <w:spacing w:after="60"/>
        <w:ind w:left="720"/>
      </w:pPr>
      <w:r>
        <w:rPr>
          <w:rFonts w:ascii="Calibri" w:hAnsi="Calibri"/>
          <w:b/>
          <w:color w:val="0A2F5C"/>
          <w:sz w:val="22"/>
        </w:rPr>
        <w:t xml:space="preserve">SQL Injection Prevention: </w:t>
      </w:r>
      <w:r>
        <w:rPr>
          <w:rFonts w:ascii="Calibri" w:hAnsi="Calibri"/>
          <w:sz w:val="22"/>
        </w:rPr>
        <w:t>Parameterized schema definitions instead of string concatenation.</w:t>
      </w:r>
    </w:p>
    <w:p>
      <w:pPr>
        <w:spacing w:before="120" w:after="120"/>
        <w:pBdr>
          <w:bottom w:val="single" w:sz="4" w:space="1" w:color="DEE2E6"/>
        </w:pBdr>
      </w:pPr>
    </w:p>
    <w:p>
      <w:pPr>
        <w:pStyle w:val="Heading2"/>
      </w:pPr>
      <w:r>
        <w:t>4.4 Version Control Strategy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2" w:space="0" w:color="DEE2E6"/>
          <w:insideV w:val="single" w:sz="2" w:space="0" w:color="DEE2E6"/>
        </w:tblBorders>
      </w:tblPr>
      <w:tblGrid>
        <w:gridCol w:w="4873"/>
        <w:gridCol w:w="4873"/>
      </w:tblGrid>
      <w:tr>
        <w:tc>
          <w:tcPr>
            <w:tcW w:type="dxa" w:w="2268"/>
            <w:vAlign w:val="center"/>
            <w:shd w:fill="0A2F5C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Configuration</w:t>
            </w:r>
          </w:p>
        </w:tc>
        <w:tc>
          <w:tcPr>
            <w:tcW w:type="dxa" w:w="7370"/>
            <w:vAlign w:val="center"/>
            <w:shd w:fill="0A2F5C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Platform</w:t>
            </w:r>
          </w:p>
        </w:tc>
        <w:tc>
          <w:tcPr>
            <w:tcW w:type="dxa" w:w="7370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GitHub</w:t>
            </w:r>
          </w:p>
        </w:tc>
      </w:tr>
      <w:tr>
        <w:tc>
          <w:tcPr>
            <w:tcW w:type="dxa" w:w="2268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Repository</w:t>
            </w:r>
          </w:p>
        </w:tc>
        <w:tc>
          <w:tcPr>
            <w:tcW w:type="dxa" w:w="7370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github.com/ahmedadelamin/carbon-heist-mitigation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Primary Branch</w:t>
            </w:r>
          </w:p>
        </w:tc>
        <w:tc>
          <w:tcPr>
            <w:tcW w:type="dxa" w:w="7370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main (production-ready)</w:t>
            </w:r>
          </w:p>
        </w:tc>
      </w:tr>
      <w:tr>
        <w:tc>
          <w:tcPr>
            <w:tcW w:type="dxa" w:w="2268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Commit Convention</w:t>
            </w:r>
          </w:p>
        </w:tc>
        <w:tc>
          <w:tcPr>
            <w:tcW w:type="dxa" w:w="7370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Meaningful atomic messages (e.g., "Sync playground filters with main model")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Strategy</w:t>
            </w:r>
          </w:p>
        </w:tc>
        <w:tc>
          <w:tcPr>
            <w:tcW w:type="dxa" w:w="7370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Single main branch with atomic, descriptive commits per feature</w:t>
            </w:r>
          </w:p>
        </w:tc>
      </w:tr>
    </w:tbl>
    <w:p/>
    <w:p>
      <w:r>
        <w:br w:type="page"/>
      </w:r>
    </w:p>
    <w:p>
      <w:pPr>
        <w:pStyle w:val="Heading1"/>
      </w:pPr>
      <w:r>
        <w:t>5. Testing &amp; Quality Assurance</w:t>
      </w:r>
    </w:p>
    <w:p>
      <w:pPr>
        <w:spacing w:before="120" w:after="120"/>
        <w:pBdr>
          <w:bottom w:val="single" w:sz="4" w:space="1" w:color="DEE2E6"/>
        </w:pBdr>
      </w:pPr>
    </w:p>
    <w:p>
      <w:pPr>
        <w:spacing w:after="200"/>
      </w:pPr>
      <w:r>
        <w:rPr>
          <w:rFonts w:ascii="Calibri" w:hAnsi="Calibri"/>
          <w:i/>
          <w:color w:val="37474F"/>
          <w:sz w:val="22"/>
        </w:rPr>
        <w:t>This section details the comprehensive test plan, automated validation scripts, and historical bug reports with resolutions.</w:t>
      </w:r>
    </w:p>
    <w:p>
      <w:pPr>
        <w:pStyle w:val="Heading2"/>
      </w:pPr>
      <w:r>
        <w:t>5.1 Test Plan &amp; Test Scenarios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2" w:space="0" w:color="DEE2E6"/>
          <w:insideV w:val="single" w:sz="2" w:space="0" w:color="DEE2E6"/>
        </w:tblBorders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680"/>
            <w:vAlign w:val="center"/>
            <w:shd w:fill="0A2F5C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ID</w:t>
            </w:r>
          </w:p>
        </w:tc>
        <w:tc>
          <w:tcPr>
            <w:tcW w:type="dxa" w:w="1134"/>
            <w:vAlign w:val="center"/>
            <w:shd w:fill="0A2F5C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2268"/>
            <w:vAlign w:val="center"/>
            <w:shd w:fill="0A2F5C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1984"/>
            <w:vAlign w:val="center"/>
            <w:shd w:fill="0A2F5C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Expected</w:t>
            </w:r>
          </w:p>
        </w:tc>
        <w:tc>
          <w:tcPr>
            <w:tcW w:type="dxa" w:w="1984"/>
            <w:vAlign w:val="center"/>
            <w:shd w:fill="0A2F5C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Actual</w:t>
            </w:r>
          </w:p>
        </w:tc>
        <w:tc>
          <w:tcPr>
            <w:tcW w:type="dxa" w:w="850"/>
            <w:vAlign w:val="center"/>
            <w:shd w:fill="0A2F5C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TC-01</w:t>
            </w:r>
          </w:p>
        </w:tc>
        <w:tc>
          <w:tcPr>
            <w:tcW w:type="dxa" w:w="113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Data Eng.</w:t>
            </w:r>
          </w:p>
        </w:tc>
        <w:tc>
          <w:tcPr>
            <w:tcW w:type="dxa" w:w="2268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Ingest Raw LL84 (11,000+ records)</w:t>
            </w:r>
          </w:p>
        </w:tc>
        <w:tc>
          <w:tcPr>
            <w:tcW w:type="dxa" w:w="198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Clean "Not Available" -&gt; NaN</w:t>
            </w:r>
          </w:p>
        </w:tc>
        <w:tc>
          <w:tcPr>
            <w:tcW w:type="dxa" w:w="198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All records parsed</w:t>
            </w:r>
          </w:p>
        </w:tc>
        <w:tc>
          <w:tcPr>
            <w:tcW w:type="dxa" w:w="850"/>
            <w:vAlign w:val="center"/>
            <w:shd w:fill="D4EDDA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/>
                <w:color w:val="155724"/>
                <w:sz w:val="19"/>
              </w:rPr>
              <w:t>PASS</w:t>
            </w:r>
          </w:p>
        </w:tc>
      </w:tr>
      <w:tr>
        <w:tc>
          <w:tcPr>
            <w:tcW w:type="dxa" w:w="680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TC-02</w:t>
            </w:r>
          </w:p>
        </w:tc>
        <w:tc>
          <w:tcPr>
            <w:tcW w:type="dxa" w:w="1134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Data Eng.</w:t>
            </w:r>
          </w:p>
        </w:tc>
        <w:tc>
          <w:tcPr>
            <w:tcW w:type="dxa" w:w="2268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GFA &gt;= 50,000 sq.ft. filter</w:t>
            </w:r>
          </w:p>
        </w:tc>
        <w:tc>
          <w:tcPr>
            <w:tcW w:type="dxa" w:w="1984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Retain LL97-subject buildings</w:t>
            </w:r>
          </w:p>
        </w:tc>
        <w:tc>
          <w:tcPr>
            <w:tcW w:type="dxa" w:w="1984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11,639 properties retained</w:t>
            </w:r>
          </w:p>
        </w:tc>
        <w:tc>
          <w:tcPr>
            <w:tcW w:type="dxa" w:w="850"/>
            <w:vAlign w:val="center"/>
            <w:shd w:fill="EDF4FA"/>
            <w:shd w:fill="D4EDDA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/>
                <w:color w:val="155724"/>
                <w:sz w:val="19"/>
              </w:rPr>
              <w:t>PASS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TC-03</w:t>
            </w:r>
          </w:p>
        </w:tc>
        <w:tc>
          <w:tcPr>
            <w:tcW w:type="dxa" w:w="113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Data Eng.</w:t>
            </w:r>
          </w:p>
        </w:tc>
        <w:tc>
          <w:tcPr>
            <w:tcW w:type="dxa" w:w="2268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Borough normalization</w:t>
            </w:r>
          </w:p>
        </w:tc>
        <w:tc>
          <w:tcPr>
            <w:tcW w:type="dxa" w:w="198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0 invalid addresses remain</w:t>
            </w:r>
          </w:p>
        </w:tc>
        <w:tc>
          <w:tcPr>
            <w:tcW w:type="dxa" w:w="198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Exactly 0 invalid found</w:t>
            </w:r>
          </w:p>
        </w:tc>
        <w:tc>
          <w:tcPr>
            <w:tcW w:type="dxa" w:w="850"/>
            <w:vAlign w:val="center"/>
            <w:shd w:fill="D4EDDA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/>
                <w:color w:val="155724"/>
                <w:sz w:val="19"/>
              </w:rPr>
              <w:t>PASS</w:t>
            </w:r>
          </w:p>
        </w:tc>
      </w:tr>
      <w:tr>
        <w:tc>
          <w:tcPr>
            <w:tcW w:type="dxa" w:w="680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TC-04</w:t>
            </w:r>
          </w:p>
        </w:tc>
        <w:tc>
          <w:tcPr>
            <w:tcW w:type="dxa" w:w="1134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ML</w:t>
            </w:r>
          </w:p>
        </w:tc>
        <w:tc>
          <w:tcPr>
            <w:tcW w:type="dxa" w:w="2268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Random Forest accuracy (80/20)</w:t>
            </w:r>
          </w:p>
        </w:tc>
        <w:tc>
          <w:tcPr>
            <w:tcW w:type="dxa" w:w="1984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R2 &gt;= 75%, MAE &lt;= 250</w:t>
            </w:r>
          </w:p>
        </w:tc>
        <w:tc>
          <w:tcPr>
            <w:tcW w:type="dxa" w:w="1984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R2=81.65%, MAE=212.99</w:t>
            </w:r>
          </w:p>
        </w:tc>
        <w:tc>
          <w:tcPr>
            <w:tcW w:type="dxa" w:w="850"/>
            <w:vAlign w:val="center"/>
            <w:shd w:fill="EDF4FA"/>
            <w:shd w:fill="D4EDDA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/>
                <w:color w:val="155724"/>
                <w:sz w:val="19"/>
              </w:rPr>
              <w:t>PASS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TC-05</w:t>
            </w:r>
          </w:p>
        </w:tc>
        <w:tc>
          <w:tcPr>
            <w:tcW w:type="dxa" w:w="113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ML</w:t>
            </w:r>
          </w:p>
        </w:tc>
        <w:tc>
          <w:tcPr>
            <w:tcW w:type="dxa" w:w="2268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Filter parity across scripts</w:t>
            </w:r>
          </w:p>
        </w:tc>
        <w:tc>
          <w:tcPr>
            <w:tcW w:type="dxa" w:w="198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Both use EUI &lt; 2000</w:t>
            </w:r>
          </w:p>
        </w:tc>
        <w:tc>
          <w:tcPr>
            <w:tcW w:type="dxa" w:w="198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Both yield 81.6%</w:t>
            </w:r>
          </w:p>
        </w:tc>
        <w:tc>
          <w:tcPr>
            <w:tcW w:type="dxa" w:w="850"/>
            <w:vAlign w:val="center"/>
            <w:shd w:fill="D4EDDA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/>
                <w:color w:val="155724"/>
                <w:sz w:val="19"/>
              </w:rPr>
              <w:t>PASS</w:t>
            </w:r>
          </w:p>
        </w:tc>
      </w:tr>
      <w:tr>
        <w:tc>
          <w:tcPr>
            <w:tcW w:type="dxa" w:w="680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TC-06</w:t>
            </w:r>
          </w:p>
        </w:tc>
        <w:tc>
          <w:tcPr>
            <w:tcW w:type="dxa" w:w="1134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Financial</w:t>
            </w:r>
          </w:p>
        </w:tc>
        <w:tc>
          <w:tcPr>
            <w:tcW w:type="dxa" w:w="2268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LL97 fine calculation</w:t>
            </w:r>
          </w:p>
        </w:tc>
        <w:tc>
          <w:tcPr>
            <w:tcW w:type="dxa" w:w="1984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Penalty = Emissions x 268</w:t>
            </w:r>
          </w:p>
        </w:tc>
        <w:tc>
          <w:tcPr>
            <w:tcW w:type="dxa" w:w="1984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Exact calculation match</w:t>
            </w:r>
          </w:p>
        </w:tc>
        <w:tc>
          <w:tcPr>
            <w:tcW w:type="dxa" w:w="850"/>
            <w:vAlign w:val="center"/>
            <w:shd w:fill="EDF4FA"/>
            <w:shd w:fill="D4EDDA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/>
                <w:color w:val="155724"/>
                <w:sz w:val="19"/>
              </w:rPr>
              <w:t>PASS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TC-07</w:t>
            </w:r>
          </w:p>
        </w:tc>
        <w:tc>
          <w:tcPr>
            <w:tcW w:type="dxa" w:w="113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UI</w:t>
            </w:r>
          </w:p>
        </w:tc>
        <w:tc>
          <w:tcPr>
            <w:tcW w:type="dxa" w:w="2268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Slider recalculation speed</w:t>
            </w:r>
          </w:p>
        </w:tc>
        <w:tc>
          <w:tcPr>
            <w:tcW w:type="dxa" w:w="198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Update under 1.5s</w:t>
            </w:r>
          </w:p>
        </w:tc>
        <w:tc>
          <w:tcPr>
            <w:tcW w:type="dxa" w:w="198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Rendered under 0.3s</w:t>
            </w:r>
          </w:p>
        </w:tc>
        <w:tc>
          <w:tcPr>
            <w:tcW w:type="dxa" w:w="850"/>
            <w:vAlign w:val="center"/>
            <w:shd w:fill="D4EDDA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b/>
                <w:color w:val="155724"/>
                <w:sz w:val="19"/>
              </w:rPr>
              <w:t>PASS</w:t>
            </w:r>
          </w:p>
        </w:tc>
      </w:tr>
    </w:tbl>
    <w:p/>
    <w:p>
      <w:pPr>
        <w:spacing w:before="120" w:after="120"/>
        <w:pBdr>
          <w:bottom w:val="single" w:sz="4" w:space="1" w:color="DEE2E6"/>
        </w:pBdr>
      </w:pPr>
    </w:p>
    <w:p>
      <w:pPr>
        <w:pStyle w:val="Heading2"/>
      </w:pPr>
      <w:r>
        <w:t>5.2 Automated Testing</w:t>
      </w:r>
    </w:p>
    <w:p>
      <w:pPr>
        <w:spacing w:line="288" w:lineRule="auto"/>
      </w:pPr>
      <w:r>
        <w:rPr>
          <w:rFonts w:ascii="Calibri" w:hAnsi="Calibri"/>
          <w:sz w:val="22"/>
        </w:rPr>
        <w:t>Automated Python validation assertions run within the pipeline before exporting artifacts: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fill="E8F5E9"/>
            <w:tcBorders>
              <w:left w:val="single" w:sz="24" w:space="0" w:color="2E7D32"/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80"/>
            </w:pPr>
            <w:r/>
            <w:r>
              <w:rPr>
                <w:rFonts w:ascii="Calibri" w:hAnsi="Calibri"/>
                <w:b/>
                <w:color w:val="2E7D32"/>
                <w:sz w:val="22"/>
              </w:rPr>
              <w:t>🔒  Automated Data Integrity Checks</w:t>
            </w:r>
          </w:p>
          <w:p>
            <w:pPr>
              <w:spacing w:after="160"/>
            </w:pPr>
            <w:r>
              <w:rPr>
                <w:rFonts w:ascii="Calibri" w:hAnsi="Calibri"/>
                <w:color w:val="333333"/>
                <w:sz w:val="20"/>
              </w:rPr>
              <w:t>1. Assert cleaned dataset contains &gt; 10,000 records.</w:t>
              <w:br/>
              <w:t>2. Assert minimum GFA across all records &gt;= 50,000 sq. ft.</w:t>
              <w:br/>
              <w:t>3. Assert target feature (Total GHG Emissions) contains zero NaN values.</w:t>
            </w:r>
          </w:p>
        </w:tc>
      </w:tr>
    </w:tbl>
    <w:p/>
    <w:p>
      <w:pPr>
        <w:spacing w:before="120" w:after="120"/>
        <w:pBdr>
          <w:bottom w:val="single" w:sz="4" w:space="1" w:color="DEE2E6"/>
        </w:pBdr>
      </w:pPr>
    </w:p>
    <w:p>
      <w:pPr>
        <w:pStyle w:val="Heading2"/>
      </w:pPr>
      <w:r>
        <w:t>5.3 Bug Reports &amp; Resolutions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2" w:space="0" w:color="DEE2E6"/>
          <w:insideV w:val="single" w:sz="2" w:space="0" w:color="DEE2E6"/>
        </w:tblBorders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850"/>
            <w:vAlign w:val="center"/>
            <w:shd w:fill="0A2F5C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Bug ID</w:t>
            </w:r>
          </w:p>
        </w:tc>
        <w:tc>
          <w:tcPr>
            <w:tcW w:type="dxa" w:w="1134"/>
            <w:vAlign w:val="center"/>
            <w:shd w:fill="0A2F5C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551"/>
            <w:vAlign w:val="center"/>
            <w:shd w:fill="0A2F5C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551"/>
            <w:vAlign w:val="center"/>
            <w:shd w:fill="0A2F5C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Root Cause</w:t>
            </w:r>
          </w:p>
        </w:tc>
        <w:tc>
          <w:tcPr>
            <w:tcW w:type="dxa" w:w="2551"/>
            <w:vAlign w:val="center"/>
            <w:shd w:fill="0A2F5C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Resolution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BUG-01</w:t>
            </w:r>
          </w:p>
        </w:tc>
        <w:tc>
          <w:tcPr>
            <w:tcW w:type="dxa" w:w="113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2026-06-30</w:t>
            </w:r>
          </w:p>
        </w:tc>
        <w:tc>
          <w:tcPr>
            <w:tcW w:type="dxa" w:w="2551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Playground accuracy: 63.8% vs 81.6%.</w:t>
            </w:r>
          </w:p>
        </w:tc>
        <w:tc>
          <w:tcPr>
            <w:tcW w:type="dxa" w:w="2551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Outdated filter (EUI &lt; 1500) vs main (EUI &lt; 2000).</w:t>
            </w:r>
          </w:p>
        </w:tc>
        <w:tc>
          <w:tcPr>
            <w:tcW w:type="dxa" w:w="2551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Synchronized filters; accuracy restored to 81.6%.</w:t>
            </w:r>
          </w:p>
        </w:tc>
      </w:tr>
      <w:tr>
        <w:tc>
          <w:tcPr>
            <w:tcW w:type="dxa" w:w="850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BUG-02</w:t>
            </w:r>
          </w:p>
        </w:tc>
        <w:tc>
          <w:tcPr>
            <w:tcW w:type="dxa" w:w="1134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2026-06-30</w:t>
            </w:r>
          </w:p>
        </w:tc>
        <w:tc>
          <w:tcPr>
            <w:tcW w:type="dxa" w:w="2551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SyntaxWarning: "\d" escape sequence.</w:t>
            </w:r>
          </w:p>
        </w:tc>
        <w:tc>
          <w:tcPr>
            <w:tcW w:type="dxa" w:w="2551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Windows backslash path interpreted as regex.</w:t>
            </w:r>
          </w:p>
        </w:tc>
        <w:tc>
          <w:tcPr>
            <w:tcW w:type="dxa" w:w="2551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Standardized to POSIX forward slashes.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BUG-03</w:t>
            </w:r>
          </w:p>
        </w:tc>
        <w:tc>
          <w:tcPr>
            <w:tcW w:type="dxa" w:w="113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2026-07-02</w:t>
            </w:r>
          </w:p>
        </w:tc>
        <w:tc>
          <w:tcPr>
            <w:tcW w:type="dxa" w:w="2551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MSSQL rejected ON DELETE RESTRICT.</w:t>
            </w:r>
          </w:p>
        </w:tc>
        <w:tc>
          <w:tcPr>
            <w:tcW w:type="dxa" w:w="2551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T-SQL does not support ANSI RESTRICT syntax.</w:t>
            </w:r>
          </w:p>
        </w:tc>
        <w:tc>
          <w:tcPr>
            <w:tcW w:type="dxa" w:w="2551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Created dedicated MSSQL schema with NO ACTION.</w:t>
            </w:r>
          </w:p>
        </w:tc>
      </w:tr>
    </w:tbl>
    <w:p/>
    <w:p>
      <w:r>
        <w:br w:type="page"/>
      </w:r>
    </w:p>
    <w:p>
      <w:pPr>
        <w:pStyle w:val="Heading1"/>
      </w:pPr>
      <w:r>
        <w:t>6. User Manual, Deployment &amp; Execution Guide</w:t>
      </w:r>
    </w:p>
    <w:p>
      <w:pPr>
        <w:spacing w:before="120" w:after="120"/>
        <w:pBdr>
          <w:bottom w:val="single" w:sz="4" w:space="1" w:color="DEE2E6"/>
        </w:pBdr>
      </w:pPr>
    </w:p>
    <w:p>
      <w:pPr>
        <w:spacing w:after="200"/>
      </w:pPr>
      <w:r>
        <w:rPr>
          <w:rFonts w:ascii="Calibri" w:hAnsi="Calibri"/>
          <w:i/>
          <w:color w:val="37474F"/>
          <w:sz w:val="22"/>
        </w:rPr>
        <w:t>This section provides complete installation instructions, execution commands, and a step-by-step end user manual for the interactive dashboard.</w:t>
      </w:r>
    </w:p>
    <w:p>
      <w:pPr>
        <w:pStyle w:val="Heading2"/>
      </w:pPr>
      <w:r>
        <w:t>6.1 System Requirements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2" w:space="0" w:color="DEE2E6"/>
          <w:insideV w:val="single" w:sz="2" w:space="0" w:color="DEE2E6"/>
        </w:tblBorders>
      </w:tblPr>
      <w:tblGrid>
        <w:gridCol w:w="4873"/>
        <w:gridCol w:w="4873"/>
      </w:tblGrid>
      <w:tr>
        <w:tc>
          <w:tcPr>
            <w:tcW w:type="dxa" w:w="2268"/>
            <w:vAlign w:val="center"/>
            <w:shd w:fill="0D7377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7370"/>
            <w:vAlign w:val="center"/>
            <w:shd w:fill="0D7377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Specification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Operating System</w:t>
            </w:r>
          </w:p>
        </w:tc>
        <w:tc>
          <w:tcPr>
            <w:tcW w:type="dxa" w:w="7370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Windows 10/11, macOS 11+, or Linux (Ubuntu 20.04+)</w:t>
            </w:r>
          </w:p>
        </w:tc>
      </w:tr>
      <w:tr>
        <w:tc>
          <w:tcPr>
            <w:tcW w:type="dxa" w:w="2268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Python</w:t>
            </w:r>
          </w:p>
        </w:tc>
        <w:tc>
          <w:tcPr>
            <w:tcW w:type="dxa" w:w="7370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Python 3.10+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Memory (RAM)</w:t>
            </w:r>
          </w:p>
        </w:tc>
        <w:tc>
          <w:tcPr>
            <w:tcW w:type="dxa" w:w="7370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4 GB minimum (8 GB recommended)</w:t>
            </w:r>
          </w:p>
        </w:tc>
      </w:tr>
      <w:tr>
        <w:tc>
          <w:tcPr>
            <w:tcW w:type="dxa" w:w="2268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Disk Space</w:t>
            </w:r>
          </w:p>
        </w:tc>
        <w:tc>
          <w:tcPr>
            <w:tcW w:type="dxa" w:w="7370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500 MB free space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Key Libraries</w:t>
            </w:r>
          </w:p>
        </w:tc>
        <w:tc>
          <w:tcPr>
            <w:tcW w:type="dxa" w:w="7370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pandas, numpy, scikit-learn, openpyxl, streamlit, plotly, joblib, fpdf2</w:t>
            </w:r>
          </w:p>
        </w:tc>
      </w:tr>
    </w:tbl>
    <w:p/>
    <w:p>
      <w:pPr>
        <w:spacing w:before="120" w:after="120"/>
        <w:pBdr>
          <w:bottom w:val="single" w:sz="4" w:space="1" w:color="DEE2E6"/>
        </w:pBdr>
      </w:pPr>
    </w:p>
    <w:p>
      <w:pPr>
        <w:pStyle w:val="Heading2"/>
      </w:pPr>
      <w:r>
        <w:t>6.2 Installation Steps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fill="EDE7F6"/>
            <w:tcBorders>
              <w:left w:val="single" w:sz="24" w:space="0" w:color="6A1B9A"/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80"/>
            </w:pPr>
            <w:r/>
            <w:r>
              <w:rPr>
                <w:rFonts w:ascii="Calibri" w:hAnsi="Calibri"/>
                <w:b/>
                <w:color w:val="6A1B9A"/>
                <w:sz w:val="22"/>
              </w:rPr>
              <w:t>Step 1: Clone Repository</w:t>
            </w:r>
          </w:p>
          <w:p>
            <w:pPr>
              <w:spacing w:after="160"/>
            </w:pPr>
            <w:r>
              <w:rPr>
                <w:rFonts w:ascii="Calibri" w:hAnsi="Calibri"/>
                <w:color w:val="333333"/>
                <w:sz w:val="20"/>
              </w:rPr>
              <w:t>git clone https://github.com/ahmedadelamin/carbon-heist-mitigation.git</w:t>
              <w:br/>
              <w:t>cd carbon-heist-mitigation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fill="EDE7F6"/>
            <w:tcBorders>
              <w:left w:val="single" w:sz="24" w:space="0" w:color="6A1B9A"/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160" w:after="80"/>
            </w:pPr>
            <w:r/>
            <w:r>
              <w:rPr>
                <w:rFonts w:ascii="Calibri" w:hAnsi="Calibri"/>
                <w:b/>
                <w:color w:val="6A1B9A"/>
                <w:sz w:val="22"/>
              </w:rPr>
              <w:t>Step 2: Install Dependencies</w:t>
            </w:r>
          </w:p>
          <w:p>
            <w:pPr>
              <w:spacing w:after="160"/>
            </w:pPr>
            <w:r>
              <w:rPr>
                <w:rFonts w:ascii="Calibri" w:hAnsi="Calibri"/>
                <w:color w:val="333333"/>
                <w:sz w:val="20"/>
              </w:rPr>
              <w:t>pip install pandas numpy scikit-learn openpyxl streamlit plotly joblib fpdf2</w:t>
            </w:r>
          </w:p>
        </w:tc>
      </w:tr>
    </w:tbl>
    <w:p/>
    <w:p>
      <w:pPr>
        <w:spacing w:before="120" w:after="120"/>
        <w:pBdr>
          <w:bottom w:val="single" w:sz="4" w:space="1" w:color="DEE2E6"/>
        </w:pBdr>
      </w:pPr>
    </w:p>
    <w:p>
      <w:pPr>
        <w:pStyle w:val="Heading2"/>
      </w:pPr>
      <w:r>
        <w:t>6.3 Execution Guide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2" w:space="0" w:color="DEE2E6"/>
          <w:insideV w:val="single" w:sz="2" w:space="0" w:color="DEE2E6"/>
        </w:tblBorders>
      </w:tblPr>
      <w:tblGrid>
        <w:gridCol w:w="3249"/>
        <w:gridCol w:w="3249"/>
        <w:gridCol w:w="3249"/>
      </w:tblGrid>
      <w:tr>
        <w:tc>
          <w:tcPr>
            <w:tcW w:type="dxa" w:w="1984"/>
            <w:vAlign w:val="center"/>
            <w:shd w:fill="0A2F5C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Option</w:t>
            </w:r>
          </w:p>
        </w:tc>
        <w:tc>
          <w:tcPr>
            <w:tcW w:type="dxa" w:w="3402"/>
            <w:vAlign w:val="center"/>
            <w:shd w:fill="0A2F5C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Command</w:t>
            </w:r>
          </w:p>
        </w:tc>
        <w:tc>
          <w:tcPr>
            <w:tcW w:type="dxa" w:w="4252"/>
            <w:vAlign w:val="center"/>
            <w:shd w:fill="0A2F5C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A: Web Dashboard</w:t>
            </w:r>
          </w:p>
        </w:tc>
        <w:tc>
          <w:tcPr>
            <w:tcW w:type="dxa" w:w="3402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cd application &amp;&amp; streamlit run app.py</w:t>
            </w:r>
          </w:p>
        </w:tc>
        <w:tc>
          <w:tcPr>
            <w:tcW w:type="dxa" w:w="4252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Launch interactive Streamlit dashboard at localhost:8501</w:t>
            </w:r>
          </w:p>
        </w:tc>
      </w:tr>
      <w:tr>
        <w:tc>
          <w:tcPr>
            <w:tcW w:type="dxa" w:w="1984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B: AI Playground</w:t>
            </w:r>
          </w:p>
        </w:tc>
        <w:tc>
          <w:tcPr>
            <w:tcW w:type="dxa" w:w="3402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cd models &amp;&amp; python ll97_playground.py</w:t>
            </w:r>
          </w:p>
        </w:tc>
        <w:tc>
          <w:tcPr>
            <w:tcW w:type="dxa" w:w="4252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Test building archetypes interactively in terminal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C: Data Cleaning</w:t>
            </w:r>
          </w:p>
        </w:tc>
        <w:tc>
          <w:tcPr>
            <w:tcW w:type="dxa" w:w="3402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cd data &amp;&amp; python Clean_Data_Pipeline.py</w:t>
            </w:r>
          </w:p>
        </w:tc>
        <w:tc>
          <w:tcPr>
            <w:tcW w:type="dxa" w:w="4252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Regenerate clean dataset from raw LL84 spreadsheets</w:t>
            </w:r>
          </w:p>
        </w:tc>
      </w:tr>
    </w:tbl>
    <w:p/>
    <w:p>
      <w:pPr>
        <w:spacing w:before="120" w:after="120"/>
        <w:pBdr>
          <w:bottom w:val="single" w:sz="4" w:space="1" w:color="DEE2E6"/>
        </w:pBdr>
      </w:pPr>
    </w:p>
    <w:p>
      <w:pPr>
        <w:pStyle w:val="Heading2"/>
      </w:pPr>
      <w:r>
        <w:t>6.4 End User Manual: Navigating the Dashboard</w:t>
      </w:r>
    </w:p>
    <w:p>
      <w:pPr>
        <w:pStyle w:val="ListBullet"/>
        <w:spacing w:after="60"/>
        <w:ind w:left="720"/>
      </w:pPr>
      <w:r>
        <w:rPr>
          <w:rFonts w:ascii="Calibri" w:hAnsi="Calibri"/>
          <w:b/>
          <w:color w:val="0A2F5C"/>
          <w:sz w:val="22"/>
        </w:rPr>
        <w:t xml:space="preserve">Step 1 - Configure Asset Profile: </w:t>
      </w:r>
      <w:r>
        <w:rPr>
          <w:rFonts w:ascii="Calibri" w:hAnsi="Calibri"/>
          <w:sz w:val="22"/>
        </w:rPr>
        <w:t>Use sidebar controls to select Borough, Property Type, Year Built, and GFA slider.</w:t>
      </w:r>
    </w:p>
    <w:p>
      <w:pPr>
        <w:pStyle w:val="ListBullet"/>
        <w:spacing w:after="60"/>
        <w:ind w:left="720"/>
      </w:pPr>
      <w:r>
        <w:rPr>
          <w:rFonts w:ascii="Calibri" w:hAnsi="Calibri"/>
          <w:b/>
          <w:color w:val="0A2F5C"/>
          <w:sz w:val="22"/>
        </w:rPr>
        <w:t xml:space="preserve">Step 2 - Review KPI Cards: </w:t>
      </w:r>
      <w:r>
        <w:rPr>
          <w:rFonts w:ascii="Calibri" w:hAnsi="Calibri"/>
          <w:sz w:val="22"/>
        </w:rPr>
        <w:t>Review real-time KPI cards: AI Predicted Emissions (MT CO2e), Carbon Liability ($/sqft), and Peer Benchmark Gap.</w:t>
      </w:r>
    </w:p>
    <w:p>
      <w:pPr>
        <w:pStyle w:val="ListBullet"/>
        <w:spacing w:after="60"/>
        <w:ind w:left="720"/>
      </w:pPr>
      <w:r>
        <w:rPr>
          <w:rFonts w:ascii="Calibri" w:hAnsi="Calibri"/>
          <w:b/>
          <w:color w:val="0A2F5C"/>
          <w:sz w:val="22"/>
        </w:rPr>
        <w:t xml:space="preserve">Step 3 - Simulate Retrofits: </w:t>
      </w:r>
      <w:r>
        <w:rPr>
          <w:rFonts w:ascii="Calibri" w:hAnsi="Calibri"/>
          <w:sz w:val="22"/>
        </w:rPr>
        <w:t>Navigate to the Decarbonization Simulation section to model HVAC, insulation, and electrification upgrades for penalty savings.</w:t>
      </w:r>
    </w:p>
    <w:p>
      <w:pPr>
        <w:spacing w:before="120" w:after="120"/>
        <w:pBdr>
          <w:bottom w:val="single" w:sz="4" w:space="1" w:color="DEE2E6"/>
        </w:pBdr>
      </w:pPr>
    </w:p>
    <w:p>
      <w:pPr>
        <w:pStyle w:val="Heading2"/>
      </w:pPr>
      <w:r>
        <w:t>6.5 Database Initialization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2" w:space="0" w:color="DEE2E6"/>
          <w:insideV w:val="single" w:sz="2" w:space="0" w:color="DEE2E6"/>
        </w:tblBorders>
      </w:tblPr>
      <w:tblGrid>
        <w:gridCol w:w="4873"/>
        <w:gridCol w:w="4873"/>
      </w:tblGrid>
      <w:tr>
        <w:tc>
          <w:tcPr>
            <w:tcW w:type="dxa" w:w="2835"/>
            <w:vAlign w:val="center"/>
            <w:shd w:fill="0D7377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Database Engine</w:t>
            </w:r>
          </w:p>
        </w:tc>
        <w:tc>
          <w:tcPr>
            <w:tcW w:type="dxa" w:w="6803"/>
            <w:vAlign w:val="center"/>
            <w:shd w:fill="0D7377"/>
          </w:tcPr>
          <w:p>
            <w:pPr>
              <w:spacing w:before="100" w:after="10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Schema File to Execute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MySQL / PostgreSQL</w:t>
            </w:r>
          </w:p>
        </w:tc>
        <w:tc>
          <w:tcPr>
            <w:tcW w:type="dxa" w:w="6803"/>
            <w:vAlign w:val="cente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database/carbon_heist_schema_mysql.sql</w:t>
            </w:r>
          </w:p>
        </w:tc>
      </w:tr>
      <w:tr>
        <w:tc>
          <w:tcPr>
            <w:tcW w:type="dxa" w:w="2835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A1A2E"/>
                <w:sz w:val="19"/>
              </w:rPr>
              <w:t>Microsoft SQL Server (T-SQL)</w:t>
            </w:r>
          </w:p>
        </w:tc>
        <w:tc>
          <w:tcPr>
            <w:tcW w:type="dxa" w:w="6803"/>
            <w:vAlign w:val="center"/>
            <w:shd w:fill="EDF4FA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A1A2E"/>
                <w:sz w:val="19"/>
              </w:rPr>
              <w:t>database/carbon_heist_schema_mssql.sql</w:t>
            </w:r>
          </w:p>
        </w:tc>
      </w:tr>
    </w:tbl>
    <w:p/>
    <w:p>
      <w:r>
        <w:br w:type="page"/>
      </w:r>
    </w:p>
    <w:p/>
    <w:p/>
    <w:p/>
    <w:p/>
    <w:p/>
    <w:p/>
    <w:p/>
    <w:p/>
    <w:p>
      <w:pPr>
        <w:jc w:val="center"/>
      </w:pPr>
      <w:r>
        <w:rPr>
          <w:rFonts w:ascii="Calibri" w:hAnsi="Calibri"/>
          <w:b/>
          <w:color w:val="0A2F5C"/>
          <w:sz w:val="40"/>
        </w:rPr>
        <w:t>End of Document</w:t>
      </w:r>
    </w:p>
    <w:p/>
    <w:p>
      <w:pPr>
        <w:jc w:val="center"/>
      </w:pPr>
      <w:r>
        <w:rPr>
          <w:rFonts w:ascii="Calibri" w:hAnsi="Calibri"/>
          <w:i/>
          <w:color w:val="009688"/>
          <w:sz w:val="24"/>
        </w:rPr>
        <w:t>Carbon Heist Mitigation Platform</w:t>
      </w:r>
    </w:p>
    <w:p>
      <w:pPr>
        <w:jc w:val="center"/>
      </w:pPr>
      <w:r>
        <w:rPr>
          <w:rFonts w:ascii="Calibri" w:hAnsi="Calibri"/>
          <w:color w:val="606D76"/>
          <w:sz w:val="20"/>
        </w:rPr>
        <w:t>github.com/ahmedadelamin/carbon-heist-mitigation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fill="0A2F5C"/>
          </w:tcPr>
          <w:p>
            <w:r/>
            <w:r>
              <w:rPr>
                <w:sz w:val="6"/>
              </w:rPr>
              <w:t xml:space="preserve"> 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888888"/>
        <w:sz w:val="16"/>
      </w:rPr>
      <w:t xml:space="preserve">Carbon Heist Mitigation Platform  |  Page </w:t>
    </w:r>
    <w:fldChar w:fldCharType="begin"/>
    <w:instrText xml:space="preserve"> PAGE </w:instrText>
    <w:fldChar w:fldCharType="end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Calibri" w:hAnsi="Calibri"/>
      <w:color w:val="1A1A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560" w:after="280"/>
      <w:outlineLvl w:val="0"/>
    </w:pPr>
    <w:rPr>
      <w:rFonts w:asciiTheme="majorHAnsi" w:eastAsiaTheme="majorEastAsia" w:hAnsiTheme="majorHAnsi" w:cstheme="majorBidi" w:ascii="Calibri" w:hAnsi="Calibri"/>
      <w:b/>
      <w:bCs/>
      <w:color w:val="0A2F5C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0" w:after="200"/>
      <w:outlineLvl w:val="1"/>
    </w:pPr>
    <w:rPr>
      <w:rFonts w:asciiTheme="majorHAnsi" w:eastAsiaTheme="majorEastAsia" w:hAnsiTheme="majorHAnsi" w:cstheme="majorBidi" w:ascii="Calibri" w:hAnsi="Calibri"/>
      <w:b/>
      <w:bCs/>
      <w:color w:val="009688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37474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