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11,638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11,638</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NYC's LL97 imposes strict carbon limits on buildings over 25,000 sq.ft.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11,638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11,638-building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11,638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11,638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t>5.6 Power BI &amp; Tableau Executive BI Portals &amp; C-Suite Visual Analytics</w:t>
      </w:r>
    </w:p>
    <w:p>
      <w:r>
        <w:t>To complement the 16-sheet Excel financial model and the live Streamlit application, the project suite integrates standalone Dual-Engine 3-Page Executive Business Intelligence Portals: the Power BI Executive BI Portal (NYC_Carbon_Heist_Mitigation_PowerBI_Dashboard.pbix) and the Tableau Executive BI Portal (NYC_Carbon_Heist_Mitigation_Tableau_Dashboard.twbx). Both workbooks feature high-contrast C-Suite aesthetics (#0F172A Dark Royal Navy / #FFD700 Gold), synchronized multi-dimensional slicers, and custom DAX/Calculated measures bridging macro geographical trends down to building-level financial fine liabilities (.83B baseline) and .9M fine savings waterfalls across all 11,638 properties.</w:t>
      </w:r>
    </w:p>
    <w:p>
      <w:r>
        <w:rPr>
          <w:b/>
        </w:rPr>
        <w:t>• Page 1: NYC Energy Efficiency &amp; Emissions Monitor — Establishes the macro footprint of NYC's greenhouse gas emissions across the five boroughs (10.56M Metric Tons CO2e), highlighting Manhattan (5.40M MT) and Brooklyn (1.75M MT) via horizontal bars, geographic choropleth maps, decade-built histograms, and area scatter plots.</w:t>
      </w:r>
      <w:r/>
    </w:p>
    <w:p>
      <w:r>
        <w:rPr>
          <w:b/>
        </w:rPr>
        <w:t>• Page 2: LL97 Compliance &amp; Carbon Performance — Quantifies immediate financial fine exposure facing non-compliant properties ($2.83 Billion projected liabilities). It isolates top penalty buildings (e.g., Co-Op City at $0.04B/yr) and highlights Multifamily Housing ($1.20B+) and Commercial Offices ($0.40B+) as the core portfolio liabilities alongside a vertical compliance progress banner.</w:t>
      </w:r>
      <w:r/>
    </w:p>
    <w:p>
      <w:r>
        <w:rPr>
          <w:b/>
        </w:rPr>
        <w:t>• Page 3: Decarbonization Roadmap &amp; Live Mobile Bridge — Delivers a concrete, 6-playbook self-funding engineering cascade (Surgical Strike -&gt; Retro-commissioning -&gt; Smart Scale -&gt; WET Systems -&gt; Electrification Push). It features detailed prescriptive solutions for LED/HVAC, building envelope insulation, and renewable energy, paired with an embedded mobile-scannable C-Suite QR Code Portal framed in crisp white (#FFFFFF) that allows executives to launch the live online Tableau C-Suite Portal directly from their smartphones.</w:t>
      </w:r>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