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300" w:lineRule="atLeast"/>
        <w:rPr>
          <w:sz w:val="21"/>
          <w:szCs w:val="21"/>
        </w:rPr>
      </w:pPr>
      <w:r>
        <w:rPr>
          <w:sz w:val="21"/>
          <w:szCs w:val="21"/>
          <w:rtl w:val="0"/>
          <w:lang w:val="en-US"/>
        </w:rPr>
        <w:t xml:space="preserve">The Ministry of National Guard Health Affairs (NGHA) is a governmental healthcare institution serving the population of National Guard employees and their dependents. At present NGHA is comprised of two (2) major medical cities </w:t>
      </w:r>
      <w:r>
        <w:rPr>
          <w:sz w:val="21"/>
          <w:szCs w:val="21"/>
          <w:rtl w:val="0"/>
          <w:lang w:val="en-US"/>
        </w:rPr>
        <w:t xml:space="preserve">– </w:t>
      </w:r>
      <w:r>
        <w:rPr>
          <w:sz w:val="21"/>
          <w:szCs w:val="21"/>
          <w:rtl w:val="0"/>
          <w:lang w:val="en-US"/>
        </w:rPr>
        <w:t xml:space="preserve">King Abdulaziz Medical City, Riyadh (1229 beds) and King Abdulaziz Medical City, Jeddah (566 beds) and three hospitals </w:t>
      </w:r>
      <w:r>
        <w:rPr>
          <w:sz w:val="21"/>
          <w:szCs w:val="21"/>
          <w:rtl w:val="0"/>
          <w:lang w:val="en-US"/>
        </w:rPr>
        <w:t xml:space="preserve">– </w:t>
      </w:r>
      <w:r>
        <w:rPr>
          <w:sz w:val="21"/>
          <w:szCs w:val="21"/>
          <w:rtl w:val="0"/>
          <w:lang w:val="en-US"/>
        </w:rPr>
        <w:t>King Abdulaziz Hospital, Al Ahsa (332 beds), Imam Abdulrahman Bin Faisal Hospital, Dammam (163 beds) and Prince Mohammad bin Abdulaziz Hospital, Madinah (320 beds). These hospitals are undergoing continuous expansion and another 320 beds specialty hospital, the King Abdullah Specialized Children</w:t>
      </w:r>
      <w:r>
        <w:rPr>
          <w:sz w:val="21"/>
          <w:szCs w:val="21"/>
          <w:rtl w:val="0"/>
          <w:lang w:val="en-US"/>
        </w:rPr>
        <w:t>’</w:t>
      </w:r>
      <w:r>
        <w:rPr>
          <w:sz w:val="21"/>
          <w:szCs w:val="21"/>
          <w:rtl w:val="0"/>
          <w:lang w:val="en-US"/>
        </w:rPr>
        <w:t>s Hospital, Riyadh is expected to be opened soon. NGHA has also 74 healthcare facilities kingdom-wide.</w:t>
      </w:r>
    </w:p>
    <w:p>
      <w:pPr>
        <w:pStyle w:val="Body"/>
        <w:spacing w:after="0" w:line="300" w:lineRule="atLeast"/>
        <w:outlineLvl w:val="2"/>
        <w:rPr>
          <w:b w:val="1"/>
          <w:bCs w:val="1"/>
          <w:sz w:val="21"/>
          <w:szCs w:val="21"/>
        </w:rPr>
      </w:pPr>
      <w:r>
        <w:rPr>
          <w:b w:val="1"/>
          <w:bCs w:val="1"/>
          <w:sz w:val="21"/>
          <w:szCs w:val="21"/>
          <w:rtl w:val="0"/>
          <w:lang w:val="en-US"/>
        </w:rPr>
        <w:t>Website</w:t>
      </w:r>
    </w:p>
    <w:p>
      <w:pPr>
        <w:pStyle w:val="Body"/>
        <w:spacing w:after="0" w:line="300" w:lineRule="atLeast"/>
        <w:rPr>
          <w:rStyle w:val="None"/>
          <w:sz w:val="21"/>
          <w:szCs w:val="21"/>
        </w:rPr>
      </w:pPr>
      <w:r>
        <w:rPr>
          <w:rStyle w:val="Hyperlink.0"/>
          <w:b w:val="1"/>
          <w:bCs w:val="1"/>
          <w:color w:val="0073b1"/>
          <w:sz w:val="21"/>
          <w:szCs w:val="21"/>
          <w:u w:val="single" w:color="0073b1"/>
        </w:rPr>
        <w:fldChar w:fldCharType="begin" w:fldLock="0"/>
      </w:r>
      <w:r>
        <w:rPr>
          <w:rStyle w:val="Hyperlink.0"/>
          <w:b w:val="1"/>
          <w:bCs w:val="1"/>
          <w:color w:val="0073b1"/>
          <w:sz w:val="21"/>
          <w:szCs w:val="21"/>
          <w:u w:val="single" w:color="0073b1"/>
        </w:rPr>
        <w:instrText xml:space="preserve"> HYPERLINK "https://www.linkedin.com/redir/redirect?url=http%253A%252F%252Fwww%252Engha%252Emed%252Esa&amp;urlhash=mFKO&amp;trk=about_website"</w:instrText>
      </w:r>
      <w:r>
        <w:rPr>
          <w:rStyle w:val="Hyperlink.0"/>
          <w:b w:val="1"/>
          <w:bCs w:val="1"/>
          <w:color w:val="0073b1"/>
          <w:sz w:val="21"/>
          <w:szCs w:val="21"/>
          <w:u w:val="single" w:color="0073b1"/>
        </w:rPr>
        <w:fldChar w:fldCharType="separate" w:fldLock="0"/>
      </w:r>
      <w:r>
        <w:rPr>
          <w:rStyle w:val="Hyperlink.0"/>
          <w:b w:val="1"/>
          <w:bCs w:val="1"/>
          <w:color w:val="0073b1"/>
          <w:sz w:val="21"/>
          <w:szCs w:val="21"/>
          <w:u w:val="single" w:color="0073b1"/>
          <w:rtl w:val="0"/>
          <w:lang w:val="en-US"/>
        </w:rPr>
        <w:t>http://www.ngha.med.sa</w:t>
      </w:r>
      <w:r>
        <w:rPr>
          <w:sz w:val="24"/>
          <w:szCs w:val="24"/>
        </w:rPr>
        <w:fldChar w:fldCharType="end" w:fldLock="0"/>
      </w:r>
    </w:p>
    <w:p>
      <w:pPr>
        <w:pStyle w:val="Body"/>
        <w:spacing w:after="0" w:line="240" w:lineRule="auto"/>
        <w:rPr>
          <w:sz w:val="24"/>
          <w:szCs w:val="24"/>
        </w:rPr>
      </w:pPr>
    </w:p>
    <w:tbl>
      <w:tblPr>
        <w:tblW w:w="93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33"/>
        <w:gridCol w:w="3597"/>
        <w:gridCol w:w="160"/>
      </w:tblGrid>
      <w:tr>
        <w:tblPrEx>
          <w:shd w:val="clear" w:color="auto" w:fill="ced7e7"/>
        </w:tblPrEx>
        <w:trPr>
          <w:trHeight w:val="2331" w:hRule="atLeast"/>
        </w:trPr>
        <w:tc>
          <w:tcPr>
            <w:tcW w:type="dxa" w:w="5633"/>
            <w:tcBorders>
              <w:top w:val="nil"/>
              <w:left w:val="nil"/>
              <w:bottom w:val="nil"/>
              <w:right w:val="nil"/>
            </w:tcBorders>
            <w:shd w:val="clear" w:color="auto" w:fill="auto"/>
            <w:tcMar>
              <w:top w:type="dxa" w:w="80"/>
              <w:left w:type="dxa" w:w="80"/>
              <w:bottom w:type="dxa" w:w="80"/>
              <w:right w:type="dxa" w:w="80"/>
            </w:tcMar>
            <w:vAlign w:val="center"/>
          </w:tcPr>
          <w:p>
            <w:pPr>
              <w:pStyle w:val="Body"/>
              <w:spacing w:before="150" w:after="150" w:line="300" w:lineRule="atLeast"/>
              <w:outlineLvl w:val="0"/>
              <w:rPr>
                <w:rStyle w:val="None"/>
                <w:rFonts w:ascii="Times New Roman" w:cs="Times New Roman" w:hAnsi="Times New Roman" w:eastAsia="Times New Roman"/>
                <w:color w:val="333333"/>
                <w:kern w:val="36"/>
                <w:sz w:val="42"/>
                <w:szCs w:val="42"/>
                <w:u w:color="333333"/>
              </w:rPr>
            </w:pPr>
            <w:r>
              <w:rPr>
                <w:rStyle w:val="None"/>
                <w:rFonts w:ascii="Times New Roman" w:hAnsi="Times New Roman"/>
                <w:color w:val="333333"/>
                <w:kern w:val="36"/>
                <w:sz w:val="42"/>
                <w:szCs w:val="42"/>
                <w:u w:color="333333"/>
                <w:rtl w:val="0"/>
                <w:lang w:val="en-US"/>
              </w:rPr>
              <w:t>Mission</w:t>
            </w:r>
          </w:p>
          <w:p>
            <w:pPr>
              <w:pStyle w:val="Body"/>
              <w:bidi w:val="0"/>
              <w:spacing w:after="150" w:line="240" w:lineRule="auto"/>
              <w:ind w:left="0" w:right="0" w:firstLine="0"/>
              <w:jc w:val="left"/>
              <w:rPr>
                <w:rStyle w:val="None"/>
                <w:rFonts w:ascii="Times New Roman" w:cs="Times New Roman" w:hAnsi="Times New Roman" w:eastAsia="Times New Roman"/>
                <w:color w:val="576170"/>
                <w:sz w:val="21"/>
                <w:szCs w:val="21"/>
                <w:u w:color="576170"/>
                <w:rtl w:val="0"/>
              </w:rPr>
            </w:pPr>
            <w:r>
              <w:rPr>
                <w:rStyle w:val="None"/>
                <w:rFonts w:ascii="Times New Roman" w:hAnsi="Times New Roman"/>
                <w:color w:val="576170"/>
                <w:sz w:val="21"/>
                <w:szCs w:val="21"/>
                <w:u w:color="576170"/>
                <w:rtl w:val="0"/>
                <w:lang w:val="en-US"/>
              </w:rPr>
              <w:t>Ministry of National Guard Health Affairs provides optimum healthcare to SANG personnel, their dependents and other eligible patients. MNGHA also provides excellent academic opportunities, conducts research and participates in industry and community service programs in the health field.</w:t>
            </w:r>
          </w:p>
          <w:p>
            <w:pPr>
              <w:pStyle w:val="Body"/>
              <w:bidi w:val="0"/>
              <w:spacing w:after="150" w:line="240" w:lineRule="auto"/>
              <w:ind w:left="0" w:right="0" w:firstLine="0"/>
              <w:jc w:val="left"/>
              <w:rPr>
                <w:rtl w:val="0"/>
              </w:rPr>
            </w:pPr>
            <w:r>
              <w:rPr>
                <w:rStyle w:val="None"/>
                <w:rFonts w:ascii="Arial Unicode MS" w:cs="Arial Unicode MS" w:hAnsi="Arial Unicode MS" w:eastAsia="Arial Unicode MS"/>
                <w:b w:val="0"/>
                <w:bCs w:val="0"/>
                <w:i w:val="0"/>
                <w:iCs w:val="0"/>
                <w:color w:val="576170"/>
                <w:sz w:val="21"/>
                <w:szCs w:val="21"/>
                <w:u w:color="576170"/>
                <w:lang w:val="en-US"/>
              </w:rPr>
              <w:br w:type="textWrapping"/>
            </w:r>
            <w:r>
              <w:rPr>
                <w:rStyle w:val="None"/>
                <w:rFonts w:ascii="Times New Roman" w:hAnsi="Times New Roman" w:hint="default"/>
                <w:color w:val="576170"/>
                <w:sz w:val="21"/>
                <w:szCs w:val="21"/>
                <w:u w:color="576170"/>
                <w:rtl w:val="0"/>
                <w:lang w:val="en-US"/>
              </w:rPr>
              <w:t> </w:t>
            </w:r>
          </w:p>
        </w:tc>
        <w:tc>
          <w:tcPr>
            <w:tcW w:type="dxa" w:w="3597"/>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Style w:val="None"/>
                <w:rFonts w:ascii="Times New Roman" w:hAnsi="Times New Roman" w:hint="default"/>
                <w:color w:val="333333"/>
                <w:sz w:val="21"/>
                <w:szCs w:val="21"/>
                <w:u w:color="333333"/>
                <w:rtl w:val="0"/>
                <w:lang w:val="en-US"/>
              </w:rPr>
              <w:t>​</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331" w:hRule="atLeast"/>
        </w:trPr>
        <w:tc>
          <w:tcPr>
            <w:tcW w:type="dxa" w:w="563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Style w:val="None"/>
                <w:rFonts w:ascii="Times New Roman" w:cs="Times New Roman" w:hAnsi="Times New Roman" w:eastAsia="Times New Roman"/>
                <w:color w:val="333333"/>
                <w:sz w:val="21"/>
                <w:szCs w:val="21"/>
                <w:u w:color="333333"/>
              </w:rPr>
              <w:drawing>
                <wp:inline distT="0" distB="0" distL="0" distR="0">
                  <wp:extent cx="892810" cy="892810"/>
                  <wp:effectExtent l="0" t="0" r="0" b="0"/>
                  <wp:docPr id="1073741825" name="officeArt object" descr="http://portal.ngha.med/PublishingImages/vision.png"/>
                  <wp:cNvGraphicFramePr/>
                  <a:graphic xmlns:a="http://schemas.openxmlformats.org/drawingml/2006/main">
                    <a:graphicData uri="http://schemas.openxmlformats.org/drawingml/2006/picture">
                      <pic:pic xmlns:pic="http://schemas.openxmlformats.org/drawingml/2006/picture">
                        <pic:nvPicPr>
                          <pic:cNvPr id="1073741825" name="http://portal.ngha.med/PublishingImages/vision.png" descr="http://portal.ngha.med/PublishingImages/vision.png"/>
                          <pic:cNvPicPr>
                            <a:picLocks noChangeAspect="1"/>
                          </pic:cNvPicPr>
                        </pic:nvPicPr>
                        <pic:blipFill>
                          <a:blip r:embed="rId4">
                            <a:extLst/>
                          </a:blip>
                          <a:stretch>
                            <a:fillRect/>
                          </a:stretch>
                        </pic:blipFill>
                        <pic:spPr>
                          <a:xfrm>
                            <a:off x="0" y="0"/>
                            <a:ext cx="892810" cy="892810"/>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color w:val="333333"/>
                <w:sz w:val="21"/>
                <w:szCs w:val="21"/>
                <w:u w:color="333333"/>
                <w:lang w:val="en-US"/>
              </w:rPr>
              <w:br w:type="textWrapping"/>
              <w:br w:type="textWrapping"/>
              <w:br w:type="textWrapping"/>
            </w:r>
            <w:r>
              <w:rPr>
                <w:rStyle w:val="None"/>
                <w:rFonts w:ascii="Times New Roman" w:hAnsi="Times New Roman" w:hint="default"/>
                <w:color w:val="333333"/>
                <w:sz w:val="21"/>
                <w:szCs w:val="21"/>
                <w:u w:color="333333"/>
                <w:rtl w:val="0"/>
                <w:lang w:val="en-US"/>
              </w:rPr>
              <w:t>​</w:t>
            </w:r>
          </w:p>
        </w:tc>
        <w:tc>
          <w:tcPr>
            <w:tcW w:type="dxa" w:w="3597"/>
            <w:tcBorders>
              <w:top w:val="nil"/>
              <w:left w:val="nil"/>
              <w:bottom w:val="nil"/>
              <w:right w:val="nil"/>
            </w:tcBorders>
            <w:shd w:val="clear" w:color="auto" w:fill="auto"/>
            <w:tcMar>
              <w:top w:type="dxa" w:w="80"/>
              <w:left w:type="dxa" w:w="80"/>
              <w:bottom w:type="dxa" w:w="80"/>
              <w:right w:type="dxa" w:w="80"/>
            </w:tcMar>
            <w:vAlign w:val="center"/>
          </w:tcPr>
          <w:p>
            <w:pPr>
              <w:pStyle w:val="Body"/>
              <w:spacing w:before="150" w:after="150" w:line="300" w:lineRule="atLeast"/>
              <w:outlineLvl w:val="0"/>
              <w:rPr>
                <w:rStyle w:val="None"/>
                <w:rFonts w:ascii="Times New Roman" w:cs="Times New Roman" w:hAnsi="Times New Roman" w:eastAsia="Times New Roman"/>
                <w:color w:val="333333"/>
                <w:kern w:val="36"/>
                <w:sz w:val="42"/>
                <w:szCs w:val="42"/>
                <w:u w:color="333333"/>
              </w:rPr>
            </w:pPr>
            <w:r>
              <w:rPr>
                <w:rStyle w:val="None"/>
                <w:rFonts w:ascii="Times New Roman" w:hAnsi="Times New Roman" w:hint="default"/>
                <w:color w:val="333333"/>
                <w:kern w:val="36"/>
                <w:sz w:val="42"/>
                <w:szCs w:val="42"/>
                <w:u w:color="333333"/>
                <w:rtl w:val="0"/>
                <w:lang w:val="en-US"/>
              </w:rPr>
              <w:t>​</w:t>
            </w:r>
            <w:r>
              <w:rPr>
                <w:rStyle w:val="None"/>
                <w:rFonts w:ascii="Times New Roman" w:hAnsi="Times New Roman"/>
                <w:color w:val="333333"/>
                <w:kern w:val="36"/>
                <w:sz w:val="42"/>
                <w:szCs w:val="42"/>
                <w:u w:color="333333"/>
                <w:rtl w:val="0"/>
                <w:lang w:val="en-US"/>
              </w:rPr>
              <w:t>Vision</w:t>
            </w:r>
          </w:p>
          <w:p>
            <w:pPr>
              <w:pStyle w:val="Body"/>
              <w:bidi w:val="0"/>
              <w:spacing w:after="150" w:line="240" w:lineRule="auto"/>
              <w:ind w:left="0" w:right="0" w:firstLine="0"/>
              <w:jc w:val="left"/>
              <w:rPr>
                <w:rStyle w:val="None"/>
                <w:rFonts w:ascii="Times New Roman" w:cs="Times New Roman" w:hAnsi="Times New Roman" w:eastAsia="Times New Roman"/>
                <w:color w:val="576170"/>
                <w:sz w:val="21"/>
                <w:szCs w:val="21"/>
                <w:u w:color="576170"/>
                <w:rtl w:val="0"/>
              </w:rPr>
            </w:pPr>
            <w:r>
              <w:rPr>
                <w:rStyle w:val="None"/>
                <w:rFonts w:ascii="Times New Roman" w:hAnsi="Times New Roman"/>
                <w:color w:val="576170"/>
                <w:sz w:val="21"/>
                <w:szCs w:val="21"/>
                <w:u w:color="576170"/>
                <w:rtl w:val="0"/>
                <w:lang w:val="en-US"/>
              </w:rPr>
              <w:t>Ministry of National Guard Health Affairs will be recognized as internationally acclaimed centers of excellence to enhance individual and public health status.</w:t>
            </w:r>
          </w:p>
          <w:p>
            <w:pPr>
              <w:pStyle w:val="Body"/>
              <w:bidi w:val="0"/>
              <w:spacing w:after="150" w:line="240" w:lineRule="auto"/>
              <w:ind w:left="0" w:right="0" w:firstLine="0"/>
              <w:jc w:val="left"/>
              <w:rPr>
                <w:rtl w:val="0"/>
              </w:rPr>
            </w:pPr>
            <w:r>
              <w:rPr>
                <w:rStyle w:val="None"/>
                <w:rFonts w:ascii="Arial Unicode MS" w:cs="Arial Unicode MS" w:hAnsi="Arial Unicode MS" w:eastAsia="Arial Unicode MS"/>
                <w:b w:val="0"/>
                <w:bCs w:val="0"/>
                <w:i w:val="0"/>
                <w:iCs w:val="0"/>
                <w:color w:val="576170"/>
                <w:sz w:val="21"/>
                <w:szCs w:val="21"/>
                <w:u w:color="576170"/>
                <w:lang w:val="en-US"/>
              </w:rPr>
              <w:br w:type="textWrapping"/>
            </w:r>
            <w:r>
              <w:rPr>
                <w:rStyle w:val="None"/>
                <w:rFonts w:ascii="Times New Roman" w:hAnsi="Times New Roman" w:hint="default"/>
                <w:color w:val="576170"/>
                <w:sz w:val="21"/>
                <w:szCs w:val="21"/>
                <w:u w:color="57617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Style w:val="None"/>
                <w:rFonts w:ascii="Times New Roman" w:hAnsi="Times New Roman" w:hint="default"/>
                <w:color w:val="333333"/>
                <w:sz w:val="21"/>
                <w:szCs w:val="21"/>
                <w:u w:color="333333"/>
                <w:rtl w:val="0"/>
                <w:lang w:val="en-US"/>
              </w:rPr>
              <w:t>​</w:t>
            </w:r>
          </w:p>
        </w:tc>
      </w:tr>
      <w:tr>
        <w:tblPrEx>
          <w:shd w:val="clear" w:color="auto" w:fill="ced7e7"/>
        </w:tblPrEx>
        <w:trPr>
          <w:trHeight w:val="5942" w:hRule="atLeast"/>
        </w:trPr>
        <w:tc>
          <w:tcPr>
            <w:tcW w:type="dxa" w:w="5633"/>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40" w:lineRule="auto"/>
            </w:pPr>
            <w:r>
              <w:rPr>
                <w:rStyle w:val="None"/>
                <w:rFonts w:ascii="Times New Roman" w:cs="Times New Roman" w:hAnsi="Times New Roman" w:eastAsia="Times New Roman"/>
                <w:color w:val="333333"/>
                <w:sz w:val="21"/>
                <w:szCs w:val="21"/>
                <w:u w:color="333333"/>
              </w:rPr>
              <w:drawing>
                <wp:inline distT="0" distB="0" distL="0" distR="0">
                  <wp:extent cx="892810" cy="892810"/>
                  <wp:effectExtent l="0" t="0" r="0" b="0"/>
                  <wp:docPr id="1073741826" name="officeArt object" descr="http://portal.ngha.med/PublishingImages/core.png"/>
                  <wp:cNvGraphicFramePr/>
                  <a:graphic xmlns:a="http://schemas.openxmlformats.org/drawingml/2006/main">
                    <a:graphicData uri="http://schemas.openxmlformats.org/drawingml/2006/picture">
                      <pic:pic xmlns:pic="http://schemas.openxmlformats.org/drawingml/2006/picture">
                        <pic:nvPicPr>
                          <pic:cNvPr id="1073741826" name="http://portal.ngha.med/PublishingImages/core.png" descr="http://portal.ngha.med/PublishingImages/core.png"/>
                          <pic:cNvPicPr>
                            <a:picLocks noChangeAspect="1"/>
                          </pic:cNvPicPr>
                        </pic:nvPicPr>
                        <pic:blipFill>
                          <a:blip r:embed="rId5">
                            <a:extLst/>
                          </a:blip>
                          <a:stretch>
                            <a:fillRect/>
                          </a:stretch>
                        </pic:blipFill>
                        <pic:spPr>
                          <a:xfrm>
                            <a:off x="0" y="0"/>
                            <a:ext cx="892810" cy="892810"/>
                          </a:xfrm>
                          <a:prstGeom prst="rect">
                            <a:avLst/>
                          </a:prstGeom>
                          <a:ln w="12700" cap="flat">
                            <a:noFill/>
                            <a:miter lim="400000"/>
                          </a:ln>
                          <a:effectLst/>
                        </pic:spPr>
                      </pic:pic>
                    </a:graphicData>
                  </a:graphic>
                </wp:inline>
              </w:drawing>
            </w:r>
            <w:r>
              <w:rPr>
                <w:rStyle w:val="None"/>
                <w:rFonts w:ascii="Arial Unicode MS" w:cs="Arial Unicode MS" w:hAnsi="Arial Unicode MS" w:eastAsia="Arial Unicode MS"/>
                <w:b w:val="0"/>
                <w:bCs w:val="0"/>
                <w:i w:val="0"/>
                <w:iCs w:val="0"/>
                <w:color w:val="333333"/>
                <w:sz w:val="21"/>
                <w:szCs w:val="21"/>
                <w:u w:color="333333"/>
                <w:lang w:val="en-US"/>
              </w:rPr>
              <w:br w:type="textWrapping"/>
            </w:r>
            <w:r>
              <w:rPr>
                <w:rStyle w:val="None"/>
                <w:rFonts w:ascii="Times New Roman" w:hAnsi="Times New Roman" w:hint="default"/>
                <w:color w:val="333333"/>
                <w:sz w:val="21"/>
                <w:szCs w:val="21"/>
                <w:u w:color="333333"/>
                <w:rtl w:val="0"/>
                <w:lang w:val="en-US"/>
              </w:rPr>
              <w:t xml:space="preserve">  </w:t>
            </w:r>
            <w:r>
              <w:rPr>
                <w:rStyle w:val="None"/>
                <w:rFonts w:ascii="Arial Unicode MS" w:cs="Arial Unicode MS" w:hAnsi="Arial Unicode MS" w:eastAsia="Arial Unicode MS"/>
                <w:b w:val="0"/>
                <w:bCs w:val="0"/>
                <w:i w:val="0"/>
                <w:iCs w:val="0"/>
                <w:color w:val="333333"/>
                <w:sz w:val="21"/>
                <w:szCs w:val="21"/>
                <w:u w:color="333333"/>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rStyle w:val="None"/>
                <w:rFonts w:ascii="Times New Roman" w:hAnsi="Times New Roman" w:hint="default"/>
                <w:color w:val="333333"/>
                <w:sz w:val="21"/>
                <w:szCs w:val="21"/>
                <w:u w:color="333333"/>
                <w:rtl w:val="0"/>
                <w:lang w:val="en-US"/>
              </w:rPr>
              <w:t>​</w:t>
            </w:r>
          </w:p>
        </w:tc>
        <w:tc>
          <w:tcPr>
            <w:tcW w:type="dxa" w:w="3597"/>
            <w:tcBorders>
              <w:top w:val="nil"/>
              <w:left w:val="nil"/>
              <w:bottom w:val="nil"/>
              <w:right w:val="nil"/>
            </w:tcBorders>
            <w:shd w:val="clear" w:color="auto" w:fill="auto"/>
            <w:tcMar>
              <w:top w:type="dxa" w:w="80"/>
              <w:left w:type="dxa" w:w="80"/>
              <w:bottom w:type="dxa" w:w="80"/>
              <w:right w:type="dxa" w:w="80"/>
            </w:tcMar>
            <w:vAlign w:val="center"/>
          </w:tcPr>
          <w:p>
            <w:pPr>
              <w:pStyle w:val="Body"/>
              <w:spacing w:before="150" w:after="150" w:line="300" w:lineRule="atLeast"/>
              <w:outlineLvl w:val="0"/>
              <w:rPr>
                <w:rStyle w:val="None"/>
                <w:rFonts w:ascii="Times New Roman" w:cs="Times New Roman" w:hAnsi="Times New Roman" w:eastAsia="Times New Roman"/>
                <w:color w:val="333333"/>
                <w:kern w:val="36"/>
                <w:sz w:val="42"/>
                <w:szCs w:val="42"/>
                <w:u w:color="333333"/>
              </w:rPr>
            </w:pPr>
            <w:r>
              <w:rPr>
                <w:rStyle w:val="None"/>
                <w:rFonts w:ascii="Times New Roman" w:hAnsi="Times New Roman" w:hint="default"/>
                <w:color w:val="333333"/>
                <w:kern w:val="36"/>
                <w:sz w:val="42"/>
                <w:szCs w:val="42"/>
                <w:u w:color="333333"/>
                <w:rtl w:val="0"/>
                <w:lang w:val="en-US"/>
              </w:rPr>
              <w:t>​</w:t>
            </w:r>
            <w:r>
              <w:rPr>
                <w:rStyle w:val="None"/>
                <w:rFonts w:ascii="Times New Roman" w:hAnsi="Times New Roman"/>
                <w:color w:val="333333"/>
                <w:kern w:val="36"/>
                <w:sz w:val="42"/>
                <w:szCs w:val="42"/>
                <w:u w:color="333333"/>
                <w:rtl w:val="0"/>
                <w:lang w:val="en-US"/>
              </w:rPr>
              <w:t>Core Values</w:t>
            </w:r>
          </w:p>
          <w:p>
            <w:pPr>
              <w:pStyle w:val="Body"/>
              <w:bidi w:val="0"/>
              <w:spacing w:after="150" w:line="240" w:lineRule="auto"/>
              <w:ind w:left="0" w:right="0" w:firstLine="0"/>
              <w:jc w:val="left"/>
              <w:rPr>
                <w:rStyle w:val="None"/>
                <w:rFonts w:ascii="Times New Roman" w:cs="Times New Roman" w:hAnsi="Times New Roman" w:eastAsia="Times New Roman"/>
                <w:color w:val="576170"/>
                <w:sz w:val="21"/>
                <w:szCs w:val="21"/>
                <w:u w:color="576170"/>
                <w:rtl w:val="0"/>
              </w:rPr>
            </w:pPr>
            <w:r>
              <w:rPr>
                <w:rStyle w:val="None"/>
                <w:rFonts w:ascii="Times New Roman" w:hAnsi="Times New Roman"/>
                <w:color w:val="576170"/>
                <w:sz w:val="21"/>
                <w:szCs w:val="21"/>
                <w:u w:color="576170"/>
                <w:rtl w:val="0"/>
                <w:lang w:val="en-US"/>
              </w:rPr>
              <w:t>Ministry of National Guard Health Affairs adhere to core values taken from religious, social and professional principles, abiding by:</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Respect religious and social values</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Patient safety and satisfaction</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Quality performance</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Respect and dignity</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Transparency</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Teamwork</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Productive work environment</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Accountability</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Behavior and work ethic</w:t>
            </w:r>
          </w:p>
          <w:p>
            <w:pPr>
              <w:pStyle w:val="Body"/>
              <w:numPr>
                <w:ilvl w:val="0"/>
                <w:numId w:val="1"/>
              </w:numPr>
              <w:bidi w:val="0"/>
              <w:spacing w:after="150" w:line="300" w:lineRule="atLeast"/>
              <w:ind w:right="0"/>
              <w:jc w:val="left"/>
              <w:rPr>
                <w:rFonts w:ascii="Times New Roman" w:hAnsi="Times New Roman"/>
                <w:color w:val="576170"/>
                <w:sz w:val="20"/>
                <w:szCs w:val="20"/>
                <w:u w:color="576170"/>
                <w:rtl w:val="0"/>
                <w:lang w:val="en-US"/>
              </w:rPr>
            </w:pPr>
            <w:r>
              <w:rPr>
                <w:rStyle w:val="None"/>
                <w:rFonts w:ascii="Times New Roman" w:hAnsi="Times New Roman"/>
                <w:color w:val="576170"/>
                <w:sz w:val="20"/>
                <w:szCs w:val="20"/>
                <w:u w:color="576170"/>
                <w:rtl w:val="0"/>
                <w:lang w:val="en-US"/>
              </w:rPr>
              <w:t>Excellence and innovation</w:t>
            </w:r>
          </w:p>
        </w:tc>
        <w:tc>
          <w:tcPr>
            <w:tcW w:type="dxa" w:w="16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widowControl w:val="0"/>
        <w:spacing w:line="240" w:lineRule="auto"/>
      </w:p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720"/>
        </w:tabs>
        <w:ind w:left="3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0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Calibri" w:cs="Calibri" w:hAnsi="Calibri" w:eastAsia="Calibri"/>
      <w:b w:val="1"/>
      <w:bCs w:val="1"/>
      <w:color w:val="0073b1"/>
      <w:sz w:val="21"/>
      <w:szCs w:val="21"/>
      <w:u w:val="single" w:color="0073b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