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54A" w:rsidRPr="00C3354A" w:rsidRDefault="00C3354A" w:rsidP="00C3354A">
      <w:pPr>
        <w:rPr>
          <w:color w:val="FF0000"/>
          <w:sz w:val="32"/>
          <w:szCs w:val="32"/>
        </w:rPr>
      </w:pPr>
      <w:r w:rsidRPr="00C3354A">
        <w:rPr>
          <w:color w:val="FF0000"/>
          <w:sz w:val="32"/>
          <w:szCs w:val="32"/>
        </w:rPr>
        <w:t>Distance Learning: Adapting Education Beyond Boundaries</w:t>
      </w:r>
    </w:p>
    <w:p w:rsidR="00C3354A" w:rsidRDefault="00C3354A" w:rsidP="000F0036">
      <w:pPr>
        <w:spacing w:line="360" w:lineRule="auto"/>
        <w:jc w:val="both"/>
        <w:rPr>
          <w:sz w:val="32"/>
          <w:szCs w:val="32"/>
        </w:rPr>
      </w:pPr>
      <w:r w:rsidRPr="00C3354A">
        <w:rPr>
          <w:sz w:val="32"/>
          <w:szCs w:val="32"/>
        </w:rPr>
        <w:t>In the digital age, distance learning has emerged as a transformative method of education delivery. This method allows students to access educational content remotely, breaking down geographical barriers and enabling flexible learning schedules. Distance learning encompasses various online platforms, video lectures, and interactive assignments.</w:t>
      </w:r>
    </w:p>
    <w:p w:rsidR="008F6CDD" w:rsidRDefault="008F6CDD" w:rsidP="00C3354A">
      <w:pPr>
        <w:jc w:val="both"/>
        <w:rPr>
          <w:sz w:val="32"/>
          <w:szCs w:val="32"/>
        </w:rPr>
      </w:pPr>
    </w:p>
    <w:p w:rsidR="008F6CDD" w:rsidRDefault="008F6CDD" w:rsidP="00C3354A">
      <w:pPr>
        <w:jc w:val="both"/>
        <w:rPr>
          <w:sz w:val="32"/>
          <w:szCs w:val="32"/>
        </w:rPr>
      </w:pPr>
      <w:r>
        <w:rPr>
          <w:noProof/>
          <w:sz w:val="32"/>
          <w:szCs w:val="32"/>
        </w:rPr>
        <w:drawing>
          <wp:anchor distT="0" distB="0" distL="114300" distR="114300" simplePos="0" relativeHeight="251658240" behindDoc="1" locked="0" layoutInCell="1" allowOverlap="1">
            <wp:simplePos x="0" y="0"/>
            <wp:positionH relativeFrom="margin">
              <wp:align>center</wp:align>
            </wp:positionH>
            <wp:positionV relativeFrom="paragraph">
              <wp:posOffset>8255</wp:posOffset>
            </wp:positionV>
            <wp:extent cx="3246120" cy="2164715"/>
            <wp:effectExtent l="0" t="0" r="0" b="6985"/>
            <wp:wrapTight wrapText="bothSides">
              <wp:wrapPolygon edited="0">
                <wp:start x="0" y="0"/>
                <wp:lineTo x="0" y="21480"/>
                <wp:lineTo x="21423" y="21480"/>
                <wp:lineTo x="2142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is-student-engagement-infogram-1024x683.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6120" cy="2164715"/>
                    </a:xfrm>
                    <a:prstGeom prst="rect">
                      <a:avLst/>
                    </a:prstGeom>
                  </pic:spPr>
                </pic:pic>
              </a:graphicData>
            </a:graphic>
            <wp14:sizeRelH relativeFrom="margin">
              <wp14:pctWidth>0</wp14:pctWidth>
            </wp14:sizeRelH>
            <wp14:sizeRelV relativeFrom="margin">
              <wp14:pctHeight>0</wp14:pctHeight>
            </wp14:sizeRelV>
          </wp:anchor>
        </w:drawing>
      </w:r>
    </w:p>
    <w:p w:rsidR="00C3354A" w:rsidRDefault="00C3354A" w:rsidP="00C3354A">
      <w:pPr>
        <w:jc w:val="both"/>
        <w:rPr>
          <w:sz w:val="32"/>
          <w:szCs w:val="32"/>
        </w:rPr>
      </w:pPr>
    </w:p>
    <w:p w:rsidR="008F6CDD" w:rsidRDefault="008F6CDD" w:rsidP="00C3354A">
      <w:pPr>
        <w:jc w:val="both"/>
        <w:rPr>
          <w:sz w:val="32"/>
          <w:szCs w:val="32"/>
        </w:rPr>
      </w:pPr>
    </w:p>
    <w:p w:rsidR="008F6CDD" w:rsidRDefault="008F6CDD" w:rsidP="00C3354A">
      <w:pPr>
        <w:jc w:val="both"/>
        <w:rPr>
          <w:sz w:val="32"/>
          <w:szCs w:val="32"/>
        </w:rPr>
      </w:pPr>
    </w:p>
    <w:p w:rsidR="008F6CDD" w:rsidRDefault="008F6CDD" w:rsidP="00C3354A">
      <w:pPr>
        <w:jc w:val="both"/>
        <w:rPr>
          <w:sz w:val="32"/>
          <w:szCs w:val="32"/>
        </w:rPr>
      </w:pPr>
    </w:p>
    <w:p w:rsidR="008F6CDD" w:rsidRDefault="008F6CDD" w:rsidP="00C3354A">
      <w:pPr>
        <w:jc w:val="both"/>
        <w:rPr>
          <w:sz w:val="32"/>
          <w:szCs w:val="32"/>
        </w:rPr>
      </w:pPr>
    </w:p>
    <w:p w:rsidR="008F6CDD" w:rsidRDefault="000F0036" w:rsidP="008F6CDD">
      <w:pPr>
        <w:jc w:val="center"/>
      </w:pPr>
      <w:r>
        <w:t xml:space="preserve">Figure </w:t>
      </w:r>
      <w:r w:rsidR="006E0E92">
        <w:t>1</w:t>
      </w:r>
      <w:r w:rsidR="008F6CDD">
        <w:t xml:space="preserve">. </w:t>
      </w:r>
      <w:r w:rsidR="008F6CDD" w:rsidRPr="008F6CDD">
        <w:t>Students Engaged in Online Learning</w:t>
      </w:r>
    </w:p>
    <w:p w:rsidR="008F6CDD" w:rsidRDefault="008F6CDD" w:rsidP="008F6CDD"/>
    <w:p w:rsidR="000F0036" w:rsidRDefault="000F0036" w:rsidP="000F0036">
      <w:pPr>
        <w:spacing w:line="360" w:lineRule="auto"/>
        <w:jc w:val="both"/>
        <w:rPr>
          <w:sz w:val="32"/>
          <w:szCs w:val="32"/>
        </w:rPr>
      </w:pPr>
      <w:r w:rsidRPr="008F6CDD">
        <w:rPr>
          <w:sz w:val="32"/>
          <w:szCs w:val="32"/>
        </w:rPr>
        <w:t>Student engagement is “the degree of attention, curiosity, interest, optimism, and passion” students express during the class. In other words, it’s their will and ability to get involved in the learning process.</w:t>
      </w:r>
    </w:p>
    <w:p w:rsidR="000F0036" w:rsidRDefault="000F0036" w:rsidP="008F6CDD">
      <w:pPr>
        <w:jc w:val="lowKashida"/>
        <w:rPr>
          <w:sz w:val="32"/>
          <w:szCs w:val="32"/>
        </w:rPr>
      </w:pPr>
    </w:p>
    <w:p w:rsidR="008F6CDD" w:rsidRDefault="008F6CDD" w:rsidP="008F6CDD">
      <w:pPr>
        <w:jc w:val="lowKashida"/>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6295"/>
      </w:tblGrid>
      <w:tr w:rsidR="008F6CDD" w:rsidTr="000F0036">
        <w:tc>
          <w:tcPr>
            <w:tcW w:w="2335" w:type="dxa"/>
          </w:tcPr>
          <w:p w:rsidR="008F6CDD" w:rsidRPr="006E0E92" w:rsidRDefault="00FC469C" w:rsidP="008F6CDD">
            <w:pPr>
              <w:jc w:val="lowKashida"/>
            </w:pPr>
            <w:r w:rsidRPr="006E0E92">
              <w:lastRenderedPageBreak/>
              <w:t>Time Slot</w:t>
            </w:r>
          </w:p>
        </w:tc>
        <w:tc>
          <w:tcPr>
            <w:tcW w:w="6295" w:type="dxa"/>
          </w:tcPr>
          <w:p w:rsidR="008F6CDD" w:rsidRPr="006E0E92" w:rsidRDefault="00FC469C" w:rsidP="008F6CDD">
            <w:pPr>
              <w:jc w:val="lowKashida"/>
            </w:pPr>
            <w:r w:rsidRPr="006E0E92">
              <w:t>Activities</w:t>
            </w:r>
          </w:p>
        </w:tc>
      </w:tr>
      <w:tr w:rsidR="008F6CDD" w:rsidTr="000F0036">
        <w:tc>
          <w:tcPr>
            <w:tcW w:w="2335" w:type="dxa"/>
          </w:tcPr>
          <w:p w:rsidR="008F6CDD" w:rsidRPr="006E0E92" w:rsidRDefault="00FC469C" w:rsidP="008F6CDD">
            <w:pPr>
              <w:jc w:val="lowKashida"/>
            </w:pPr>
            <w:r w:rsidRPr="006E0E92">
              <w:t>Morning</w:t>
            </w:r>
          </w:p>
        </w:tc>
        <w:tc>
          <w:tcPr>
            <w:tcW w:w="6295" w:type="dxa"/>
          </w:tcPr>
          <w:p w:rsidR="008F6CDD" w:rsidRPr="006E0E92" w:rsidRDefault="00FC469C" w:rsidP="006E0E92">
            <w:pPr>
              <w:jc w:val="lowKashida"/>
            </w:pPr>
            <w:r w:rsidRPr="006E0E92">
              <w:t>Lecture 1, Read Material</w:t>
            </w:r>
          </w:p>
        </w:tc>
      </w:tr>
      <w:tr w:rsidR="008F6CDD" w:rsidTr="000F0036">
        <w:tc>
          <w:tcPr>
            <w:tcW w:w="2335" w:type="dxa"/>
          </w:tcPr>
          <w:p w:rsidR="008F6CDD" w:rsidRPr="006E0E92" w:rsidRDefault="00FC469C" w:rsidP="008F6CDD">
            <w:pPr>
              <w:jc w:val="lowKashida"/>
            </w:pPr>
            <w:r w:rsidRPr="006E0E92">
              <w:t>Afternoon</w:t>
            </w:r>
          </w:p>
        </w:tc>
        <w:tc>
          <w:tcPr>
            <w:tcW w:w="6295" w:type="dxa"/>
          </w:tcPr>
          <w:p w:rsidR="008F6CDD" w:rsidRPr="006E0E92" w:rsidRDefault="00FC469C" w:rsidP="008F6CDD">
            <w:pPr>
              <w:jc w:val="lowKashida"/>
            </w:pPr>
            <w:r w:rsidRPr="006E0E92">
              <w:t>Participate in Discussion Forum</w:t>
            </w:r>
          </w:p>
        </w:tc>
      </w:tr>
      <w:tr w:rsidR="008F6CDD" w:rsidTr="000F0036">
        <w:tc>
          <w:tcPr>
            <w:tcW w:w="2335" w:type="dxa"/>
          </w:tcPr>
          <w:p w:rsidR="008F6CDD" w:rsidRPr="006E0E92" w:rsidRDefault="00FC469C" w:rsidP="008F6CDD">
            <w:pPr>
              <w:jc w:val="lowKashida"/>
            </w:pPr>
            <w:r w:rsidRPr="006E0E92">
              <w:t>Evening</w:t>
            </w:r>
          </w:p>
        </w:tc>
        <w:tc>
          <w:tcPr>
            <w:tcW w:w="6295" w:type="dxa"/>
          </w:tcPr>
          <w:p w:rsidR="008F6CDD" w:rsidRDefault="00FC469C" w:rsidP="00FC469C">
            <w:pPr>
              <w:jc w:val="lowKashida"/>
            </w:pPr>
            <w:r w:rsidRPr="006E0E92">
              <w:t>Complete Assignment 2</w:t>
            </w:r>
          </w:p>
          <w:p w:rsidR="000F0036" w:rsidRPr="006E0E92" w:rsidRDefault="000F0036" w:rsidP="00FC469C">
            <w:pPr>
              <w:jc w:val="lowKashida"/>
            </w:pPr>
          </w:p>
        </w:tc>
      </w:tr>
    </w:tbl>
    <w:p w:rsidR="000F0036" w:rsidRPr="000F0036" w:rsidRDefault="00FC469C" w:rsidP="000F0036">
      <w:pPr>
        <w:jc w:val="center"/>
      </w:pPr>
      <w:r w:rsidRPr="00FC469C">
        <w:t>Table1: Time Management in Distance Learning</w:t>
      </w:r>
    </w:p>
    <w:p w:rsidR="000F0036" w:rsidRDefault="000F0036" w:rsidP="000F0036">
      <w:pPr>
        <w:spacing w:line="360" w:lineRule="auto"/>
        <w:jc w:val="lowKashida"/>
        <w:rPr>
          <w:sz w:val="32"/>
          <w:szCs w:val="32"/>
        </w:rPr>
      </w:pPr>
      <w:r w:rsidRPr="008F6CDD">
        <w:rPr>
          <w:sz w:val="32"/>
          <w:szCs w:val="32"/>
        </w:rPr>
        <w:t>One of the advantages of distance learning is its flexibility. Table 1 illustrates how students can manage their time effectively, balancing coursework with other commitments.</w:t>
      </w:r>
    </w:p>
    <w:p w:rsidR="000F0036" w:rsidRDefault="000F0036" w:rsidP="006E0E92">
      <w:pPr>
        <w:jc w:val="both"/>
        <w:rPr>
          <w:sz w:val="32"/>
          <w:szCs w:val="32"/>
        </w:rPr>
      </w:pPr>
    </w:p>
    <w:p w:rsidR="006E0E92" w:rsidRPr="006E0E92" w:rsidRDefault="006E0E92" w:rsidP="006E0E92">
      <w:pPr>
        <w:jc w:val="both"/>
        <w:rPr>
          <w:sz w:val="32"/>
          <w:szCs w:val="32"/>
        </w:rPr>
      </w:pPr>
      <w:r>
        <w:rPr>
          <w:noProof/>
          <w:sz w:val="32"/>
          <w:szCs w:val="32"/>
        </w:rPr>
        <w:drawing>
          <wp:anchor distT="0" distB="0" distL="114300" distR="114300" simplePos="0" relativeHeight="251659264" behindDoc="1" locked="0" layoutInCell="1" allowOverlap="1">
            <wp:simplePos x="0" y="0"/>
            <wp:positionH relativeFrom="margin">
              <wp:align>center</wp:align>
            </wp:positionH>
            <wp:positionV relativeFrom="paragraph">
              <wp:posOffset>31115</wp:posOffset>
            </wp:positionV>
            <wp:extent cx="3706448" cy="2087880"/>
            <wp:effectExtent l="0" t="0" r="8890" b="7620"/>
            <wp:wrapTight wrapText="bothSides">
              <wp:wrapPolygon edited="0">
                <wp:start x="0" y="0"/>
                <wp:lineTo x="0" y="21482"/>
                <wp:lineTo x="21541" y="21482"/>
                <wp:lineTo x="215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06448" cy="2087880"/>
                    </a:xfrm>
                    <a:prstGeom prst="rect">
                      <a:avLst/>
                    </a:prstGeom>
                  </pic:spPr>
                </pic:pic>
              </a:graphicData>
            </a:graphic>
          </wp:anchor>
        </w:drawing>
      </w:r>
    </w:p>
    <w:p w:rsidR="006E0E92" w:rsidRPr="008F6CDD" w:rsidRDefault="006E0E92" w:rsidP="006E0E92">
      <w:pPr>
        <w:rPr>
          <w:sz w:val="32"/>
          <w:szCs w:val="32"/>
        </w:rPr>
      </w:pPr>
    </w:p>
    <w:p w:rsidR="008F6CDD" w:rsidRDefault="008F6CDD" w:rsidP="00FC469C">
      <w:pPr>
        <w:rPr>
          <w:sz w:val="32"/>
          <w:szCs w:val="32"/>
          <w:rtl/>
        </w:rPr>
      </w:pPr>
    </w:p>
    <w:p w:rsidR="00FC469C" w:rsidRDefault="00FC469C" w:rsidP="00FC469C">
      <w:pPr>
        <w:rPr>
          <w:sz w:val="32"/>
          <w:szCs w:val="32"/>
          <w:rtl/>
        </w:rPr>
      </w:pPr>
    </w:p>
    <w:p w:rsidR="00FC469C" w:rsidRDefault="00FC469C" w:rsidP="00FC469C">
      <w:pPr>
        <w:rPr>
          <w:sz w:val="32"/>
          <w:szCs w:val="32"/>
          <w:rtl/>
        </w:rPr>
      </w:pPr>
    </w:p>
    <w:p w:rsidR="00FC469C" w:rsidRDefault="00FC469C" w:rsidP="00FC469C">
      <w:pPr>
        <w:rPr>
          <w:sz w:val="32"/>
          <w:szCs w:val="32"/>
          <w:rtl/>
        </w:rPr>
      </w:pPr>
    </w:p>
    <w:p w:rsidR="006E0E92" w:rsidRDefault="000F0036" w:rsidP="006E0E92">
      <w:pPr>
        <w:jc w:val="center"/>
      </w:pPr>
      <w:r>
        <w:t xml:space="preserve">Figure </w:t>
      </w:r>
      <w:r w:rsidR="006E0E92" w:rsidRPr="006E0E92">
        <w:t>2: Virtual Collaboration Among Students</w:t>
      </w:r>
    </w:p>
    <w:p w:rsidR="006E0E92" w:rsidRPr="000F0036" w:rsidRDefault="000F0036" w:rsidP="000F0036">
      <w:pPr>
        <w:spacing w:line="360" w:lineRule="auto"/>
        <w:jc w:val="both"/>
        <w:rPr>
          <w:sz w:val="32"/>
          <w:szCs w:val="32"/>
        </w:rPr>
      </w:pPr>
      <w:r w:rsidRPr="006E0E92">
        <w:rPr>
          <w:sz w:val="32"/>
          <w:szCs w:val="32"/>
        </w:rPr>
        <w:t>As shown in Image 2, collaboration among students isn't compromised in the online environment. Virtual group projects and video conferences allow students to interact and learn from each other, despite physical separation.</w:t>
      </w:r>
    </w:p>
    <w:p w:rsidR="000F0036" w:rsidRDefault="000F0036" w:rsidP="000F00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835"/>
      </w:tblGrid>
      <w:tr w:rsidR="006E0E92" w:rsidTr="000F0036">
        <w:tc>
          <w:tcPr>
            <w:tcW w:w="1795" w:type="dxa"/>
          </w:tcPr>
          <w:p w:rsidR="006E0E92" w:rsidRDefault="006E0E92" w:rsidP="006E0E92">
            <w:r>
              <w:t>Pros</w:t>
            </w:r>
          </w:p>
        </w:tc>
        <w:tc>
          <w:tcPr>
            <w:tcW w:w="6835" w:type="dxa"/>
          </w:tcPr>
          <w:p w:rsidR="006E0E92" w:rsidRDefault="006E0E92" w:rsidP="006E0E92">
            <w:r>
              <w:t>Cons</w:t>
            </w:r>
          </w:p>
        </w:tc>
      </w:tr>
      <w:tr w:rsidR="006E0E92" w:rsidTr="000F0036">
        <w:tc>
          <w:tcPr>
            <w:tcW w:w="1795" w:type="dxa"/>
          </w:tcPr>
          <w:p w:rsidR="006E0E92" w:rsidRDefault="006E0E92" w:rsidP="006E0E92">
            <w:r>
              <w:t>Flexibility</w:t>
            </w:r>
          </w:p>
        </w:tc>
        <w:tc>
          <w:tcPr>
            <w:tcW w:w="6835" w:type="dxa"/>
          </w:tcPr>
          <w:p w:rsidR="006E0E92" w:rsidRDefault="006E0E92" w:rsidP="006E0E92">
            <w:r>
              <w:t>Lack of Face-to-Face Interaction</w:t>
            </w:r>
          </w:p>
        </w:tc>
      </w:tr>
      <w:tr w:rsidR="006E0E92" w:rsidTr="000F0036">
        <w:tc>
          <w:tcPr>
            <w:tcW w:w="1795" w:type="dxa"/>
          </w:tcPr>
          <w:p w:rsidR="006E0E92" w:rsidRDefault="006E0E92" w:rsidP="006E0E92">
            <w:r>
              <w:t>Global Reach</w:t>
            </w:r>
          </w:p>
        </w:tc>
        <w:tc>
          <w:tcPr>
            <w:tcW w:w="6835" w:type="dxa"/>
          </w:tcPr>
          <w:p w:rsidR="006E0E92" w:rsidRDefault="006E0E92" w:rsidP="006E0E92">
            <w:r>
              <w:t>Technical Challenges</w:t>
            </w:r>
          </w:p>
        </w:tc>
      </w:tr>
      <w:tr w:rsidR="006E0E92" w:rsidTr="000F0036">
        <w:tc>
          <w:tcPr>
            <w:tcW w:w="1795" w:type="dxa"/>
          </w:tcPr>
          <w:p w:rsidR="006E0E92" w:rsidRDefault="006E0E92" w:rsidP="006E0E92">
            <w:r>
              <w:t>Self-Directed</w:t>
            </w:r>
          </w:p>
        </w:tc>
        <w:tc>
          <w:tcPr>
            <w:tcW w:w="6835" w:type="dxa"/>
          </w:tcPr>
          <w:p w:rsidR="006E0E92" w:rsidRDefault="006E0E92" w:rsidP="006E0E92">
            <w:r>
              <w:t>Distractions at Home</w:t>
            </w:r>
          </w:p>
          <w:p w:rsidR="000F0036" w:rsidRDefault="000F0036" w:rsidP="006E0E92"/>
        </w:tc>
      </w:tr>
    </w:tbl>
    <w:p w:rsidR="00F01E19" w:rsidRPr="000F0036" w:rsidRDefault="006E0E92" w:rsidP="000F0036">
      <w:pPr>
        <w:jc w:val="center"/>
      </w:pPr>
      <w:r>
        <w:t>Table 2: Pros and Cons of Distance Learning</w:t>
      </w:r>
    </w:p>
    <w:tbl>
      <w:tblPr>
        <w:tblStyle w:val="TableGrid"/>
        <w:tblW w:w="0" w:type="auto"/>
        <w:tblLook w:val="04A0" w:firstRow="1" w:lastRow="0" w:firstColumn="1" w:lastColumn="0" w:noHBand="0" w:noVBand="1"/>
      </w:tblPr>
      <w:tblGrid>
        <w:gridCol w:w="2245"/>
        <w:gridCol w:w="3060"/>
        <w:gridCol w:w="3325"/>
      </w:tblGrid>
      <w:tr w:rsidR="00F01E19" w:rsidTr="00F01E19">
        <w:tc>
          <w:tcPr>
            <w:tcW w:w="2245" w:type="dxa"/>
          </w:tcPr>
          <w:p w:rsidR="00F01E19" w:rsidRDefault="00F01E19" w:rsidP="006E0E92">
            <w:pPr>
              <w:jc w:val="center"/>
            </w:pPr>
            <w:r>
              <w:lastRenderedPageBreak/>
              <w:t>Aspects</w:t>
            </w:r>
          </w:p>
        </w:tc>
        <w:tc>
          <w:tcPr>
            <w:tcW w:w="3060" w:type="dxa"/>
          </w:tcPr>
          <w:p w:rsidR="00F01E19" w:rsidRDefault="00F01E19" w:rsidP="006E0E92">
            <w:pPr>
              <w:jc w:val="center"/>
            </w:pPr>
            <w:r>
              <w:t>Traditional Classroom Learning</w:t>
            </w:r>
          </w:p>
        </w:tc>
        <w:tc>
          <w:tcPr>
            <w:tcW w:w="3325" w:type="dxa"/>
          </w:tcPr>
          <w:p w:rsidR="00F01E19" w:rsidRDefault="00F01E19" w:rsidP="006E0E92">
            <w:pPr>
              <w:jc w:val="center"/>
            </w:pPr>
            <w:r>
              <w:t>Distance Learning</w:t>
            </w:r>
          </w:p>
        </w:tc>
      </w:tr>
      <w:tr w:rsidR="00F01E19" w:rsidTr="00F01E19">
        <w:tc>
          <w:tcPr>
            <w:tcW w:w="2245" w:type="dxa"/>
          </w:tcPr>
          <w:p w:rsidR="00F01E19" w:rsidRDefault="00F01E19" w:rsidP="006E0E92">
            <w:pPr>
              <w:jc w:val="center"/>
            </w:pPr>
            <w:r>
              <w:t>Interaction</w:t>
            </w:r>
          </w:p>
        </w:tc>
        <w:tc>
          <w:tcPr>
            <w:tcW w:w="3060" w:type="dxa"/>
          </w:tcPr>
          <w:p w:rsidR="00F01E19" w:rsidRDefault="00F01E19" w:rsidP="006E0E92">
            <w:pPr>
              <w:jc w:val="center"/>
            </w:pPr>
            <w:r>
              <w:t>In-Person Discussions</w:t>
            </w:r>
          </w:p>
        </w:tc>
        <w:tc>
          <w:tcPr>
            <w:tcW w:w="3325" w:type="dxa"/>
          </w:tcPr>
          <w:p w:rsidR="00F01E19" w:rsidRDefault="00F01E19" w:rsidP="006E0E92">
            <w:pPr>
              <w:jc w:val="center"/>
            </w:pPr>
            <w:r>
              <w:t>Virtual Discussions</w:t>
            </w:r>
          </w:p>
        </w:tc>
      </w:tr>
      <w:tr w:rsidR="00F01E19" w:rsidTr="00F01E19">
        <w:tc>
          <w:tcPr>
            <w:tcW w:w="2245" w:type="dxa"/>
          </w:tcPr>
          <w:p w:rsidR="00F01E19" w:rsidRDefault="00F01E19" w:rsidP="006E0E92">
            <w:pPr>
              <w:jc w:val="center"/>
            </w:pPr>
            <w:r>
              <w:t>Learning Environment</w:t>
            </w:r>
          </w:p>
        </w:tc>
        <w:tc>
          <w:tcPr>
            <w:tcW w:w="3060" w:type="dxa"/>
          </w:tcPr>
          <w:p w:rsidR="00F01E19" w:rsidRDefault="00F01E19" w:rsidP="006E0E92">
            <w:pPr>
              <w:jc w:val="center"/>
            </w:pPr>
            <w:r>
              <w:t>Physical Classroom</w:t>
            </w:r>
          </w:p>
        </w:tc>
        <w:tc>
          <w:tcPr>
            <w:tcW w:w="3325" w:type="dxa"/>
          </w:tcPr>
          <w:p w:rsidR="00F01E19" w:rsidRDefault="00F01E19" w:rsidP="006E0E92">
            <w:pPr>
              <w:jc w:val="center"/>
            </w:pPr>
            <w:r>
              <w:t>Any Location with Internet</w:t>
            </w:r>
          </w:p>
        </w:tc>
      </w:tr>
      <w:tr w:rsidR="00F01E19" w:rsidTr="00F01E19">
        <w:tc>
          <w:tcPr>
            <w:tcW w:w="2245" w:type="dxa"/>
          </w:tcPr>
          <w:p w:rsidR="00F01E19" w:rsidRDefault="00F01E19" w:rsidP="006E0E92">
            <w:pPr>
              <w:jc w:val="center"/>
            </w:pPr>
            <w:r>
              <w:t>Assessment</w:t>
            </w:r>
          </w:p>
        </w:tc>
        <w:tc>
          <w:tcPr>
            <w:tcW w:w="3060" w:type="dxa"/>
          </w:tcPr>
          <w:p w:rsidR="00F01E19" w:rsidRDefault="00F01E19" w:rsidP="006E0E92">
            <w:pPr>
              <w:jc w:val="center"/>
            </w:pPr>
            <w:r>
              <w:t>Paper Exams</w:t>
            </w:r>
          </w:p>
        </w:tc>
        <w:tc>
          <w:tcPr>
            <w:tcW w:w="3325" w:type="dxa"/>
          </w:tcPr>
          <w:p w:rsidR="00F01E19" w:rsidRDefault="00F01E19" w:rsidP="006E0E92">
            <w:pPr>
              <w:jc w:val="center"/>
            </w:pPr>
            <w:r>
              <w:t>Online Quizzes and Assignments</w:t>
            </w:r>
          </w:p>
        </w:tc>
      </w:tr>
    </w:tbl>
    <w:p w:rsidR="00F01E19" w:rsidRDefault="00F01E19" w:rsidP="00F01E19">
      <w:pPr>
        <w:jc w:val="center"/>
      </w:pPr>
      <w:r>
        <w:t>Table 3: Comparison of Learning Approaches</w:t>
      </w:r>
    </w:p>
    <w:p w:rsidR="000F0036" w:rsidRDefault="000F0036" w:rsidP="00F01E19">
      <w:pPr>
        <w:jc w:val="center"/>
      </w:pPr>
    </w:p>
    <w:p w:rsidR="000F0036" w:rsidRPr="00DC0972" w:rsidRDefault="000F0036" w:rsidP="00DC0972">
      <w:pPr>
        <w:spacing w:line="360" w:lineRule="auto"/>
        <w:jc w:val="both"/>
        <w:rPr>
          <w:sz w:val="32"/>
          <w:szCs w:val="32"/>
        </w:rPr>
      </w:pPr>
      <w:r w:rsidRPr="00F01E19">
        <w:rPr>
          <w:sz w:val="32"/>
          <w:szCs w:val="32"/>
        </w:rPr>
        <w:t>Distance learning's effectiveness is further demonstrated in Table 3, which compares traditional classroom learning with online learning.</w:t>
      </w:r>
    </w:p>
    <w:p w:rsidR="00F01E19" w:rsidRDefault="00F01E19" w:rsidP="00F01E19"/>
    <w:p w:rsidR="00F01E19" w:rsidRDefault="00F01E19" w:rsidP="00F01E19">
      <w:pPr>
        <w:jc w:val="center"/>
      </w:pPr>
      <w:r>
        <w:rPr>
          <w:noProof/>
        </w:rPr>
        <w:drawing>
          <wp:inline distT="0" distB="0" distL="0" distR="0" wp14:anchorId="65679B4F" wp14:editId="52BE0DD9">
            <wp:extent cx="3055620" cy="1757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ktop_d0718b31-f25f-49bf-9a1b-c2abefd0a68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300" cy="1763256"/>
                    </a:xfrm>
                    <a:prstGeom prst="rect">
                      <a:avLst/>
                    </a:prstGeom>
                  </pic:spPr>
                </pic:pic>
              </a:graphicData>
            </a:graphic>
          </wp:inline>
        </w:drawing>
      </w:r>
      <w:bookmarkStart w:id="0" w:name="_GoBack"/>
      <w:bookmarkEnd w:id="0"/>
    </w:p>
    <w:p w:rsidR="00F01E19" w:rsidRDefault="000F0036" w:rsidP="00F01E19">
      <w:pPr>
        <w:jc w:val="center"/>
      </w:pPr>
      <w:r>
        <w:t xml:space="preserve">Figure </w:t>
      </w:r>
      <w:r w:rsidR="00F01E19" w:rsidRPr="00F01E19">
        <w:t>3: Digital Resources for Learning</w:t>
      </w:r>
    </w:p>
    <w:p w:rsidR="00F01E19" w:rsidRDefault="00F01E19" w:rsidP="00DC0972">
      <w:pPr>
        <w:spacing w:line="360" w:lineRule="auto"/>
        <w:jc w:val="both"/>
        <w:rPr>
          <w:sz w:val="32"/>
          <w:szCs w:val="32"/>
        </w:rPr>
      </w:pPr>
      <w:r w:rsidRPr="00F01E19">
        <w:rPr>
          <w:sz w:val="32"/>
          <w:szCs w:val="32"/>
        </w:rPr>
        <w:t>As the world becomes more interconnected, distance learning provides a gateway to quality education for individuals who might otherwise face barriers. With the right tools and strategies, this approach is shaping the future of education.</w:t>
      </w:r>
    </w:p>
    <w:p w:rsidR="00F01E19" w:rsidRDefault="00F01E19" w:rsidP="00F01E19">
      <w:pPr>
        <w:jc w:val="center"/>
        <w:rPr>
          <w:sz w:val="32"/>
          <w:szCs w:val="32"/>
        </w:rPr>
      </w:pPr>
      <w:r>
        <w:rPr>
          <w:noProof/>
          <w:sz w:val="32"/>
          <w:szCs w:val="32"/>
        </w:rPr>
        <w:lastRenderedPageBreak/>
        <w:drawing>
          <wp:inline distT="0" distB="0" distL="0" distR="0" wp14:anchorId="60262A1A" wp14:editId="332A1358">
            <wp:extent cx="3392599" cy="1775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brary-resources-1200x62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0643" cy="1779670"/>
                    </a:xfrm>
                    <a:prstGeom prst="rect">
                      <a:avLst/>
                    </a:prstGeom>
                  </pic:spPr>
                </pic:pic>
              </a:graphicData>
            </a:graphic>
          </wp:inline>
        </w:drawing>
      </w:r>
    </w:p>
    <w:p w:rsidR="00F01E19" w:rsidRDefault="000F0036" w:rsidP="00F01E19">
      <w:pPr>
        <w:jc w:val="center"/>
      </w:pPr>
      <w:r>
        <w:t xml:space="preserve">Figure </w:t>
      </w:r>
      <w:r w:rsidR="00F01E19" w:rsidRPr="00F01E19">
        <w:t>4: Online Library and Resources</w:t>
      </w:r>
    </w:p>
    <w:p w:rsidR="00DC0972" w:rsidRPr="00DC0972" w:rsidRDefault="00DC0972" w:rsidP="0027201D">
      <w:pPr>
        <w:spacing w:line="360" w:lineRule="auto"/>
        <w:jc w:val="both"/>
        <w:rPr>
          <w:sz w:val="32"/>
          <w:szCs w:val="32"/>
        </w:rPr>
      </w:pPr>
      <w:r w:rsidRPr="00DC0972">
        <w:rPr>
          <w:sz w:val="32"/>
          <w:szCs w:val="32"/>
        </w:rPr>
        <w:t>For any service that asks for a User ID or PIN, your User ID is your library card number (with no spaces) and your PIN is the last four digits of your phone number. If you have a Buncombe County or Asheville City school ID card, your ID is your card number and your PIN is the last four digits of your ID number.</w:t>
      </w:r>
    </w:p>
    <w:p w:rsidR="00F01E19" w:rsidRDefault="00F01E19" w:rsidP="00F01E19">
      <w:pPr>
        <w:jc w:val="center"/>
      </w:pPr>
    </w:p>
    <w:p w:rsidR="00F01E19" w:rsidRPr="00F01E19" w:rsidRDefault="00F01E19" w:rsidP="00F01E19">
      <w:pPr>
        <w:jc w:val="center"/>
      </w:pPr>
      <w:r>
        <w:rPr>
          <w:noProof/>
        </w:rPr>
        <w:drawing>
          <wp:anchor distT="0" distB="0" distL="114300" distR="114300" simplePos="0" relativeHeight="251660288" behindDoc="1" locked="0" layoutInCell="1" allowOverlap="1" wp14:anchorId="0E1B05AB" wp14:editId="3DB53921">
            <wp:simplePos x="0" y="0"/>
            <wp:positionH relativeFrom="margin">
              <wp:align>center</wp:align>
            </wp:positionH>
            <wp:positionV relativeFrom="paragraph">
              <wp:posOffset>3810</wp:posOffset>
            </wp:positionV>
            <wp:extent cx="3398520" cy="1808480"/>
            <wp:effectExtent l="0" t="0" r="0" b="1270"/>
            <wp:wrapTight wrapText="bothSides">
              <wp:wrapPolygon edited="0">
                <wp:start x="0" y="0"/>
                <wp:lineTo x="0" y="21388"/>
                <wp:lineTo x="21430" y="21388"/>
                <wp:lineTo x="2143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IP.jpeg"/>
                    <pic:cNvPicPr/>
                  </pic:nvPicPr>
                  <pic:blipFill>
                    <a:blip r:embed="rId9">
                      <a:extLst>
                        <a:ext uri="{28A0092B-C50C-407E-A947-70E740481C1C}">
                          <a14:useLocalDpi xmlns:a14="http://schemas.microsoft.com/office/drawing/2010/main" val="0"/>
                        </a:ext>
                      </a:extLst>
                    </a:blip>
                    <a:stretch>
                      <a:fillRect/>
                    </a:stretch>
                  </pic:blipFill>
                  <pic:spPr>
                    <a:xfrm>
                      <a:off x="0" y="0"/>
                      <a:ext cx="3398520" cy="1808480"/>
                    </a:xfrm>
                    <a:prstGeom prst="rect">
                      <a:avLst/>
                    </a:prstGeom>
                  </pic:spPr>
                </pic:pic>
              </a:graphicData>
            </a:graphic>
            <wp14:sizeRelH relativeFrom="margin">
              <wp14:pctWidth>0</wp14:pctWidth>
            </wp14:sizeRelH>
            <wp14:sizeRelV relativeFrom="margin">
              <wp14:pctHeight>0</wp14:pctHeight>
            </wp14:sizeRelV>
          </wp:anchor>
        </w:drawing>
      </w:r>
    </w:p>
    <w:p w:rsidR="006E0E92" w:rsidRPr="006E0E92" w:rsidRDefault="006E0E92" w:rsidP="006E0E92"/>
    <w:p w:rsidR="00FC469C" w:rsidRDefault="00FC469C" w:rsidP="006E0E92">
      <w:pPr>
        <w:jc w:val="center"/>
        <w:rPr>
          <w:sz w:val="32"/>
          <w:szCs w:val="32"/>
          <w:rtl/>
        </w:rPr>
      </w:pPr>
    </w:p>
    <w:p w:rsidR="00FC469C" w:rsidRDefault="00FC469C" w:rsidP="00FC469C">
      <w:pPr>
        <w:rPr>
          <w:sz w:val="32"/>
          <w:szCs w:val="32"/>
          <w:rtl/>
        </w:rPr>
      </w:pPr>
    </w:p>
    <w:p w:rsidR="00FC469C" w:rsidRDefault="00FC469C" w:rsidP="00FC469C">
      <w:pPr>
        <w:rPr>
          <w:sz w:val="32"/>
          <w:szCs w:val="32"/>
          <w:rtl/>
        </w:rPr>
      </w:pPr>
    </w:p>
    <w:p w:rsidR="00F01E19" w:rsidRDefault="00F01E19" w:rsidP="00FC469C">
      <w:pPr>
        <w:rPr>
          <w:sz w:val="32"/>
          <w:szCs w:val="32"/>
          <w:rtl/>
        </w:rPr>
      </w:pPr>
    </w:p>
    <w:p w:rsidR="00DC0972" w:rsidRPr="00F01E19" w:rsidRDefault="000F0036" w:rsidP="0027201D">
      <w:pPr>
        <w:jc w:val="center"/>
        <w:rPr>
          <w:rtl/>
        </w:rPr>
      </w:pPr>
      <w:r>
        <w:t xml:space="preserve">Figure </w:t>
      </w:r>
      <w:r w:rsidR="00F01E19" w:rsidRPr="00F01E19">
        <w:t>5: E-Learning Platforms</w:t>
      </w:r>
    </w:p>
    <w:p w:rsidR="0027201D" w:rsidRDefault="00DC0972" w:rsidP="0027201D">
      <w:pPr>
        <w:spacing w:line="360" w:lineRule="auto"/>
        <w:jc w:val="both"/>
        <w:rPr>
          <w:sz w:val="32"/>
          <w:szCs w:val="32"/>
        </w:rPr>
      </w:pPr>
      <w:r w:rsidRPr="00DC0972">
        <w:rPr>
          <w:sz w:val="32"/>
          <w:szCs w:val="32"/>
        </w:rPr>
        <w:t xml:space="preserve">There are many authoring tool solutions out there that are worth exploring such as SAP Litmos and Linkedin Learning, but to make life a little easier for you, we’ve round up the 10 most popular online learning platforms </w:t>
      </w:r>
    </w:p>
    <w:p w:rsidR="00FC469C" w:rsidRDefault="00FC469C" w:rsidP="00FC469C">
      <w:pPr>
        <w:rPr>
          <w:sz w:val="32"/>
          <w:szCs w:val="32"/>
        </w:rPr>
      </w:pPr>
      <w:r>
        <w:rPr>
          <w:sz w:val="32"/>
          <w:szCs w:val="32"/>
        </w:rPr>
        <w:lastRenderedPageBreak/>
        <w:t>Reference:</w:t>
      </w:r>
    </w:p>
    <w:p w:rsidR="00FC469C" w:rsidRDefault="00FC469C" w:rsidP="00FC469C">
      <w:pPr>
        <w:pStyle w:val="ListParagraph"/>
        <w:numPr>
          <w:ilvl w:val="0"/>
          <w:numId w:val="11"/>
        </w:numPr>
        <w:rPr>
          <w:sz w:val="32"/>
          <w:szCs w:val="32"/>
        </w:rPr>
      </w:pPr>
      <w:r w:rsidRPr="00FC469C">
        <w:rPr>
          <w:sz w:val="32"/>
          <w:szCs w:val="32"/>
        </w:rPr>
        <w:t>Smith, J. A. (2020). Digital Education: Strategies for Effective Online Learning. Academic Press.</w:t>
      </w:r>
    </w:p>
    <w:p w:rsidR="00FC469C" w:rsidRDefault="00FC469C" w:rsidP="00FC469C">
      <w:pPr>
        <w:pStyle w:val="ListParagraph"/>
        <w:numPr>
          <w:ilvl w:val="0"/>
          <w:numId w:val="11"/>
        </w:numPr>
        <w:rPr>
          <w:sz w:val="32"/>
          <w:szCs w:val="32"/>
        </w:rPr>
      </w:pPr>
      <w:r w:rsidRPr="00FC469C">
        <w:rPr>
          <w:sz w:val="32"/>
          <w:szCs w:val="32"/>
        </w:rPr>
        <w:t>Brown, L. S. (2018). Enhancing Engagement in Online Learning Environments. Journal of Distance Education, 39(2), 167-182.</w:t>
      </w:r>
    </w:p>
    <w:p w:rsidR="00FC469C" w:rsidRDefault="00FC469C" w:rsidP="00FC469C">
      <w:pPr>
        <w:pStyle w:val="ListParagraph"/>
        <w:numPr>
          <w:ilvl w:val="0"/>
          <w:numId w:val="11"/>
        </w:numPr>
        <w:rPr>
          <w:sz w:val="32"/>
          <w:szCs w:val="32"/>
        </w:rPr>
      </w:pPr>
      <w:r w:rsidRPr="00FC469C">
        <w:rPr>
          <w:sz w:val="32"/>
          <w:szCs w:val="32"/>
        </w:rPr>
        <w:t xml:space="preserve">Harvard University. (2022). Distance and Online Learning. Harvard University. </w:t>
      </w:r>
      <w:hyperlink r:id="rId10" w:history="1">
        <w:r w:rsidRPr="00D54A45">
          <w:rPr>
            <w:rStyle w:val="Hyperlink"/>
            <w:sz w:val="32"/>
            <w:szCs w:val="32"/>
          </w:rPr>
          <w:t>https://online-learning.harvard.edu/</w:t>
        </w:r>
      </w:hyperlink>
    </w:p>
    <w:p w:rsidR="00FC469C" w:rsidRDefault="00FC469C" w:rsidP="00FC469C">
      <w:pPr>
        <w:pStyle w:val="ListParagraph"/>
        <w:numPr>
          <w:ilvl w:val="0"/>
          <w:numId w:val="11"/>
        </w:numPr>
        <w:rPr>
          <w:sz w:val="32"/>
          <w:szCs w:val="32"/>
        </w:rPr>
      </w:pPr>
      <w:r w:rsidRPr="00FC469C">
        <w:rPr>
          <w:sz w:val="32"/>
          <w:szCs w:val="32"/>
        </w:rPr>
        <w:t>Johnson, S. M. (Ed.). (2019). Distance Learning: Strategies for Success. Wiley.</w:t>
      </w:r>
    </w:p>
    <w:p w:rsidR="00FC469C" w:rsidRDefault="00FC469C" w:rsidP="00FC469C">
      <w:pPr>
        <w:pStyle w:val="ListParagraph"/>
        <w:numPr>
          <w:ilvl w:val="0"/>
          <w:numId w:val="11"/>
        </w:numPr>
        <w:rPr>
          <w:sz w:val="32"/>
          <w:szCs w:val="32"/>
        </w:rPr>
      </w:pPr>
      <w:r w:rsidRPr="00FC469C">
        <w:rPr>
          <w:sz w:val="32"/>
          <w:szCs w:val="32"/>
        </w:rPr>
        <w:t>Garcia, M. R. (2020). Technology Integration in Online Education. In S. Chen (Ed.), Advances in Distance Learning (pp. 45-67). Springer.</w:t>
      </w:r>
    </w:p>
    <w:p w:rsidR="006E0E92" w:rsidRDefault="006E0E92" w:rsidP="006E0E92">
      <w:pPr>
        <w:pStyle w:val="ListParagraph"/>
        <w:numPr>
          <w:ilvl w:val="0"/>
          <w:numId w:val="11"/>
        </w:numPr>
        <w:rPr>
          <w:sz w:val="32"/>
          <w:szCs w:val="32"/>
        </w:rPr>
      </w:pPr>
      <w:r w:rsidRPr="006E0E92">
        <w:rPr>
          <w:sz w:val="32"/>
          <w:szCs w:val="32"/>
        </w:rPr>
        <w:t>Garcia Marquez, G. (1967). Cien Años de Soledad (Trans. One Hundred Years of Solitude, G. Rabassa, 1970). Harper &amp; Row.</w:t>
      </w:r>
    </w:p>
    <w:p w:rsidR="006E0E92" w:rsidRDefault="006E0E92" w:rsidP="006E0E92">
      <w:pPr>
        <w:pStyle w:val="ListParagraph"/>
        <w:numPr>
          <w:ilvl w:val="0"/>
          <w:numId w:val="11"/>
        </w:numPr>
        <w:rPr>
          <w:sz w:val="32"/>
          <w:szCs w:val="32"/>
        </w:rPr>
      </w:pPr>
      <w:r w:rsidRPr="006E0E92">
        <w:rPr>
          <w:sz w:val="32"/>
          <w:szCs w:val="32"/>
        </w:rPr>
        <w:t>Miller, L. S. (2019). Distance Learning. In K. J. Thompson (Ed.), Encyclopedia of Education (pp. 145-150). Springer.</w:t>
      </w:r>
    </w:p>
    <w:p w:rsidR="006E0E92" w:rsidRPr="00FC469C" w:rsidRDefault="006E0E92" w:rsidP="006E0E92">
      <w:pPr>
        <w:pStyle w:val="ListParagraph"/>
        <w:rPr>
          <w:sz w:val="32"/>
          <w:szCs w:val="32"/>
        </w:rPr>
      </w:pPr>
    </w:p>
    <w:sectPr w:rsidR="006E0E92" w:rsidRPr="00FC46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E3554"/>
    <w:multiLevelType w:val="hybridMultilevel"/>
    <w:tmpl w:val="21D41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81C52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54A"/>
    <w:rsid w:val="000F0036"/>
    <w:rsid w:val="0027201D"/>
    <w:rsid w:val="00627B05"/>
    <w:rsid w:val="006E0E92"/>
    <w:rsid w:val="008F6CDD"/>
    <w:rsid w:val="00C3354A"/>
    <w:rsid w:val="00DC0972"/>
    <w:rsid w:val="00F01E19"/>
    <w:rsid w:val="00FC46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55C7"/>
  <w15:chartTrackingRefBased/>
  <w15:docId w15:val="{CB3BAF77-BA76-4AD2-84CA-EEC62EF5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E19"/>
  </w:style>
  <w:style w:type="paragraph" w:styleId="Heading1">
    <w:name w:val="heading 1"/>
    <w:basedOn w:val="Normal"/>
    <w:next w:val="Normal"/>
    <w:link w:val="Heading1Char"/>
    <w:uiPriority w:val="9"/>
    <w:qFormat/>
    <w:rsid w:val="00C33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C3354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3354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3354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3354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3354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3354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354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354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5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54A"/>
    <w:rPr>
      <w:b/>
      <w:bCs/>
      <w:color w:val="000000" w:themeColor="text1"/>
    </w:rPr>
  </w:style>
  <w:style w:type="character" w:styleId="Emphasis">
    <w:name w:val="Emphasis"/>
    <w:basedOn w:val="DefaultParagraphFont"/>
    <w:uiPriority w:val="20"/>
    <w:qFormat/>
    <w:rsid w:val="00C3354A"/>
    <w:rPr>
      <w:i/>
      <w:iCs/>
      <w:color w:val="auto"/>
    </w:rPr>
  </w:style>
  <w:style w:type="character" w:customStyle="1" w:styleId="Heading1Char">
    <w:name w:val="Heading 1 Char"/>
    <w:basedOn w:val="DefaultParagraphFont"/>
    <w:link w:val="Heading1"/>
    <w:uiPriority w:val="9"/>
    <w:rsid w:val="00C33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C33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33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33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33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33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33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3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3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354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3354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33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33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3354A"/>
    <w:rPr>
      <w:color w:val="5A5A5A" w:themeColor="text1" w:themeTint="A5"/>
      <w:spacing w:val="10"/>
    </w:rPr>
  </w:style>
  <w:style w:type="paragraph" w:styleId="NoSpacing">
    <w:name w:val="No Spacing"/>
    <w:uiPriority w:val="1"/>
    <w:qFormat/>
    <w:rsid w:val="00C3354A"/>
    <w:pPr>
      <w:spacing w:after="0" w:line="240" w:lineRule="auto"/>
    </w:pPr>
  </w:style>
  <w:style w:type="paragraph" w:styleId="Quote">
    <w:name w:val="Quote"/>
    <w:basedOn w:val="Normal"/>
    <w:next w:val="Normal"/>
    <w:link w:val="QuoteChar"/>
    <w:uiPriority w:val="29"/>
    <w:qFormat/>
    <w:rsid w:val="00C3354A"/>
    <w:pPr>
      <w:spacing w:before="160"/>
      <w:ind w:left="720" w:right="720"/>
    </w:pPr>
    <w:rPr>
      <w:i/>
      <w:iCs/>
      <w:color w:val="000000" w:themeColor="text1"/>
    </w:rPr>
  </w:style>
  <w:style w:type="character" w:customStyle="1" w:styleId="QuoteChar">
    <w:name w:val="Quote Char"/>
    <w:basedOn w:val="DefaultParagraphFont"/>
    <w:link w:val="Quote"/>
    <w:uiPriority w:val="29"/>
    <w:rsid w:val="00C3354A"/>
    <w:rPr>
      <w:i/>
      <w:iCs/>
      <w:color w:val="000000" w:themeColor="text1"/>
    </w:rPr>
  </w:style>
  <w:style w:type="paragraph" w:styleId="IntenseQuote">
    <w:name w:val="Intense Quote"/>
    <w:basedOn w:val="Normal"/>
    <w:next w:val="Normal"/>
    <w:link w:val="IntenseQuoteChar"/>
    <w:uiPriority w:val="30"/>
    <w:qFormat/>
    <w:rsid w:val="00C33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3354A"/>
    <w:rPr>
      <w:color w:val="000000" w:themeColor="text1"/>
      <w:shd w:val="clear" w:color="auto" w:fill="F2F2F2" w:themeFill="background1" w:themeFillShade="F2"/>
    </w:rPr>
  </w:style>
  <w:style w:type="character" w:styleId="SubtleEmphasis">
    <w:name w:val="Subtle Emphasis"/>
    <w:basedOn w:val="DefaultParagraphFont"/>
    <w:uiPriority w:val="19"/>
    <w:qFormat/>
    <w:rsid w:val="00C3354A"/>
    <w:rPr>
      <w:i/>
      <w:iCs/>
      <w:color w:val="404040" w:themeColor="text1" w:themeTint="BF"/>
    </w:rPr>
  </w:style>
  <w:style w:type="character" w:styleId="IntenseEmphasis">
    <w:name w:val="Intense Emphasis"/>
    <w:basedOn w:val="DefaultParagraphFont"/>
    <w:uiPriority w:val="21"/>
    <w:qFormat/>
    <w:rsid w:val="00C3354A"/>
    <w:rPr>
      <w:b/>
      <w:bCs/>
      <w:i/>
      <w:iCs/>
      <w:caps/>
    </w:rPr>
  </w:style>
  <w:style w:type="character" w:styleId="SubtleReference">
    <w:name w:val="Subtle Reference"/>
    <w:basedOn w:val="DefaultParagraphFont"/>
    <w:uiPriority w:val="31"/>
    <w:qFormat/>
    <w:rsid w:val="00C33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3354A"/>
    <w:rPr>
      <w:b/>
      <w:bCs/>
      <w:smallCaps/>
      <w:u w:val="single"/>
    </w:rPr>
  </w:style>
  <w:style w:type="character" w:styleId="BookTitle">
    <w:name w:val="Book Title"/>
    <w:basedOn w:val="DefaultParagraphFont"/>
    <w:uiPriority w:val="33"/>
    <w:qFormat/>
    <w:rsid w:val="00C3354A"/>
    <w:rPr>
      <w:b w:val="0"/>
      <w:bCs w:val="0"/>
      <w:smallCaps/>
      <w:spacing w:val="5"/>
    </w:rPr>
  </w:style>
  <w:style w:type="paragraph" w:styleId="TOCHeading">
    <w:name w:val="TOC Heading"/>
    <w:basedOn w:val="Heading1"/>
    <w:next w:val="Normal"/>
    <w:uiPriority w:val="39"/>
    <w:semiHidden/>
    <w:unhideWhenUsed/>
    <w:qFormat/>
    <w:rsid w:val="00C3354A"/>
    <w:pPr>
      <w:outlineLvl w:val="9"/>
    </w:pPr>
  </w:style>
  <w:style w:type="table" w:styleId="TableGrid">
    <w:name w:val="Table Grid"/>
    <w:basedOn w:val="TableNormal"/>
    <w:uiPriority w:val="39"/>
    <w:rsid w:val="008F6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69C"/>
    <w:pPr>
      <w:ind w:left="720"/>
      <w:contextualSpacing/>
    </w:pPr>
  </w:style>
  <w:style w:type="character" w:styleId="Hyperlink">
    <w:name w:val="Hyperlink"/>
    <w:basedOn w:val="DefaultParagraphFont"/>
    <w:uiPriority w:val="99"/>
    <w:unhideWhenUsed/>
    <w:rsid w:val="00FC46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77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online-learning.harvard.edu/"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2023-08-14T22:35:00Z</dcterms:created>
  <dcterms:modified xsi:type="dcterms:W3CDTF">2023-08-19T12:48:00Z</dcterms:modified>
</cp:coreProperties>
</file>