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4"/>
        </w:rPr>
        <w:t>Examifo Backend Clarifications Required</w:t>
      </w:r>
    </w:p>
    <w:p>
      <w:pPr>
        <w:spacing w:after="200"/>
      </w:pPr>
      <w:r>
        <w:rPr>
          <w:rFonts w:ascii="Calibri" w:hAnsi="Calibri"/>
          <w:b w:val="0"/>
          <w:color w:val="5F6978"/>
          <w:sz w:val="22"/>
        </w:rPr>
        <w:t>MAUI Desktop API Contract — concise implementation request</w:t>
      </w:r>
    </w:p>
    <w:p>
      <w:pPr>
        <w:spacing w:after="160"/>
      </w:pPr>
      <w:r>
        <w:rPr>
          <w:rFonts w:ascii="Calibri" w:hAnsi="Calibri"/>
          <w:b w:val="0"/>
          <w:sz w:val="22"/>
        </w:rPr>
        <w:t>Please confirm or extend the backend contract for the following items before the related desktop features are treated as complete.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1. Attempt eligibility and counts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Provide authoritative maxAttempts, attemptsUsed, attemptsRemaining, nextAttemptNumber, activeAttemptId, canStart and reasonCode.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Define what counts as an attempt: issued, started, abandoned, timed-out, submitted, cancelled or administrator-reset.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whether website and other-device attempts share the same limit and whether testing/account overrides exist.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2. Authorization-limit investigation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Investigate cases where an exam reported a limit of 1 but the same candidate received multiple successful authorizations and different attempt IDs.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that offline authorization checks the effective limit transactionally and returns 409 MAX_ATTEMPTS_REACHED without creating another attempt.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that metadata, enrolment rules and authorization use the same effective max-attempt source.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3. Attempt history / eligibility endpoint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Add an exam-level candidate endpoint such as GET /api/v1/exams/{examId}/attempt-eligibility or /attempts.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Return active, consumed, cancelled, expired and remaining-attempt information.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4. Complete question-type contract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Publish the full versioned questionType enumeration and settingsJson schema for every supported type.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Document answer responseFormat, answer.upserted payload, validation and grading rules for each type.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Include the live aliases already observed: rich_answer, drawing_diagram, grid_answer and composite_answer.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5. Upload work / camera questions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Define package settings, file limits, MIME types, attachment IDs, upload/resume endpoints and answer references.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Define encrypted offline storage, synchronization ordering, deadline/grace handling, integrity checks, malware scanning and error codes.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Clarify camera capture rules separately from camera-based proctoring.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6. Proctoring configuration and events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Provide settings for fullscreen, app switching, maximum violations, copy/paste, heartbeat, disconnect grace, one active session and camera presence.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Document violation responses and the complete eventType/payload list.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proctoring.event-recorded as the accepted sync operation and define treatment of older rejected operations.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7. Submission synchronization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when SubmittedLocally becomes authoritative and whether attempt.submitted is accepted only after preceding answers/attachments.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Define duplicate, retry, idempotency, rejection and reconciliation behaviour.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Define transport grace and whether an on-time offline submission may synchronize after the server deadline.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8. Results and grading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Document auto-graded, pending manual/AI, withheld and released result states, polling/backoff and score visibility.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whether result responses also update attempt eligibility and remaining counts.</w:t>
      </w:r>
    </w:p>
    <w:p>
      <w:pPr>
        <w:pStyle w:val="Heading1"/>
        <w:spacing w:before="220" w:after="80"/>
      </w:pPr>
      <w:r>
        <w:rPr>
          <w:rFonts w:ascii="Calibri" w:hAnsi="Calibri"/>
          <w:b/>
          <w:color w:val="2E74B5"/>
          <w:sz w:val="28"/>
        </w:rPr>
        <w:t>9. Catalogue and enrolment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sz w:val="22"/>
        </w:rPr>
        <w:t>Confirm the exact inclusion rules: enrolment, group, join code, publication, windows, accepting-attempts and candidate status.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sz w:val="22"/>
        </w:rPr>
        <w:t>Confirm whether GET /api/v1/exams/available?modifiedSinceUtc=... returns removals/tombstones for exams that are deleted, unpublished, unassigned, archived, expired or otherwise no longer eligible.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sz w:val="22"/>
        </w:rPr>
        <w:t>Until deletion semantics are defined, the desktop safely uses authoritative full-catalogue replacement; cached catalogue is complete and tested, while genuine incremental refresh remains on hold.</w:t>
      </w:r>
    </w:p>
    <w:p>
      <w:pPr>
        <w:spacing w:before="200" w:after="0"/>
      </w:pPr>
      <w:r>
        <w:rPr>
          <w:rFonts w:ascii="Calibri" w:hAnsi="Calibri"/>
          <w:b/>
          <w:color w:val="1F4D78"/>
          <w:sz w:val="22"/>
        </w:rPr>
        <w:t xml:space="preserve">Priority: </w:t>
      </w:r>
      <w:r>
        <w:rPr>
          <w:rFonts w:ascii="Calibri" w:hAnsi="Calibri"/>
          <w:b w:val="0"/>
          <w:sz w:val="22"/>
        </w:rPr>
        <w:t>Attempt eligibility/authorization enforcement, submission synchronization, and the complete question-type schema should be confirmed first.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F6978"/>
        <w:sz w:val="17"/>
      </w:rPr>
      <w:t>Examifo MAUI Desktop • Backend clarification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