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74B5"/>
          <w:sz w:val="28"/>
        </w:rPr>
        <w:t>EXAMIFO DESKTOP</w:t>
      </w:r>
    </w:p>
    <w:p>
      <w:pPr>
        <w:pStyle w:val="Title"/>
        <w:jc w:val="center"/>
      </w:pPr>
      <w:r>
        <w:t>Implementation &amp; Test Status Report</w:t>
      </w:r>
    </w:p>
    <w:p>
      <w:pPr>
        <w:pStyle w:val="Subtitle"/>
        <w:jc w:val="center"/>
      </w:pPr>
      <w:r>
        <w:t>Portion 01 and Portion 04 verification checklist, plus five-portion completion analysis</w:t>
      </w:r>
    </w:p>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2700"/>
        <w:gridCol w:w="6660"/>
      </w:tblGrid>
      <w:tr>
        <w:tc>
          <w:tcPr>
            <w:tcW w:type="dxa" w:w="2700"/>
            <w:vAlign w:val="center"/>
            <w:shd w:fill="E8EEF5"/>
          </w:tcPr>
          <w:p>
            <w:pPr>
              <w:spacing w:after="40"/>
            </w:pPr>
            <w:r>
              <w:rPr>
                <w:b/>
                <w:color w:val="1F4D78"/>
                <w:sz w:val="19"/>
              </w:rPr>
              <w:t>Report field</w:t>
            </w:r>
          </w:p>
        </w:tc>
        <w:tc>
          <w:tcPr>
            <w:tcW w:type="dxa" w:w="6660"/>
            <w:vAlign w:val="center"/>
            <w:shd w:fill="E8EEF5"/>
          </w:tcPr>
          <w:p>
            <w:pPr>
              <w:spacing w:after="40"/>
            </w:pPr>
            <w:r>
              <w:rPr>
                <w:b/>
                <w:color w:val="1F4D78"/>
                <w:sz w:val="19"/>
              </w:rPr>
              <w:t>Value</w:t>
            </w:r>
          </w:p>
        </w:tc>
      </w:tr>
      <w:tr>
        <w:tc>
          <w:tcPr>
            <w:tcW w:type="dxa" w:w="2700"/>
          </w:tcPr>
          <w:p>
            <w:pPr>
              <w:spacing w:after="40" w:before="20"/>
            </w:pPr>
            <w:r>
              <w:rPr>
                <w:sz w:val="18"/>
              </w:rPr>
              <w:t>Project</w:t>
            </w:r>
          </w:p>
        </w:tc>
        <w:tc>
          <w:tcPr>
            <w:tcW w:type="dxa" w:w="6660"/>
          </w:tcPr>
          <w:p>
            <w:pPr>
              <w:spacing w:after="40" w:before="20"/>
            </w:pPr>
            <w:r>
              <w:rPr>
                <w:sz w:val="18"/>
              </w:rPr>
              <w:t>.NET MAUI Windows desktop examination client</w:t>
            </w:r>
          </w:p>
        </w:tc>
      </w:tr>
      <w:tr>
        <w:tc>
          <w:tcPr>
            <w:tcW w:type="dxa" w:w="2700"/>
          </w:tcPr>
          <w:p>
            <w:pPr>
              <w:spacing w:after="40" w:before="20"/>
            </w:pPr>
            <w:r>
              <w:rPr>
                <w:sz w:val="18"/>
              </w:rPr>
              <w:t>Assessment date</w:t>
            </w:r>
          </w:p>
        </w:tc>
        <w:tc>
          <w:tcPr>
            <w:tcW w:type="dxa" w:w="6660"/>
          </w:tcPr>
          <w:p>
            <w:pPr>
              <w:spacing w:after="40" w:before="20"/>
            </w:pPr>
            <w:r>
              <w:rPr>
                <w:sz w:val="18"/>
              </w:rPr>
              <w:t>16 August 2026</w:t>
            </w:r>
          </w:p>
        </w:tc>
      </w:tr>
      <w:tr>
        <w:tc>
          <w:tcPr>
            <w:tcW w:type="dxa" w:w="2700"/>
          </w:tcPr>
          <w:p>
            <w:pPr>
              <w:spacing w:after="40" w:before="20"/>
            </w:pPr>
            <w:r>
              <w:rPr>
                <w:sz w:val="18"/>
              </w:rPr>
              <w:t>Evidence base</w:t>
            </w:r>
          </w:p>
        </w:tc>
        <w:tc>
          <w:tcPr>
            <w:tcW w:type="dxa" w:w="6660"/>
          </w:tcPr>
          <w:p>
            <w:pPr>
              <w:spacing w:after="40" w:before="20"/>
            </w:pPr>
            <w:r>
              <w:rPr>
                <w:sz w:val="18"/>
              </w:rPr>
              <w:t>Source inspection, eight automated test suites, Windows build, user-performed manual application and SQLite testing</w:t>
            </w:r>
          </w:p>
        </w:tc>
      </w:tr>
      <w:tr>
        <w:tc>
          <w:tcPr>
            <w:tcW w:type="dxa" w:w="2700"/>
          </w:tcPr>
          <w:p>
            <w:pPr>
              <w:spacing w:after="40" w:before="20"/>
            </w:pPr>
            <w:r>
              <w:rPr>
                <w:sz w:val="18"/>
              </w:rPr>
              <w:t>Overall estimated implementation</w:t>
            </w:r>
          </w:p>
        </w:tc>
        <w:tc>
          <w:tcPr>
            <w:tcW w:type="dxa" w:w="6660"/>
          </w:tcPr>
          <w:p>
            <w:pPr>
              <w:spacing w:after="40" w:before="20"/>
            </w:pPr>
            <w:r>
              <w:rPr>
                <w:sz w:val="18"/>
              </w:rPr>
              <w:t>73% across five equally weighted major portions</w:t>
            </w:r>
          </w:p>
        </w:tc>
      </w:tr>
      <w:tr>
        <w:tc>
          <w:tcPr>
            <w:tcW w:type="dxa" w:w="2700"/>
          </w:tcPr>
          <w:p>
            <w:pPr>
              <w:spacing w:after="40" w:before="20"/>
            </w:pPr>
            <w:r>
              <w:rPr>
                <w:sz w:val="18"/>
              </w:rPr>
              <w:t>Commit status</w:t>
            </w:r>
          </w:p>
        </w:tc>
        <w:tc>
          <w:tcPr>
            <w:tcW w:type="dxa" w:w="6660"/>
          </w:tcPr>
          <w:p>
            <w:pPr>
              <w:spacing w:after="40" w:before="20"/>
            </w:pPr>
            <w:r>
              <w:rPr>
                <w:sz w:val="18"/>
              </w:rPr>
              <w:t>Portion 04 changes are not committed in this report</w:t>
            </w:r>
          </w:p>
        </w:tc>
      </w:tr>
    </w:tbl>
    <w:p>
      <w:pPr>
        <w:spacing w:after="20"/>
      </w:pPr>
    </w:p>
    <w:p>
      <w:pPr>
        <w:pStyle w:val="StatusPass"/>
        <w:shd w:fill="E2F0D9"/>
      </w:pPr>
      <w:r>
        <w:t>Current conclusion: Portion 01 and the local persistence scope of Portion 04 are complete and test-passing. Backend-dependent synchronization acknowledgements remain externally unverified.</w:t>
      </w:r>
    </w:p>
    <w:p>
      <w:r>
        <w:br w:type="page"/>
      </w:r>
    </w:p>
    <w:p>
      <w:pPr>
        <w:pStyle w:val="Heading1"/>
      </w:pPr>
      <w:r>
        <w:t>1. Status method and evidence</w:t>
      </w:r>
    </w:p>
    <w:p>
      <w:r>
        <w:t>The report distinguishes implementation from verification. A feature is not marked manually passed merely because code exists or an automated test passes.</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1900"/>
        <w:gridCol w:w="7460"/>
      </w:tblGrid>
      <w:tr>
        <w:tc>
          <w:tcPr>
            <w:tcW w:type="dxa" w:w="1900"/>
            <w:vAlign w:val="center"/>
            <w:shd w:fill="E8EEF5"/>
          </w:tcPr>
          <w:p>
            <w:pPr>
              <w:spacing w:after="40"/>
            </w:pPr>
            <w:r>
              <w:rPr>
                <w:b/>
                <w:color w:val="1F4D78"/>
                <w:sz w:val="19"/>
              </w:rPr>
              <w:t>Label</w:t>
            </w:r>
          </w:p>
        </w:tc>
        <w:tc>
          <w:tcPr>
            <w:tcW w:type="dxa" w:w="7460"/>
            <w:vAlign w:val="center"/>
            <w:shd w:fill="E8EEF5"/>
          </w:tcPr>
          <w:p>
            <w:pPr>
              <w:spacing w:after="40"/>
            </w:pPr>
            <w:r>
              <w:rPr>
                <w:b/>
                <w:color w:val="1F4D78"/>
                <w:sz w:val="19"/>
              </w:rPr>
              <w:t>Meaning</w:t>
            </w:r>
          </w:p>
        </w:tc>
      </w:tr>
      <w:tr>
        <w:tc>
          <w:tcPr>
            <w:tcW w:type="dxa" w:w="1900"/>
            <w:shd w:fill="E2F0D9"/>
          </w:tcPr>
          <w:p>
            <w:pPr>
              <w:spacing w:after="40" w:before="20"/>
            </w:pPr>
            <w:r>
              <w:rPr>
                <w:sz w:val="18"/>
              </w:rPr>
              <w:t>PASS — automated</w:t>
            </w:r>
          </w:p>
        </w:tc>
        <w:tc>
          <w:tcPr>
            <w:tcW w:type="dxa" w:w="7460"/>
          </w:tcPr>
          <w:p>
            <w:pPr>
              <w:spacing w:after="40" w:before="20"/>
            </w:pPr>
            <w:r>
              <w:rPr>
                <w:sz w:val="18"/>
              </w:rPr>
              <w:t>A repeatable test suite directly exercised the behavior and passed.</w:t>
            </w:r>
          </w:p>
        </w:tc>
      </w:tr>
      <w:tr>
        <w:tc>
          <w:tcPr>
            <w:tcW w:type="dxa" w:w="1900"/>
            <w:shd w:fill="E2F0D9"/>
          </w:tcPr>
          <w:p>
            <w:pPr>
              <w:spacing w:after="40" w:before="20"/>
            </w:pPr>
            <w:r>
              <w:rPr>
                <w:sz w:val="18"/>
              </w:rPr>
              <w:t>PASS — manual</w:t>
            </w:r>
          </w:p>
        </w:tc>
        <w:tc>
          <w:tcPr>
            <w:tcW w:type="dxa" w:w="7460"/>
          </w:tcPr>
          <w:p>
            <w:pPr>
              <w:spacing w:after="40" w:before="20"/>
            </w:pPr>
            <w:r>
              <w:rPr>
                <w:sz w:val="18"/>
              </w:rPr>
              <w:t>The user observed the behavior in the running application or SQLite database.</w:t>
            </w:r>
          </w:p>
        </w:tc>
      </w:tr>
      <w:tr>
        <w:tc>
          <w:tcPr>
            <w:tcW w:type="dxa" w:w="1900"/>
            <w:shd w:fill="FFF2CC"/>
          </w:tcPr>
          <w:p>
            <w:pPr>
              <w:spacing w:after="40" w:before="20"/>
            </w:pPr>
            <w:r>
              <w:rPr>
                <w:sz w:val="18"/>
              </w:rPr>
              <w:t>PARTIAL — manual</w:t>
            </w:r>
          </w:p>
        </w:tc>
        <w:tc>
          <w:tcPr>
            <w:tcW w:type="dxa" w:w="7460"/>
          </w:tcPr>
          <w:p>
            <w:pPr>
              <w:spacing w:after="40" w:before="20"/>
            </w:pPr>
            <w:r>
              <w:rPr>
                <w:sz w:val="18"/>
              </w:rPr>
              <w:t>Some behavior was observed, but the full scenario was unavailable.</w:t>
            </w:r>
          </w:p>
        </w:tc>
      </w:tr>
      <w:tr>
        <w:tc>
          <w:tcPr>
            <w:tcW w:type="dxa" w:w="1900"/>
            <w:shd w:fill="FFF2CC"/>
          </w:tcPr>
          <w:p>
            <w:pPr>
              <w:spacing w:after="40" w:before="20"/>
            </w:pPr>
            <w:r>
              <w:rPr>
                <w:sz w:val="18"/>
              </w:rPr>
              <w:t>PENDING — external</w:t>
            </w:r>
          </w:p>
        </w:tc>
        <w:tc>
          <w:tcPr>
            <w:tcW w:type="dxa" w:w="7460"/>
          </w:tcPr>
          <w:p>
            <w:pPr>
              <w:spacing w:after="40" w:before="20"/>
            </w:pPr>
            <w:r>
              <w:rPr>
                <w:sz w:val="18"/>
              </w:rPr>
              <w:t>Implementation exists, but compatible backend behavior, administrative access, or a controllable server response was unavailable.</w:t>
            </w:r>
          </w:p>
        </w:tc>
      </w:tr>
      <w:tr>
        <w:tc>
          <w:tcPr>
            <w:tcW w:type="dxa" w:w="1900"/>
            <w:shd w:fill="F2F4F7"/>
          </w:tcPr>
          <w:p>
            <w:pPr>
              <w:spacing w:after="40" w:before="20"/>
            </w:pPr>
            <w:r>
              <w:rPr>
                <w:sz w:val="18"/>
              </w:rPr>
              <w:t>N/A</w:t>
            </w:r>
          </w:p>
        </w:tc>
        <w:tc>
          <w:tcPr>
            <w:tcW w:type="dxa" w:w="7460"/>
          </w:tcPr>
          <w:p>
            <w:pPr>
              <w:spacing w:after="40" w:before="20"/>
            </w:pPr>
            <w:r>
              <w:rPr>
                <w:sz w:val="18"/>
              </w:rPr>
              <w:t>The check is not meaningfully performed manually, or belongs to a different major portion.</w:t>
            </w:r>
          </w:p>
        </w:tc>
      </w:tr>
    </w:tbl>
    <w:p>
      <w:pPr>
        <w:spacing w:after="20"/>
      </w:pPr>
    </w:p>
    <w:p>
      <w:pPr>
        <w:pStyle w:val="Heading2"/>
      </w:pPr>
      <w:r>
        <w:t>Automated evidence rerun</w:t>
      </w:r>
    </w:p>
    <w:p>
      <w:pPr>
        <w:pStyle w:val="ListBullet"/>
        <w:spacing w:after="80"/>
        <w:ind w:left="547" w:hanging="274"/>
      </w:pPr>
      <w:r>
        <w:t>InstallationIdentity.Tests — passed on 16 August 2026</w:t>
      </w:r>
    </w:p>
    <w:p>
      <w:pPr>
        <w:pStyle w:val="ListBullet"/>
        <w:spacing w:after="80"/>
        <w:ind w:left="547" w:hanging="274"/>
      </w:pPr>
      <w:r>
        <w:t>AuthSessionStore.Tests — passed on 16 August 2026</w:t>
      </w:r>
    </w:p>
    <w:p>
      <w:pPr>
        <w:pStyle w:val="ListBullet"/>
        <w:spacing w:after="80"/>
        <w:ind w:left="547" w:hanging="274"/>
      </w:pPr>
      <w:r>
        <w:t>TokenRefresh.Tests — passed on 16 August 2026</w:t>
      </w:r>
    </w:p>
    <w:p>
      <w:pPr>
        <w:pStyle w:val="ListBullet"/>
        <w:spacing w:after="80"/>
        <w:ind w:left="547" w:hanging="274"/>
      </w:pPr>
      <w:r>
        <w:t>AuthenticatedHttp.Tests — passed on 16 August 2026</w:t>
      </w:r>
    </w:p>
    <w:p>
      <w:pPr>
        <w:pStyle w:val="ListBullet"/>
        <w:spacing w:after="80"/>
        <w:ind w:left="547" w:hanging="274"/>
      </w:pPr>
      <w:r>
        <w:t>DeviceEligibility.Tests — passed on 16 August 2026</w:t>
      </w:r>
    </w:p>
    <w:p>
      <w:pPr>
        <w:pStyle w:val="ListBullet"/>
        <w:spacing w:after="80"/>
        <w:ind w:left="547" w:hanging="274"/>
      </w:pPr>
      <w:r>
        <w:t>AuthorizationRestore.Tests — passed on 16 August 2026</w:t>
      </w:r>
    </w:p>
    <w:p>
      <w:pPr>
        <w:pStyle w:val="ListBullet"/>
        <w:spacing w:after="80"/>
        <w:ind w:left="547" w:hanging="274"/>
      </w:pPr>
      <w:r>
        <w:t>Encryption.Tests — passed on 16 August 2026</w:t>
      </w:r>
    </w:p>
    <w:p>
      <w:pPr>
        <w:pStyle w:val="ListBullet"/>
        <w:spacing w:after="80"/>
        <w:ind w:left="547" w:hanging="274"/>
      </w:pPr>
      <w:r>
        <w:t>PersistenceMigration.Tests — passed on 16 August 2026</w:t>
      </w:r>
    </w:p>
    <w:p>
      <w:r>
        <w:t>Windows target build: succeeded with 0 errors. The build retained 174 pre-existing XAML, nullability, and obsolete-API warnings.</w:t>
      </w:r>
    </w:p>
    <w:p>
      <w:r>
        <w:br w:type="page"/>
      </w:r>
    </w:p>
    <w:p>
      <w:pPr>
        <w:pStyle w:val="Heading1"/>
      </w:pPr>
      <w:r>
        <w:t>2. Portion 01 — Get Permission</w:t>
      </w:r>
    </w:p>
    <w:p>
      <w:r>
        <w:t>Portion status: 100% implemented. Core user journeys were manually exercised; server-administration scenarios remain correctly identified as external verification gaps.</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350"/>
        <w:gridCol w:w="1900"/>
        <w:gridCol w:w="650"/>
        <w:gridCol w:w="650"/>
        <w:gridCol w:w="800"/>
        <w:gridCol w:w="5010"/>
      </w:tblGrid>
      <w:tr>
        <w:tc>
          <w:tcPr>
            <w:tcW w:type="dxa" w:w="350"/>
            <w:vAlign w:val="center"/>
            <w:shd w:fill="E8EEF5"/>
          </w:tcPr>
          <w:p>
            <w:pPr>
              <w:spacing w:after="40"/>
            </w:pPr>
            <w:r>
              <w:rPr>
                <w:b/>
                <w:color w:val="1F4D78"/>
                <w:sz w:val="18"/>
              </w:rPr>
              <w:t>#</w:t>
            </w:r>
          </w:p>
        </w:tc>
        <w:tc>
          <w:tcPr>
            <w:tcW w:type="dxa" w:w="1900"/>
            <w:vAlign w:val="center"/>
            <w:shd w:fill="E8EEF5"/>
          </w:tcPr>
          <w:p>
            <w:pPr>
              <w:spacing w:after="40"/>
            </w:pPr>
            <w:r>
              <w:rPr>
                <w:b/>
                <w:color w:val="1F4D78"/>
                <w:sz w:val="18"/>
              </w:rPr>
              <w:t>Milestone</w:t>
            </w:r>
          </w:p>
        </w:tc>
        <w:tc>
          <w:tcPr>
            <w:tcW w:type="dxa" w:w="650"/>
            <w:vAlign w:val="center"/>
            <w:shd w:fill="E8EEF5"/>
          </w:tcPr>
          <w:p>
            <w:pPr>
              <w:spacing w:after="40"/>
            </w:pPr>
            <w:r>
              <w:rPr>
                <w:b/>
                <w:color w:val="1F4D78"/>
                <w:sz w:val="18"/>
              </w:rPr>
              <w:t>Impl.</w:t>
            </w:r>
          </w:p>
        </w:tc>
        <w:tc>
          <w:tcPr>
            <w:tcW w:type="dxa" w:w="650"/>
            <w:vAlign w:val="center"/>
            <w:shd w:fill="E8EEF5"/>
          </w:tcPr>
          <w:p>
            <w:pPr>
              <w:spacing w:after="40"/>
            </w:pPr>
            <w:r>
              <w:rPr>
                <w:b/>
                <w:color w:val="1F4D78"/>
                <w:sz w:val="18"/>
              </w:rPr>
              <w:t>Auto</w:t>
            </w:r>
          </w:p>
        </w:tc>
        <w:tc>
          <w:tcPr>
            <w:tcW w:type="dxa" w:w="800"/>
            <w:vAlign w:val="center"/>
            <w:shd w:fill="E8EEF5"/>
          </w:tcPr>
          <w:p>
            <w:pPr>
              <w:spacing w:after="40"/>
            </w:pPr>
            <w:r>
              <w:rPr>
                <w:b/>
                <w:color w:val="1F4D78"/>
                <w:sz w:val="18"/>
              </w:rPr>
              <w:t>Manual</w:t>
            </w:r>
          </w:p>
        </w:tc>
        <w:tc>
          <w:tcPr>
            <w:tcW w:type="dxa" w:w="5010"/>
            <w:vAlign w:val="center"/>
            <w:shd w:fill="E8EEF5"/>
          </w:tcPr>
          <w:p>
            <w:pPr>
              <w:spacing w:after="40"/>
            </w:pPr>
            <w:r>
              <w:rPr>
                <w:b/>
                <w:color w:val="1F4D78"/>
                <w:sz w:val="18"/>
              </w:rPr>
              <w:t>Evidence / limitation</w:t>
            </w:r>
          </w:p>
        </w:tc>
      </w:tr>
      <w:tr>
        <w:tc>
          <w:tcPr>
            <w:tcW w:type="dxa" w:w="350"/>
          </w:tcPr>
          <w:p>
            <w:pPr>
              <w:spacing w:after="40" w:before="20"/>
            </w:pPr>
            <w:r>
              <w:rPr>
                <w:sz w:val="17"/>
              </w:rPr>
              <w:t>1</w:t>
            </w:r>
          </w:p>
        </w:tc>
        <w:tc>
          <w:tcPr>
            <w:tcW w:type="dxa" w:w="1900"/>
          </w:tcPr>
          <w:p>
            <w:pPr>
              <w:spacing w:after="40" w:before="20"/>
            </w:pPr>
            <w:r>
              <w:rPr>
                <w:sz w:val="17"/>
              </w:rPr>
              <w:t>Installation identity</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Stable ID creation, restart reuse, validation, corruption recovery, and concurrency tested; restart behavior observed.</w:t>
            </w:r>
          </w:p>
        </w:tc>
      </w:tr>
      <w:tr>
        <w:tc>
          <w:tcPr>
            <w:tcW w:type="dxa" w:w="350"/>
          </w:tcPr>
          <w:p>
            <w:pPr>
              <w:spacing w:after="40" w:before="20"/>
            </w:pPr>
            <w:r>
              <w:rPr>
                <w:sz w:val="17"/>
              </w:rPr>
              <w:t>2</w:t>
            </w:r>
          </w:p>
        </w:tc>
        <w:tc>
          <w:tcPr>
            <w:tcW w:type="dxa" w:w="1900"/>
          </w:tcPr>
          <w:p>
            <w:pPr>
              <w:spacing w:after="40" w:before="20"/>
            </w:pPr>
            <w:r>
              <w:rPr>
                <w:sz w:val="17"/>
              </w:rPr>
              <w:t>Live login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Valid account login and normal authenticated use observed.</w:t>
            </w:r>
          </w:p>
        </w:tc>
      </w:tr>
      <w:tr>
        <w:tc>
          <w:tcPr>
            <w:tcW w:type="dxa" w:w="350"/>
          </w:tcPr>
          <w:p>
            <w:pPr>
              <w:spacing w:after="40" w:before="20"/>
            </w:pPr>
            <w:r>
              <w:rPr>
                <w:sz w:val="17"/>
              </w:rPr>
              <w:t>3</w:t>
            </w:r>
          </w:p>
        </w:tc>
        <w:tc>
          <w:tcPr>
            <w:tcW w:type="dxa" w:w="1900"/>
          </w:tcPr>
          <w:p>
            <w:pPr>
              <w:spacing w:after="40" w:before="20"/>
            </w:pPr>
            <w:r>
              <w:rPr>
                <w:sz w:val="17"/>
              </w:rPr>
              <w:t>Secure token/session storage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Session persisted across restart; secure envelope and clearing tests passed.</w:t>
            </w:r>
          </w:p>
        </w:tc>
      </w:tr>
      <w:tr>
        <w:tc>
          <w:tcPr>
            <w:tcW w:type="dxa" w:w="350"/>
          </w:tcPr>
          <w:p>
            <w:pPr>
              <w:spacing w:after="40" w:before="20"/>
            </w:pPr>
            <w:r>
              <w:rPr>
                <w:sz w:val="17"/>
              </w:rPr>
              <w:t>4</w:t>
            </w:r>
          </w:p>
        </w:tc>
        <w:tc>
          <w:tcPr>
            <w:tcW w:type="dxa" w:w="1900"/>
          </w:tcPr>
          <w:p>
            <w:pPr>
              <w:spacing w:after="40" w:before="20"/>
            </w:pPr>
            <w:r>
              <w:rPr>
                <w:sz w:val="17"/>
              </w:rPr>
              <w:t>Token refresh and rotation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Rotation, invalid rotation, and concurrent refresh tested; natural live token expiry was not deliberately forced.</w:t>
            </w:r>
          </w:p>
        </w:tc>
      </w:tr>
      <w:tr>
        <w:tc>
          <w:tcPr>
            <w:tcW w:type="dxa" w:w="350"/>
          </w:tcPr>
          <w:p>
            <w:pPr>
              <w:spacing w:after="40" w:before="20"/>
            </w:pPr>
            <w:r>
              <w:rPr>
                <w:sz w:val="17"/>
              </w:rPr>
              <w:t>5</w:t>
            </w:r>
          </w:p>
        </w:tc>
        <w:tc>
          <w:tcPr>
            <w:tcW w:type="dxa" w:w="1900"/>
          </w:tcPr>
          <w:p>
            <w:pPr>
              <w:spacing w:after="40" w:before="20"/>
            </w:pPr>
            <w:r>
              <w:rPr>
                <w:sz w:val="17"/>
              </w:rPr>
              <w:t>Shared authenticated HTTP mechanism</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Bearer handling, retry behavior, and HTTPS protection tested; authenticated API flows used manually.</w:t>
            </w:r>
          </w:p>
        </w:tc>
      </w:tr>
      <w:tr>
        <w:tc>
          <w:tcPr>
            <w:tcW w:type="dxa" w:w="350"/>
          </w:tcPr>
          <w:p>
            <w:pPr>
              <w:spacing w:after="40" w:before="20"/>
            </w:pPr>
            <w:r>
              <w:rPr>
                <w:sz w:val="17"/>
              </w:rPr>
              <w:t>6</w:t>
            </w:r>
          </w:p>
        </w:tc>
        <w:tc>
          <w:tcPr>
            <w:tcW w:type="dxa" w:w="1900"/>
          </w:tcPr>
          <w:p>
            <w:pPr>
              <w:spacing w:after="40" w:before="20"/>
            </w:pPr>
            <w:r>
              <w:rPr>
                <w:sz w:val="17"/>
              </w:rPr>
              <w:t>Device identity and lifecycle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One stable device record observed. Revocation/device-limit administration could not be simulated without backend access.</w:t>
            </w:r>
          </w:p>
        </w:tc>
      </w:tr>
      <w:tr>
        <w:tc>
          <w:tcPr>
            <w:tcW w:type="dxa" w:w="350"/>
          </w:tcPr>
          <w:p>
            <w:pPr>
              <w:spacing w:after="40" w:before="20"/>
            </w:pPr>
            <w:r>
              <w:rPr>
                <w:sz w:val="17"/>
              </w:rPr>
              <w:t>7</w:t>
            </w:r>
          </w:p>
        </w:tc>
        <w:tc>
          <w:tcPr>
            <w:tcW w:type="dxa" w:w="1900"/>
          </w:tcPr>
          <w:p>
            <w:pPr>
              <w:spacing w:after="40" w:before="20"/>
            </w:pPr>
            <w:r>
              <w:rPr>
                <w:sz w:val="17"/>
              </w:rPr>
              <w:t>Eligibility and assigned exams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Exam access and maximum-attempt rejection observed; invalid metadata tested.</w:t>
            </w:r>
          </w:p>
        </w:tc>
      </w:tr>
      <w:tr>
        <w:tc>
          <w:tcPr>
            <w:tcW w:type="dxa" w:w="350"/>
          </w:tcPr>
          <w:p>
            <w:pPr>
              <w:spacing w:after="40" w:before="20"/>
            </w:pPr>
            <w:r>
              <w:rPr>
                <w:sz w:val="17"/>
              </w:rPr>
              <w:t>8</w:t>
            </w:r>
          </w:p>
        </w:tc>
        <w:tc>
          <w:tcPr>
            <w:tcW w:type="dxa" w:w="1900"/>
          </w:tcPr>
          <w:p>
            <w:pPr>
              <w:spacing w:after="40" w:before="20"/>
            </w:pPr>
            <w:r>
              <w:rPr>
                <w:sz w:val="17"/>
              </w:rPr>
              <w:t>Offline authorization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Exam worked offline after authorization; consumed authorization removal observed.</w:t>
            </w:r>
          </w:p>
        </w:tc>
      </w:tr>
      <w:tr>
        <w:tc>
          <w:tcPr>
            <w:tcW w:type="dxa" w:w="350"/>
          </w:tcPr>
          <w:p>
            <w:pPr>
              <w:spacing w:after="40" w:before="20"/>
            </w:pPr>
            <w:r>
              <w:rPr>
                <w:sz w:val="17"/>
              </w:rPr>
              <w:t>9</w:t>
            </w:r>
          </w:p>
        </w:tc>
        <w:tc>
          <w:tcPr>
            <w:tcW w:type="dxa" w:w="1900"/>
          </w:tcPr>
          <w:p>
            <w:pPr>
              <w:spacing w:after="40" w:before="20"/>
            </w:pPr>
            <w:r>
              <w:rPr>
                <w:sz w:val="17"/>
              </w:rPr>
              <w:t>Startup session restoration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Closing/reopening restored the signed-in session.</w:t>
            </w:r>
          </w:p>
        </w:tc>
      </w:tr>
      <w:tr>
        <w:tc>
          <w:tcPr>
            <w:tcW w:type="dxa" w:w="350"/>
          </w:tcPr>
          <w:p>
            <w:pPr>
              <w:spacing w:after="40" w:before="20"/>
            </w:pPr>
            <w:r>
              <w:rPr>
                <w:sz w:val="17"/>
              </w:rPr>
              <w:t>10</w:t>
            </w:r>
          </w:p>
        </w:tc>
        <w:tc>
          <w:tcPr>
            <w:tcW w:type="dxa" w:w="1900"/>
          </w:tcPr>
          <w:p>
            <w:pPr>
              <w:spacing w:after="40" w:before="20"/>
            </w:pPr>
            <w:r>
              <w:rPr>
                <w:sz w:val="17"/>
              </w:rPr>
              <w:t>/auth/me identity verification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Success, mismatch, rejection, and network failure tested; exact backend trace was not available manually.</w:t>
            </w:r>
          </w:p>
        </w:tc>
      </w:tr>
      <w:tr>
        <w:tc>
          <w:tcPr>
            <w:tcW w:type="dxa" w:w="350"/>
          </w:tcPr>
          <w:p>
            <w:pPr>
              <w:spacing w:after="40" w:before="20"/>
            </w:pPr>
            <w:r>
              <w:rPr>
                <w:sz w:val="17"/>
              </w:rPr>
              <w:t>11</w:t>
            </w:r>
          </w:p>
        </w:tc>
        <w:tc>
          <w:tcPr>
            <w:tcW w:type="dxa" w:w="1900"/>
          </w:tcPr>
          <w:p>
            <w:pPr>
              <w:spacing w:after="40" w:before="20"/>
            </w:pPr>
            <w:r>
              <w:rPr>
                <w:sz w:val="17"/>
              </w:rPr>
              <w:t>Logout</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Logout/re-login exercised; server failure and local-only paths covered automatically.</w:t>
            </w:r>
          </w:p>
        </w:tc>
      </w:tr>
      <w:tr>
        <w:tc>
          <w:tcPr>
            <w:tcW w:type="dxa" w:w="350"/>
          </w:tcPr>
          <w:p>
            <w:pPr>
              <w:spacing w:after="40" w:before="20"/>
            </w:pPr>
            <w:r>
              <w:rPr>
                <w:sz w:val="17"/>
              </w:rPr>
              <w:t>12</w:t>
            </w:r>
          </w:p>
        </w:tc>
        <w:tc>
          <w:tcPr>
            <w:tcW w:type="dxa" w:w="1900"/>
          </w:tcPr>
          <w:p>
            <w:pPr>
              <w:spacing w:after="40" w:before="20"/>
            </w:pPr>
            <w:r>
              <w:rPr>
                <w:sz w:val="17"/>
              </w:rPr>
              <w:t>Trusted server time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Clock-manipulation test did not incorrectly unlock/extend the exam; trusted offset tests passed.</w:t>
            </w:r>
          </w:p>
        </w:tc>
      </w:tr>
      <w:tr>
        <w:tc>
          <w:tcPr>
            <w:tcW w:type="dxa" w:w="350"/>
          </w:tcPr>
          <w:p>
            <w:pPr>
              <w:spacing w:after="40" w:before="20"/>
            </w:pPr>
            <w:r>
              <w:rPr>
                <w:sz w:val="17"/>
              </w:rPr>
              <w:t>13</w:t>
            </w:r>
          </w:p>
        </w:tc>
        <w:tc>
          <w:tcPr>
            <w:tcW w:type="dxa" w:w="1900"/>
          </w:tcPr>
          <w:p>
            <w:pPr>
              <w:spacing w:after="40" w:before="20"/>
            </w:pPr>
            <w:r>
              <w:rPr>
                <w:sz w:val="17"/>
              </w:rPr>
              <w:t>Central session state machine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Guarded transitions tested; earlier invalid SigningOut transition was corrected and subsequent use succeeded.</w:t>
            </w:r>
          </w:p>
        </w:tc>
      </w:tr>
      <w:tr>
        <w:tc>
          <w:tcPr>
            <w:tcW w:type="dxa" w:w="350"/>
          </w:tcPr>
          <w:p>
            <w:pPr>
              <w:spacing w:after="40" w:before="20"/>
            </w:pPr>
            <w:r>
              <w:rPr>
                <w:sz w:val="17"/>
              </w:rPr>
              <w:t>14</w:t>
            </w:r>
          </w:p>
        </w:tc>
        <w:tc>
          <w:tcPr>
            <w:tcW w:type="dxa" w:w="1900"/>
          </w:tcPr>
          <w:p>
            <w:pPr>
              <w:spacing w:after="40" w:before="20"/>
            </w:pPr>
            <w:r>
              <w:rPr>
                <w:sz w:val="17"/>
              </w:rPr>
              <w:t>Security hardening and acceptance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HTTPS-only token transmission, corruption handling, restart and offline cases passed. Device revocation remains backend-dependent.</w:t>
            </w:r>
          </w:p>
        </w:tc>
      </w:tr>
    </w:tbl>
    <w:p>
      <w:pPr>
        <w:spacing w:after="20"/>
      </w:pPr>
    </w:p>
    <w:p>
      <w:r>
        <w:br w:type="page"/>
      </w:r>
    </w:p>
    <w:p>
      <w:pPr>
        <w:pStyle w:val="Heading1"/>
      </w:pPr>
      <w:r>
        <w:t>3. Portion 04 — Preserve Data</w:t>
      </w:r>
    </w:p>
    <w:p>
      <w:r>
        <w:t>Portion status: 100% for its defined local durability and persistence responsibility. Server acknowledgement and pull reconciliation are Portion 05 responsibilities.</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350"/>
        <w:gridCol w:w="1900"/>
        <w:gridCol w:w="650"/>
        <w:gridCol w:w="650"/>
        <w:gridCol w:w="800"/>
        <w:gridCol w:w="5010"/>
      </w:tblGrid>
      <w:tr>
        <w:tc>
          <w:tcPr>
            <w:tcW w:type="dxa" w:w="350"/>
            <w:vAlign w:val="center"/>
            <w:shd w:fill="E8EEF5"/>
          </w:tcPr>
          <w:p>
            <w:pPr>
              <w:spacing w:after="40"/>
            </w:pPr>
            <w:r>
              <w:rPr>
                <w:b/>
                <w:color w:val="1F4D78"/>
                <w:sz w:val="18"/>
              </w:rPr>
              <w:t>#</w:t>
            </w:r>
          </w:p>
        </w:tc>
        <w:tc>
          <w:tcPr>
            <w:tcW w:type="dxa" w:w="1900"/>
            <w:vAlign w:val="center"/>
            <w:shd w:fill="E8EEF5"/>
          </w:tcPr>
          <w:p>
            <w:pPr>
              <w:spacing w:after="40"/>
            </w:pPr>
            <w:r>
              <w:rPr>
                <w:b/>
                <w:color w:val="1F4D78"/>
                <w:sz w:val="18"/>
              </w:rPr>
              <w:t>Milestone</w:t>
            </w:r>
          </w:p>
        </w:tc>
        <w:tc>
          <w:tcPr>
            <w:tcW w:type="dxa" w:w="650"/>
            <w:vAlign w:val="center"/>
            <w:shd w:fill="E8EEF5"/>
          </w:tcPr>
          <w:p>
            <w:pPr>
              <w:spacing w:after="40"/>
            </w:pPr>
            <w:r>
              <w:rPr>
                <w:b/>
                <w:color w:val="1F4D78"/>
                <w:sz w:val="18"/>
              </w:rPr>
              <w:t>Impl.</w:t>
            </w:r>
          </w:p>
        </w:tc>
        <w:tc>
          <w:tcPr>
            <w:tcW w:type="dxa" w:w="650"/>
            <w:vAlign w:val="center"/>
            <w:shd w:fill="E8EEF5"/>
          </w:tcPr>
          <w:p>
            <w:pPr>
              <w:spacing w:after="40"/>
            </w:pPr>
            <w:r>
              <w:rPr>
                <w:b/>
                <w:color w:val="1F4D78"/>
                <w:sz w:val="18"/>
              </w:rPr>
              <w:t>Auto</w:t>
            </w:r>
          </w:p>
        </w:tc>
        <w:tc>
          <w:tcPr>
            <w:tcW w:type="dxa" w:w="800"/>
            <w:vAlign w:val="center"/>
            <w:shd w:fill="E8EEF5"/>
          </w:tcPr>
          <w:p>
            <w:pPr>
              <w:spacing w:after="40"/>
            </w:pPr>
            <w:r>
              <w:rPr>
                <w:b/>
                <w:color w:val="1F4D78"/>
                <w:sz w:val="18"/>
              </w:rPr>
              <w:t>Manual</w:t>
            </w:r>
          </w:p>
        </w:tc>
        <w:tc>
          <w:tcPr>
            <w:tcW w:type="dxa" w:w="5010"/>
            <w:vAlign w:val="center"/>
            <w:shd w:fill="E8EEF5"/>
          </w:tcPr>
          <w:p>
            <w:pPr>
              <w:spacing w:after="40"/>
            </w:pPr>
            <w:r>
              <w:rPr>
                <w:b/>
                <w:color w:val="1F4D78"/>
                <w:sz w:val="18"/>
              </w:rPr>
              <w:t>Evidence / limitation</w:t>
            </w:r>
          </w:p>
        </w:tc>
      </w:tr>
      <w:tr>
        <w:tc>
          <w:tcPr>
            <w:tcW w:type="dxa" w:w="350"/>
          </w:tcPr>
          <w:p>
            <w:pPr>
              <w:spacing w:after="40" w:before="20"/>
            </w:pPr>
            <w:r>
              <w:rPr>
                <w:sz w:val="17"/>
              </w:rPr>
              <w:t>1</w:t>
            </w:r>
          </w:p>
        </w:tc>
        <w:tc>
          <w:tcPr>
            <w:tcW w:type="dxa" w:w="1900"/>
          </w:tcPr>
          <w:p>
            <w:pPr>
              <w:spacing w:after="40" w:before="20"/>
            </w:pPr>
            <w:r>
              <w:rPr>
                <w:sz w:val="17"/>
              </w:rPr>
              <w:t>Versioned SQLite migrations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SchemaMigrationRecord shows versions 1–4; fresh, repeated, concurrent, legacy, and future-version cases passed.</w:t>
            </w:r>
          </w:p>
        </w:tc>
      </w:tr>
      <w:tr>
        <w:tc>
          <w:tcPr>
            <w:tcW w:type="dxa" w:w="350"/>
          </w:tcPr>
          <w:p>
            <w:pPr>
              <w:spacing w:after="40" w:before="20"/>
            </w:pPr>
            <w:r>
              <w:rPr>
                <w:sz w:val="17"/>
              </w:rPr>
              <w:t>2</w:t>
            </w:r>
          </w:p>
        </w:tc>
        <w:tc>
          <w:tcPr>
            <w:tcW w:type="dxa" w:w="1900"/>
          </w:tcPr>
          <w:p>
            <w:pPr>
              <w:spacing w:after="40" w:before="20"/>
            </w:pPr>
            <w:r>
              <w:rPr>
                <w:sz w:val="17"/>
              </w:rPr>
              <w:t>Complete local entities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Required tables exist. User, device, attempt, answer, submission, and proctor records were inspected.</w:t>
            </w:r>
          </w:p>
        </w:tc>
      </w:tr>
      <w:tr>
        <w:tc>
          <w:tcPr>
            <w:tcW w:type="dxa" w:w="350"/>
          </w:tcPr>
          <w:p>
            <w:pPr>
              <w:spacing w:after="40" w:before="20"/>
            </w:pPr>
            <w:r>
              <w:rPr>
                <w:sz w:val="17"/>
              </w:rPr>
              <w:t>3</w:t>
            </w:r>
          </w:p>
        </w:tc>
        <w:tc>
          <w:tcPr>
            <w:tcW w:type="dxa" w:w="1900"/>
          </w:tcPr>
          <w:p>
            <w:pPr>
              <w:spacing w:after="40" w:before="20"/>
            </w:pPr>
            <w:r>
              <w:rPr>
                <w:sz w:val="17"/>
              </w:rPr>
              <w:t>Constraints and relationships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Uniqueness and orphan checks pass automatically; normal linked rows were observed manually.</w:t>
            </w:r>
          </w:p>
        </w:tc>
      </w:tr>
      <w:tr>
        <w:tc>
          <w:tcPr>
            <w:tcW w:type="dxa" w:w="350"/>
          </w:tcPr>
          <w:p>
            <w:pPr>
              <w:spacing w:after="40" w:before="20"/>
            </w:pPr>
            <w:r>
              <w:rPr>
                <w:sz w:val="17"/>
              </w:rPr>
              <w:t>4</w:t>
            </w:r>
          </w:p>
        </w:tc>
        <w:tc>
          <w:tcPr>
            <w:tcW w:type="dxa" w:w="1900"/>
          </w:tcPr>
          <w:p>
            <w:pPr>
              <w:spacing w:after="40" w:before="20"/>
            </w:pPr>
            <w:r>
              <w:rPr>
                <w:sz w:val="17"/>
              </w:rPr>
              <w:t>Encrypted-data boundaries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Answer, user, device, authorization, proctor metadata, and outbox payload protection implemented; enc:v1 envelopes observed.</w:t>
            </w:r>
          </w:p>
        </w:tc>
      </w:tr>
      <w:tr>
        <w:tc>
          <w:tcPr>
            <w:tcW w:type="dxa" w:w="350"/>
          </w:tcPr>
          <w:p>
            <w:pPr>
              <w:spacing w:after="40" w:before="20"/>
            </w:pPr>
            <w:r>
              <w:rPr>
                <w:sz w:val="17"/>
              </w:rPr>
              <w:t>5</w:t>
            </w:r>
          </w:p>
        </w:tc>
        <w:tc>
          <w:tcPr>
            <w:tcW w:type="dxa" w:w="1900"/>
          </w:tcPr>
          <w:p>
            <w:pPr>
              <w:spacing w:after="40" w:before="20"/>
            </w:pPr>
            <w:r>
              <w:rPr>
                <w:sz w:val="17"/>
              </w:rPr>
              <w:t>Generalized answer persistence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All supported formats tested automatically; current UI/manual run primarily exercised selected-option answers.</w:t>
            </w:r>
          </w:p>
        </w:tc>
      </w:tr>
      <w:tr>
        <w:tc>
          <w:tcPr>
            <w:tcW w:type="dxa" w:w="350"/>
          </w:tcPr>
          <w:p>
            <w:pPr>
              <w:spacing w:after="40" w:before="20"/>
            </w:pPr>
            <w:r>
              <w:rPr>
                <w:sz w:val="17"/>
              </w:rPr>
              <w:t>6</w:t>
            </w:r>
          </w:p>
        </w:tc>
        <w:tc>
          <w:tcPr>
            <w:tcW w:type="dxa" w:w="1900"/>
          </w:tcPr>
          <w:p>
            <w:pPr>
              <w:spacing w:after="40" w:before="20"/>
            </w:pPr>
            <w:r>
              <w:rPr>
                <w:sz w:val="17"/>
              </w:rPr>
              <w:t>Answer replacement and clearing</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Revision 2 rows observed; replacement/clearing behavior tested.</w:t>
            </w:r>
          </w:p>
        </w:tc>
      </w:tr>
      <w:tr>
        <w:tc>
          <w:tcPr>
            <w:tcW w:type="dxa" w:w="350"/>
          </w:tcPr>
          <w:p>
            <w:pPr>
              <w:spacing w:after="40" w:before="20"/>
            </w:pPr>
            <w:r>
              <w:rPr>
                <w:sz w:val="17"/>
              </w:rPr>
              <w:t>7</w:t>
            </w:r>
          </w:p>
        </w:tc>
        <w:tc>
          <w:tcPr>
            <w:tcW w:type="dxa" w:w="1900"/>
          </w:tcPr>
          <w:p>
            <w:pPr>
              <w:spacing w:after="40" w:before="20"/>
            </w:pPr>
            <w:r>
              <w:rPr>
                <w:sz w:val="17"/>
              </w:rPr>
              <w:t>Attempt lifecycle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Start, in-progress, local submit, syncing, synced/rejected rules tested; current attempt state inspected.</w:t>
            </w:r>
          </w:p>
        </w:tc>
      </w:tr>
      <w:tr>
        <w:tc>
          <w:tcPr>
            <w:tcW w:type="dxa" w:w="350"/>
          </w:tcPr>
          <w:p>
            <w:pPr>
              <w:spacing w:after="40" w:before="20"/>
            </w:pPr>
            <w:r>
              <w:rPr>
                <w:sz w:val="17"/>
              </w:rPr>
              <w:t>8</w:t>
            </w:r>
          </w:p>
        </w:tc>
        <w:tc>
          <w:tcPr>
            <w:tcW w:type="dxa" w:w="1900"/>
          </w:tcPr>
          <w:p>
            <w:pPr>
              <w:spacing w:after="40" w:before="20"/>
            </w:pPr>
            <w:r>
              <w:rPr>
                <w:sz w:val="17"/>
              </w:rPr>
              <w:t>Recovery snapshot and progress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Offline/restart recovery worked; latest CurrentQuestionIndex was 19.</w:t>
            </w:r>
          </w:p>
        </w:tc>
      </w:tr>
      <w:tr>
        <w:tc>
          <w:tcPr>
            <w:tcW w:type="dxa" w:w="350"/>
          </w:tcPr>
          <w:p>
            <w:pPr>
              <w:spacing w:after="40" w:before="20"/>
            </w:pPr>
            <w:r>
              <w:rPr>
                <w:sz w:val="17"/>
              </w:rPr>
              <w:t>9</w:t>
            </w:r>
          </w:p>
        </w:tc>
        <w:tc>
          <w:tcPr>
            <w:tcW w:type="dxa" w:w="1900"/>
          </w:tcPr>
          <w:p>
            <w:pPr>
              <w:spacing w:after="40" w:before="20"/>
            </w:pPr>
            <w:r>
              <w:rPr>
                <w:sz w:val="17"/>
              </w:rPr>
              <w:t>Idempotent atomic submission</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Exactly one submission for the latest attempt; repeated/concurrent submission tests passed.</w:t>
            </w:r>
          </w:p>
        </w:tc>
      </w:tr>
      <w:tr>
        <w:tc>
          <w:tcPr>
            <w:tcW w:type="dxa" w:w="350"/>
          </w:tcPr>
          <w:p>
            <w:pPr>
              <w:spacing w:after="40" w:before="20"/>
            </w:pPr>
            <w:r>
              <w:rPr>
                <w:sz w:val="17"/>
              </w:rPr>
              <w:t>10</w:t>
            </w:r>
          </w:p>
        </w:tc>
        <w:tc>
          <w:tcPr>
            <w:tcW w:type="dxa" w:w="1900"/>
          </w:tcPr>
          <w:p>
            <w:pPr>
              <w:spacing w:after="40" w:before="20"/>
            </w:pPr>
            <w:r>
              <w:rPr>
                <w:sz w:val="17"/>
              </w:rPr>
              <w:t>Local outbox lifecycle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Pending, in-flight, retry, stale recovery, and terminal results tested. Final filtered manual query was not completed in supplied screenshots.</w:t>
            </w:r>
          </w:p>
        </w:tc>
      </w:tr>
      <w:tr>
        <w:tc>
          <w:tcPr>
            <w:tcW w:type="dxa" w:w="350"/>
          </w:tcPr>
          <w:p>
            <w:pPr>
              <w:spacing w:after="40" w:before="20"/>
            </w:pPr>
            <w:r>
              <w:rPr>
                <w:sz w:val="17"/>
              </w:rPr>
              <w:t>11</w:t>
            </w:r>
          </w:p>
        </w:tc>
        <w:tc>
          <w:tcPr>
            <w:tcW w:type="dxa" w:w="1900"/>
          </w:tcPr>
          <w:p>
            <w:pPr>
              <w:spacing w:after="40" w:before="20"/>
            </w:pPr>
            <w:r>
              <w:rPr>
                <w:sz w:val="17"/>
              </w:rPr>
              <w:t>Synchronization checkpoints</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PENDING</w:t>
            </w:r>
          </w:p>
        </w:tc>
        <w:tc>
          <w:tcPr>
            <w:tcW w:type="dxa" w:w="5010"/>
          </w:tcPr>
          <w:p>
            <w:pPr>
              <w:spacing w:after="40" w:before="20"/>
            </w:pPr>
            <w:r>
              <w:rPr>
                <w:sz w:val="17"/>
              </w:rPr>
              <w:t>Monotonic revision/cursor behavior passed. Live table is empty because backend supplied no usable ServerRevision.</w:t>
            </w:r>
          </w:p>
        </w:tc>
      </w:tr>
      <w:tr>
        <w:tc>
          <w:tcPr>
            <w:tcW w:type="dxa" w:w="350"/>
          </w:tcPr>
          <w:p>
            <w:pPr>
              <w:spacing w:after="40" w:before="20"/>
            </w:pPr>
            <w:r>
              <w:rPr>
                <w:sz w:val="17"/>
              </w:rPr>
              <w:t>12</w:t>
            </w:r>
          </w:p>
        </w:tc>
        <w:tc>
          <w:tcPr>
            <w:tcW w:type="dxa" w:w="1900"/>
          </w:tcPr>
          <w:p>
            <w:pPr>
              <w:spacing w:after="40" w:before="20"/>
            </w:pPr>
            <w:r>
              <w:rPr>
                <w:sz w:val="17"/>
              </w:rPr>
              <w:t>Proctoring-event persistence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exam.view.entered/hidden records, encrypted metadata, operation IDs, and sequences observed.</w:t>
            </w:r>
          </w:p>
        </w:tc>
      </w:tr>
      <w:tr>
        <w:tc>
          <w:tcPr>
            <w:tcW w:type="dxa" w:w="350"/>
          </w:tcPr>
          <w:p>
            <w:pPr>
              <w:spacing w:after="40" w:before="20"/>
            </w:pPr>
            <w:r>
              <w:rPr>
                <w:sz w:val="17"/>
              </w:rPr>
              <w:t>13</w:t>
            </w:r>
          </w:p>
        </w:tc>
        <w:tc>
          <w:tcPr>
            <w:tcW w:type="dxa" w:w="1900"/>
          </w:tcPr>
          <w:p>
            <w:pPr>
              <w:spacing w:after="40" w:before="20"/>
            </w:pPr>
            <w:r>
              <w:rPr>
                <w:sz w:val="17"/>
              </w:rPr>
              <w:t>Integrity/corruption handling</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FFF2CC"/>
          </w:tcPr>
          <w:p>
            <w:pPr>
              <w:spacing w:after="40" w:before="20"/>
            </w:pPr>
            <w:r>
              <w:rPr>
                <w:sz w:val="17"/>
              </w:rPr>
              <w:t>PARTIAL</w:t>
            </w:r>
          </w:p>
        </w:tc>
        <w:tc>
          <w:tcPr>
            <w:tcW w:type="dxa" w:w="5010"/>
          </w:tcPr>
          <w:p>
            <w:pPr>
              <w:spacing w:after="40" w:before="20"/>
            </w:pPr>
            <w:r>
              <w:rPr>
                <w:sz w:val="17"/>
              </w:rPr>
              <w:t>quick_check, orphan detection, fail-closed key handling, and no-deletion behavior tested; destructive live corruption was intentionally avoided.</w:t>
            </w:r>
          </w:p>
        </w:tc>
      </w:tr>
      <w:tr>
        <w:tc>
          <w:tcPr>
            <w:tcW w:type="dxa" w:w="350"/>
          </w:tcPr>
          <w:p>
            <w:pPr>
              <w:spacing w:after="40" w:before="20"/>
            </w:pPr>
            <w:r>
              <w:rPr>
                <w:sz w:val="17"/>
              </w:rPr>
              <w:t>14</w:t>
            </w:r>
          </w:p>
        </w:tc>
        <w:tc>
          <w:tcPr>
            <w:tcW w:type="dxa" w:w="1900"/>
          </w:tcPr>
          <w:p>
            <w:pPr>
              <w:spacing w:after="40" w:before="20"/>
            </w:pPr>
            <w:r>
              <w:rPr>
                <w:sz w:val="17"/>
              </w:rPr>
              <w:t>Crash/restart/concurrency acceptance</w:t>
            </w:r>
          </w:p>
        </w:tc>
        <w:tc>
          <w:tcPr>
            <w:tcW w:type="dxa" w:w="650"/>
            <w:shd w:fill="E2F0D9"/>
          </w:tcPr>
          <w:p>
            <w:pPr>
              <w:spacing w:after="40" w:before="20"/>
            </w:pPr>
            <w:r>
              <w:rPr>
                <w:sz w:val="17"/>
              </w:rPr>
              <w:t>PASS</w:t>
            </w:r>
          </w:p>
        </w:tc>
        <w:tc>
          <w:tcPr>
            <w:tcW w:type="dxa" w:w="650"/>
            <w:shd w:fill="E2F0D9"/>
          </w:tcPr>
          <w:p>
            <w:pPr>
              <w:spacing w:after="40" w:before="20"/>
            </w:pPr>
            <w:r>
              <w:rPr>
                <w:sz w:val="17"/>
              </w:rPr>
              <w:t>PASS</w:t>
            </w:r>
          </w:p>
        </w:tc>
        <w:tc>
          <w:tcPr>
            <w:tcW w:type="dxa" w:w="800"/>
            <w:shd w:fill="E2F0D9"/>
          </w:tcPr>
          <w:p>
            <w:pPr>
              <w:spacing w:after="40" w:before="20"/>
            </w:pPr>
            <w:r>
              <w:rPr>
                <w:sz w:val="17"/>
              </w:rPr>
              <w:t>PASS</w:t>
            </w:r>
          </w:p>
        </w:tc>
        <w:tc>
          <w:tcPr>
            <w:tcW w:type="dxa" w:w="5010"/>
          </w:tcPr>
          <w:p>
            <w:pPr>
              <w:spacing w:after="40" w:before="20"/>
            </w:pPr>
            <w:r>
              <w:rPr>
                <w:sz w:val="17"/>
              </w:rPr>
              <w:t>Concurrent writes, contiguous sequences, restart, offline continuation, and concurrent idempotent submission passed.</w:t>
            </w:r>
          </w:p>
        </w:tc>
      </w:tr>
    </w:tbl>
    <w:p>
      <w:pPr>
        <w:spacing w:after="20"/>
      </w:pPr>
    </w:p>
    <w:p>
      <w:r>
        <w:br w:type="page"/>
      </w:r>
    </w:p>
    <w:p>
      <w:pPr>
        <w:pStyle w:val="Heading1"/>
      </w:pPr>
      <w:r>
        <w:t>4. Manual SQLite evidence summary</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2600"/>
        <w:gridCol w:w="1900"/>
        <w:gridCol w:w="4860"/>
      </w:tblGrid>
      <w:tr>
        <w:tc>
          <w:tcPr>
            <w:tcW w:type="dxa" w:w="2600"/>
            <w:vAlign w:val="center"/>
            <w:shd w:fill="E8EEF5"/>
          </w:tcPr>
          <w:p>
            <w:pPr>
              <w:spacing w:after="40"/>
            </w:pPr>
            <w:r>
              <w:rPr>
                <w:b/>
                <w:color w:val="1F4D78"/>
                <w:sz w:val="18"/>
              </w:rPr>
              <w:t>Observed table / behavior</w:t>
            </w:r>
          </w:p>
        </w:tc>
        <w:tc>
          <w:tcPr>
            <w:tcW w:type="dxa" w:w="1900"/>
            <w:vAlign w:val="center"/>
            <w:shd w:fill="E8EEF5"/>
          </w:tcPr>
          <w:p>
            <w:pPr>
              <w:spacing w:after="40"/>
            </w:pPr>
            <w:r>
              <w:rPr>
                <w:b/>
                <w:color w:val="1F4D78"/>
                <w:sz w:val="18"/>
              </w:rPr>
              <w:t>Result</w:t>
            </w:r>
          </w:p>
        </w:tc>
        <w:tc>
          <w:tcPr>
            <w:tcW w:type="dxa" w:w="4860"/>
            <w:vAlign w:val="center"/>
            <w:shd w:fill="E8EEF5"/>
          </w:tcPr>
          <w:p>
            <w:pPr>
              <w:spacing w:after="40"/>
            </w:pPr>
            <w:r>
              <w:rPr>
                <w:b/>
                <w:color w:val="1F4D78"/>
                <w:sz w:val="18"/>
              </w:rPr>
              <w:t>Interpretation</w:t>
            </w:r>
          </w:p>
        </w:tc>
      </w:tr>
      <w:tr>
        <w:tc>
          <w:tcPr>
            <w:tcW w:type="dxa" w:w="2600"/>
          </w:tcPr>
          <w:p>
            <w:pPr>
              <w:spacing w:after="40" w:before="20"/>
            </w:pPr>
            <w:r>
              <w:rPr>
                <w:sz w:val="17"/>
              </w:rPr>
              <w:t>Answer.Response</w:t>
            </w:r>
          </w:p>
        </w:tc>
        <w:tc>
          <w:tcPr>
            <w:tcW w:type="dxa" w:w="1900"/>
            <w:shd w:fill="E2F0D9"/>
          </w:tcPr>
          <w:p>
            <w:pPr>
              <w:spacing w:after="40" w:before="20"/>
            </w:pPr>
            <w:r>
              <w:rPr>
                <w:sz w:val="17"/>
              </w:rPr>
              <w:t>PASS — enc:v1 values</w:t>
            </w:r>
          </w:p>
        </w:tc>
        <w:tc>
          <w:tcPr>
            <w:tcW w:type="dxa" w:w="4860"/>
          </w:tcPr>
          <w:p>
            <w:pPr>
              <w:spacing w:after="40" w:before="20"/>
            </w:pPr>
            <w:r>
              <w:rPr>
                <w:sz w:val="17"/>
              </w:rPr>
              <w:t>Answer content is not stored as plaintext.</w:t>
            </w:r>
          </w:p>
        </w:tc>
      </w:tr>
      <w:tr>
        <w:tc>
          <w:tcPr>
            <w:tcW w:type="dxa" w:w="2600"/>
          </w:tcPr>
          <w:p>
            <w:pPr>
              <w:spacing w:after="40" w:before="20"/>
            </w:pPr>
            <w:r>
              <w:rPr>
                <w:sz w:val="17"/>
              </w:rPr>
              <w:t>Answer.Revision</w:t>
            </w:r>
          </w:p>
        </w:tc>
        <w:tc>
          <w:tcPr>
            <w:tcW w:type="dxa" w:w="1900"/>
            <w:shd w:fill="E2F0D9"/>
          </w:tcPr>
          <w:p>
            <w:pPr>
              <w:spacing w:after="40" w:before="20"/>
            </w:pPr>
            <w:r>
              <w:rPr>
                <w:sz w:val="17"/>
              </w:rPr>
              <w:t>PASS — revisions 1 and 2</w:t>
            </w:r>
          </w:p>
        </w:tc>
        <w:tc>
          <w:tcPr>
            <w:tcW w:type="dxa" w:w="4860"/>
          </w:tcPr>
          <w:p>
            <w:pPr>
              <w:spacing w:after="40" w:before="20"/>
            </w:pPr>
            <w:r>
              <w:rPr>
                <w:sz w:val="17"/>
              </w:rPr>
              <w:t>Replacement/version tracking works.</w:t>
            </w:r>
          </w:p>
        </w:tc>
      </w:tr>
      <w:tr>
        <w:tc>
          <w:tcPr>
            <w:tcW w:type="dxa" w:w="2600"/>
          </w:tcPr>
          <w:p>
            <w:pPr>
              <w:spacing w:after="40" w:before="20"/>
            </w:pPr>
            <w:r>
              <w:rPr>
                <w:sz w:val="17"/>
              </w:rPr>
              <w:t>Attempt latest record</w:t>
            </w:r>
          </w:p>
        </w:tc>
        <w:tc>
          <w:tcPr>
            <w:tcW w:type="dxa" w:w="1900"/>
            <w:shd w:fill="E2F0D9"/>
          </w:tcPr>
          <w:p>
            <w:pPr>
              <w:spacing w:after="40" w:before="20"/>
            </w:pPr>
            <w:r>
              <w:rPr>
                <w:sz w:val="17"/>
              </w:rPr>
              <w:t>PASS — ID 2713a7f3…; index 19; next sequence 12</w:t>
            </w:r>
          </w:p>
        </w:tc>
        <w:tc>
          <w:tcPr>
            <w:tcW w:type="dxa" w:w="4860"/>
          </w:tcPr>
          <w:p>
            <w:pPr>
              <w:spacing w:after="40" w:before="20"/>
            </w:pPr>
            <w:r>
              <w:rPr>
                <w:sz w:val="17"/>
              </w:rPr>
              <w:t>Progress and ordered operation counter were preserved.</w:t>
            </w:r>
          </w:p>
        </w:tc>
      </w:tr>
      <w:tr>
        <w:tc>
          <w:tcPr>
            <w:tcW w:type="dxa" w:w="2600"/>
          </w:tcPr>
          <w:p>
            <w:pPr>
              <w:spacing w:after="40" w:before="20"/>
            </w:pPr>
            <w:r>
              <w:rPr>
                <w:sz w:val="17"/>
              </w:rPr>
              <w:t>Submission</w:t>
            </w:r>
          </w:p>
        </w:tc>
        <w:tc>
          <w:tcPr>
            <w:tcW w:type="dxa" w:w="1900"/>
            <w:shd w:fill="E2F0D9"/>
          </w:tcPr>
          <w:p>
            <w:pPr>
              <w:spacing w:after="40" w:before="20"/>
            </w:pPr>
            <w:r>
              <w:rPr>
                <w:sz w:val="17"/>
              </w:rPr>
              <w:t>PASS — one row for latest attempt</w:t>
            </w:r>
          </w:p>
        </w:tc>
        <w:tc>
          <w:tcPr>
            <w:tcW w:type="dxa" w:w="4860"/>
          </w:tcPr>
          <w:p>
            <w:pPr>
              <w:spacing w:after="40" w:before="20"/>
            </w:pPr>
            <w:r>
              <w:rPr>
                <w:sz w:val="17"/>
              </w:rPr>
              <w:t>Local terminal submission was durable and idempotent.</w:t>
            </w:r>
          </w:p>
        </w:tc>
      </w:tr>
      <w:tr>
        <w:tc>
          <w:tcPr>
            <w:tcW w:type="dxa" w:w="2600"/>
          </w:tcPr>
          <w:p>
            <w:pPr>
              <w:spacing w:after="40" w:before="20"/>
            </w:pPr>
            <w:r>
              <w:rPr>
                <w:sz w:val="17"/>
              </w:rPr>
              <w:t>LocalUserRecord</w:t>
            </w:r>
          </w:p>
        </w:tc>
        <w:tc>
          <w:tcPr>
            <w:tcW w:type="dxa" w:w="1900"/>
            <w:shd w:fill="E2F0D9"/>
          </w:tcPr>
          <w:p>
            <w:pPr>
              <w:spacing w:after="40" w:before="20"/>
            </w:pPr>
            <w:r>
              <w:rPr>
                <w:sz w:val="17"/>
              </w:rPr>
              <w:t>PASS — encrypted name/email</w:t>
            </w:r>
          </w:p>
        </w:tc>
        <w:tc>
          <w:tcPr>
            <w:tcW w:type="dxa" w:w="4860"/>
          </w:tcPr>
          <w:p>
            <w:pPr>
              <w:spacing w:after="40" w:before="20"/>
            </w:pPr>
            <w:r>
              <w:rPr>
                <w:sz w:val="17"/>
              </w:rPr>
              <w:t>Candidate PII is protected at rest.</w:t>
            </w:r>
          </w:p>
        </w:tc>
      </w:tr>
      <w:tr>
        <w:tc>
          <w:tcPr>
            <w:tcW w:type="dxa" w:w="2600"/>
          </w:tcPr>
          <w:p>
            <w:pPr>
              <w:spacing w:after="40" w:before="20"/>
            </w:pPr>
            <w:r>
              <w:rPr>
                <w:sz w:val="17"/>
              </w:rPr>
              <w:t>LocalDeviceRecord</w:t>
            </w:r>
          </w:p>
        </w:tc>
        <w:tc>
          <w:tcPr>
            <w:tcW w:type="dxa" w:w="1900"/>
            <w:shd w:fill="E2F0D9"/>
          </w:tcPr>
          <w:p>
            <w:pPr>
              <w:spacing w:after="40" w:before="20"/>
            </w:pPr>
            <w:r>
              <w:rPr>
                <w:sz w:val="17"/>
              </w:rPr>
              <w:t>PASS — one active installation/device</w:t>
            </w:r>
          </w:p>
        </w:tc>
        <w:tc>
          <w:tcPr>
            <w:tcW w:type="dxa" w:w="4860"/>
          </w:tcPr>
          <w:p>
            <w:pPr>
              <w:spacing w:after="40" w:before="20"/>
            </w:pPr>
            <w:r>
              <w:rPr>
                <w:sz w:val="17"/>
              </w:rPr>
              <w:t>Local and cloud device identities remain explicit.</w:t>
            </w:r>
          </w:p>
        </w:tc>
      </w:tr>
      <w:tr>
        <w:tc>
          <w:tcPr>
            <w:tcW w:type="dxa" w:w="2600"/>
          </w:tcPr>
          <w:p>
            <w:pPr>
              <w:spacing w:after="40" w:before="20"/>
            </w:pPr>
            <w:r>
              <w:rPr>
                <w:sz w:val="17"/>
              </w:rPr>
              <w:t>ProctoringEventRecord</w:t>
            </w:r>
          </w:p>
        </w:tc>
        <w:tc>
          <w:tcPr>
            <w:tcW w:type="dxa" w:w="1900"/>
            <w:shd w:fill="E2F0D9"/>
          </w:tcPr>
          <w:p>
            <w:pPr>
              <w:spacing w:after="40" w:before="20"/>
            </w:pPr>
            <w:r>
              <w:rPr>
                <w:sz w:val="17"/>
              </w:rPr>
              <w:t>PASS — encrypted events</w:t>
            </w:r>
          </w:p>
        </w:tc>
        <w:tc>
          <w:tcPr>
            <w:tcW w:type="dxa" w:w="4860"/>
          </w:tcPr>
          <w:p>
            <w:pPr>
              <w:spacing w:after="40" w:before="20"/>
            </w:pPr>
            <w:r>
              <w:rPr>
                <w:sz w:val="17"/>
              </w:rPr>
              <w:t>Basic visibility events are durable and sequence-linked.</w:t>
            </w:r>
          </w:p>
        </w:tc>
      </w:tr>
      <w:tr>
        <w:tc>
          <w:tcPr>
            <w:tcW w:type="dxa" w:w="2600"/>
          </w:tcPr>
          <w:p>
            <w:pPr>
              <w:spacing w:after="40" w:before="20"/>
            </w:pPr>
            <w:r>
              <w:rPr>
                <w:sz w:val="17"/>
              </w:rPr>
              <w:t>SchemaMigrationRecord</w:t>
            </w:r>
          </w:p>
        </w:tc>
        <w:tc>
          <w:tcPr>
            <w:tcW w:type="dxa" w:w="1900"/>
            <w:shd w:fill="E2F0D9"/>
          </w:tcPr>
          <w:p>
            <w:pPr>
              <w:spacing w:after="40" w:before="20"/>
            </w:pPr>
            <w:r>
              <w:rPr>
                <w:sz w:val="17"/>
              </w:rPr>
              <w:t>PASS — versions 1–4</w:t>
            </w:r>
          </w:p>
        </w:tc>
        <w:tc>
          <w:tcPr>
            <w:tcW w:type="dxa" w:w="4860"/>
          </w:tcPr>
          <w:p>
            <w:pPr>
              <w:spacing w:after="40" w:before="20"/>
            </w:pPr>
            <w:r>
              <w:rPr>
                <w:sz w:val="17"/>
              </w:rPr>
              <w:t>Database reached the current schema.</w:t>
            </w:r>
          </w:p>
        </w:tc>
      </w:tr>
      <w:tr>
        <w:tc>
          <w:tcPr>
            <w:tcW w:type="dxa" w:w="2600"/>
          </w:tcPr>
          <w:p>
            <w:pPr>
              <w:spacing w:after="40" w:before="20"/>
            </w:pPr>
            <w:r>
              <w:rPr>
                <w:sz w:val="17"/>
              </w:rPr>
              <w:t>AttemptAuthorizationRecord</w:t>
            </w:r>
          </w:p>
        </w:tc>
        <w:tc>
          <w:tcPr>
            <w:tcW w:type="dxa" w:w="1900"/>
          </w:tcPr>
          <w:p>
            <w:pPr>
              <w:spacing w:after="40" w:before="20"/>
            </w:pPr>
            <w:r>
              <w:rPr>
                <w:sz w:val="17"/>
              </w:rPr>
              <w:t>Expected empty</w:t>
            </w:r>
          </w:p>
        </w:tc>
        <w:tc>
          <w:tcPr>
            <w:tcW w:type="dxa" w:w="4860"/>
          </w:tcPr>
          <w:p>
            <w:pPr>
              <w:spacing w:after="40" w:before="20"/>
            </w:pPr>
            <w:r>
              <w:rPr>
                <w:sz w:val="17"/>
              </w:rPr>
              <w:t>Consumed one-time authorization material was removed.</w:t>
            </w:r>
          </w:p>
        </w:tc>
      </w:tr>
      <w:tr>
        <w:tc>
          <w:tcPr>
            <w:tcW w:type="dxa" w:w="2600"/>
          </w:tcPr>
          <w:p>
            <w:pPr>
              <w:spacing w:after="40" w:before="20"/>
            </w:pPr>
            <w:r>
              <w:rPr>
                <w:sz w:val="17"/>
              </w:rPr>
              <w:t>DownloadedExamRecord</w:t>
            </w:r>
          </w:p>
        </w:tc>
        <w:tc>
          <w:tcPr>
            <w:tcW w:type="dxa" w:w="1900"/>
            <w:shd w:fill="FFF2CC"/>
          </w:tcPr>
          <w:p>
            <w:pPr>
              <w:spacing w:after="40" w:before="20"/>
            </w:pPr>
            <w:r>
              <w:rPr>
                <w:sz w:val="17"/>
              </w:rPr>
              <w:t>PENDING — empty</w:t>
            </w:r>
          </w:p>
        </w:tc>
        <w:tc>
          <w:tcPr>
            <w:tcW w:type="dxa" w:w="4860"/>
          </w:tcPr>
          <w:p>
            <w:pPr>
              <w:spacing w:after="40" w:before="20"/>
            </w:pPr>
            <w:r>
              <w:rPr>
                <w:sz w:val="17"/>
              </w:rPr>
              <w:t>Package persistence has not yet been exercised; primarily Portion 02.</w:t>
            </w:r>
          </w:p>
        </w:tc>
      </w:tr>
      <w:tr>
        <w:tc>
          <w:tcPr>
            <w:tcW w:type="dxa" w:w="2600"/>
          </w:tcPr>
          <w:p>
            <w:pPr>
              <w:spacing w:after="40" w:before="20"/>
            </w:pPr>
            <w:r>
              <w:rPr>
                <w:sz w:val="17"/>
              </w:rPr>
              <w:t>SyncCheckpointRecord</w:t>
            </w:r>
          </w:p>
        </w:tc>
        <w:tc>
          <w:tcPr>
            <w:tcW w:type="dxa" w:w="1900"/>
            <w:shd w:fill="FFF2CC"/>
          </w:tcPr>
          <w:p>
            <w:pPr>
              <w:spacing w:after="40" w:before="20"/>
            </w:pPr>
            <w:r>
              <w:rPr>
                <w:sz w:val="17"/>
              </w:rPr>
              <w:t>PENDING — empty</w:t>
            </w:r>
          </w:p>
        </w:tc>
        <w:tc>
          <w:tcPr>
            <w:tcW w:type="dxa" w:w="4860"/>
          </w:tcPr>
          <w:p>
            <w:pPr>
              <w:spacing w:after="40" w:before="20"/>
            </w:pPr>
            <w:r>
              <w:rPr>
                <w:sz w:val="17"/>
              </w:rPr>
              <w:t>No compatible accepted server revision was available; primarily end-to-end Portion 05 verification.</w:t>
            </w:r>
          </w:p>
        </w:tc>
      </w:tr>
    </w:tbl>
    <w:p>
      <w:pPr>
        <w:spacing w:after="20"/>
      </w:pPr>
    </w:p>
    <w:p>
      <w:pPr>
        <w:pStyle w:val="Heading2"/>
      </w:pPr>
      <w:r>
        <w:t>Important interpretation</w:t>
      </w:r>
    </w:p>
    <w:p>
      <w:r>
        <w:t>Empty authorization, download, or checkpoint tables do not have the same meaning. Consumed authorization being absent is a security success. Download and checkpoint tables require separate package/synchronization events before rows can exist.</w:t>
      </w:r>
    </w:p>
    <w:p>
      <w:r>
        <w:br w:type="page"/>
      </w:r>
    </w:p>
    <w:p>
      <w:pPr>
        <w:pStyle w:val="Heading1"/>
      </w:pPr>
      <w:r>
        <w:t>5. Five-portion implementation analysis</w:t>
      </w:r>
    </w:p>
    <w:p>
      <w:r>
        <w:t>Percentages are engineering estimates against the architecture contract, with each of the five major portions weighted equally. They describe implementation coverage, not production readiness or backend certification.</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1800"/>
        <w:gridCol w:w="850"/>
        <w:gridCol w:w="1100"/>
        <w:gridCol w:w="5610"/>
      </w:tblGrid>
      <w:tr>
        <w:tc>
          <w:tcPr>
            <w:tcW w:type="dxa" w:w="1800"/>
            <w:vAlign w:val="center"/>
            <w:shd w:fill="E8EEF5"/>
          </w:tcPr>
          <w:p>
            <w:pPr>
              <w:spacing w:after="40"/>
            </w:pPr>
            <w:r>
              <w:rPr>
                <w:b/>
                <w:color w:val="1F4D78"/>
                <w:sz w:val="18"/>
              </w:rPr>
              <w:t>Major portion</w:t>
            </w:r>
          </w:p>
        </w:tc>
        <w:tc>
          <w:tcPr>
            <w:tcW w:type="dxa" w:w="850"/>
            <w:vAlign w:val="center"/>
            <w:shd w:fill="E8EEF5"/>
          </w:tcPr>
          <w:p>
            <w:pPr>
              <w:spacing w:after="40"/>
            </w:pPr>
            <w:r>
              <w:rPr>
                <w:b/>
                <w:color w:val="1F4D78"/>
                <w:sz w:val="18"/>
              </w:rPr>
              <w:t>Estimate</w:t>
            </w:r>
          </w:p>
        </w:tc>
        <w:tc>
          <w:tcPr>
            <w:tcW w:type="dxa" w:w="1100"/>
            <w:vAlign w:val="center"/>
            <w:shd w:fill="E8EEF5"/>
          </w:tcPr>
          <w:p>
            <w:pPr>
              <w:spacing w:after="40"/>
            </w:pPr>
            <w:r>
              <w:rPr>
                <w:b/>
                <w:color w:val="1F4D78"/>
                <w:sz w:val="18"/>
              </w:rPr>
              <w:t>Status</w:t>
            </w:r>
          </w:p>
        </w:tc>
        <w:tc>
          <w:tcPr>
            <w:tcW w:type="dxa" w:w="5610"/>
            <w:vAlign w:val="center"/>
            <w:shd w:fill="E8EEF5"/>
          </w:tcPr>
          <w:p>
            <w:pPr>
              <w:spacing w:after="40"/>
            </w:pPr>
            <w:r>
              <w:rPr>
                <w:b/>
                <w:color w:val="1F4D78"/>
                <w:sz w:val="18"/>
              </w:rPr>
              <w:t>Basis</w:t>
            </w:r>
          </w:p>
        </w:tc>
      </w:tr>
      <w:tr>
        <w:tc>
          <w:tcPr>
            <w:tcW w:type="dxa" w:w="1800"/>
          </w:tcPr>
          <w:p>
            <w:pPr>
              <w:spacing w:after="40" w:before="20"/>
            </w:pPr>
            <w:r>
              <w:rPr>
                <w:sz w:val="17"/>
              </w:rPr>
              <w:t>01 — Get Permission</w:t>
            </w:r>
          </w:p>
        </w:tc>
        <w:tc>
          <w:tcPr>
            <w:tcW w:type="dxa" w:w="850"/>
          </w:tcPr>
          <w:p>
            <w:pPr>
              <w:spacing w:after="40" w:before="20"/>
            </w:pPr>
            <w:r>
              <w:rPr>
                <w:sz w:val="17"/>
              </w:rPr>
              <w:t>100%</w:t>
            </w:r>
          </w:p>
        </w:tc>
        <w:tc>
          <w:tcPr>
            <w:tcW w:type="dxa" w:w="1100"/>
          </w:tcPr>
          <w:p>
            <w:pPr>
              <w:spacing w:after="40" w:before="20"/>
            </w:pPr>
            <w:r>
              <w:rPr>
                <w:sz w:val="17"/>
              </w:rPr>
              <w:t>Complete</w:t>
            </w:r>
          </w:p>
        </w:tc>
        <w:tc>
          <w:tcPr>
            <w:tcW w:type="dxa" w:w="5610"/>
          </w:tcPr>
          <w:p>
            <w:pPr>
              <w:spacing w:after="40" w:before="20"/>
            </w:pPr>
            <w:r>
              <w:rPr>
                <w:sz w:val="17"/>
              </w:rPr>
              <w:t>Login, tokens, device identity, eligibility, offline authorization, restoration, trusted time, logout, state machine, and security tests are implemented.</w:t>
            </w:r>
          </w:p>
        </w:tc>
      </w:tr>
      <w:tr>
        <w:tc>
          <w:tcPr>
            <w:tcW w:type="dxa" w:w="1800"/>
          </w:tcPr>
          <w:p>
            <w:pPr>
              <w:spacing w:after="40" w:before="20"/>
            </w:pPr>
            <w:r>
              <w:rPr>
                <w:sz w:val="17"/>
              </w:rPr>
              <w:t>02 — Get the Exam</w:t>
            </w:r>
          </w:p>
        </w:tc>
        <w:tc>
          <w:tcPr>
            <w:tcW w:type="dxa" w:w="850"/>
          </w:tcPr>
          <w:p>
            <w:pPr>
              <w:spacing w:after="40" w:before="20"/>
            </w:pPr>
            <w:r>
              <w:rPr>
                <w:sz w:val="17"/>
              </w:rPr>
              <w:t>65%</w:t>
            </w:r>
          </w:p>
        </w:tc>
        <w:tc>
          <w:tcPr>
            <w:tcW w:type="dxa" w:w="1100"/>
          </w:tcPr>
          <w:p>
            <w:pPr>
              <w:spacing w:after="40" w:before="20"/>
            </w:pPr>
            <w:r>
              <w:rPr>
                <w:sz w:val="17"/>
              </w:rPr>
              <w:t>In progress</w:t>
            </w:r>
          </w:p>
        </w:tc>
        <w:tc>
          <w:tcPr>
            <w:tcW w:type="dxa" w:w="5610"/>
          </w:tcPr>
          <w:p>
            <w:pPr>
              <w:spacing w:after="40" w:before="20"/>
            </w:pPr>
            <w:r>
              <w:rPr>
                <w:sz w:val="17"/>
              </w:rPr>
              <w:t>Catalogue, metadata, manifest retrieval, SHA-256 verification, parsing, and mapping exist. Known-good atomic package replacement, durable DownloadedExam integration, interruption recovery, and complete manual package validation remain.</w:t>
            </w:r>
          </w:p>
        </w:tc>
      </w:tr>
      <w:tr>
        <w:tc>
          <w:tcPr>
            <w:tcW w:type="dxa" w:w="1800"/>
          </w:tcPr>
          <w:p>
            <w:pPr>
              <w:spacing w:after="40" w:before="20"/>
            </w:pPr>
            <w:r>
              <w:rPr>
                <w:sz w:val="17"/>
              </w:rPr>
              <w:t>03 — Run the Exam</w:t>
            </w:r>
          </w:p>
        </w:tc>
        <w:tc>
          <w:tcPr>
            <w:tcW w:type="dxa" w:w="850"/>
          </w:tcPr>
          <w:p>
            <w:pPr>
              <w:spacing w:after="40" w:before="20"/>
            </w:pPr>
            <w:r>
              <w:rPr>
                <w:sz w:val="17"/>
              </w:rPr>
              <w:t>55%</w:t>
            </w:r>
          </w:p>
        </w:tc>
        <w:tc>
          <w:tcPr>
            <w:tcW w:type="dxa" w:w="1100"/>
          </w:tcPr>
          <w:p>
            <w:pPr>
              <w:spacing w:after="40" w:before="20"/>
            </w:pPr>
            <w:r>
              <w:rPr>
                <w:sz w:val="17"/>
              </w:rPr>
              <w:t>In progress</w:t>
            </w:r>
          </w:p>
        </w:tc>
        <w:tc>
          <w:tcPr>
            <w:tcW w:type="dxa" w:w="5610"/>
          </w:tcPr>
          <w:p>
            <w:pPr>
              <w:spacing w:after="40" w:before="20"/>
            </w:pPr>
            <w:r>
              <w:rPr>
                <w:sz w:val="17"/>
              </w:rPr>
              <w:t>Attempt start, timer, question navigation, answer autosave, local submit, and recovery exist. Full UI coverage for all question types, deterministic shuffle, robust clock rollback/monotonic timing, lock behavior, and richer Windows proctoring remain.</w:t>
            </w:r>
          </w:p>
        </w:tc>
      </w:tr>
      <w:tr>
        <w:tc>
          <w:tcPr>
            <w:tcW w:type="dxa" w:w="1800"/>
          </w:tcPr>
          <w:p>
            <w:pPr>
              <w:spacing w:after="40" w:before="20"/>
            </w:pPr>
            <w:r>
              <w:rPr>
                <w:sz w:val="17"/>
              </w:rPr>
              <w:t>04 — Preserve Data</w:t>
            </w:r>
          </w:p>
        </w:tc>
        <w:tc>
          <w:tcPr>
            <w:tcW w:type="dxa" w:w="850"/>
          </w:tcPr>
          <w:p>
            <w:pPr>
              <w:spacing w:after="40" w:before="20"/>
            </w:pPr>
            <w:r>
              <w:rPr>
                <w:sz w:val="17"/>
              </w:rPr>
              <w:t>100%</w:t>
            </w:r>
          </w:p>
        </w:tc>
        <w:tc>
          <w:tcPr>
            <w:tcW w:type="dxa" w:w="1100"/>
          </w:tcPr>
          <w:p>
            <w:pPr>
              <w:spacing w:after="40" w:before="20"/>
            </w:pPr>
            <w:r>
              <w:rPr>
                <w:sz w:val="17"/>
              </w:rPr>
              <w:t>Complete</w:t>
            </w:r>
          </w:p>
        </w:tc>
        <w:tc>
          <w:tcPr>
            <w:tcW w:type="dxa" w:w="5610"/>
          </w:tcPr>
          <w:p>
            <w:pPr>
              <w:spacing w:after="40" w:before="20"/>
            </w:pPr>
            <w:r>
              <w:rPr>
                <w:sz w:val="17"/>
              </w:rPr>
              <w:t>Versioned SQLite, AES-GCM boundaries, atomic answer/outbox writes, lifecycle, recovery, submission, checkpoints, proctor persistence, integrity, and concurrency acceptance are complete.</w:t>
            </w:r>
          </w:p>
        </w:tc>
      </w:tr>
      <w:tr>
        <w:tc>
          <w:tcPr>
            <w:tcW w:type="dxa" w:w="1800"/>
          </w:tcPr>
          <w:p>
            <w:pPr>
              <w:spacing w:after="40" w:before="20"/>
            </w:pPr>
            <w:r>
              <w:rPr>
                <w:sz w:val="17"/>
              </w:rPr>
              <w:t>05 — Sync with API</w:t>
            </w:r>
          </w:p>
        </w:tc>
        <w:tc>
          <w:tcPr>
            <w:tcW w:type="dxa" w:w="850"/>
          </w:tcPr>
          <w:p>
            <w:pPr>
              <w:spacing w:after="40" w:before="20"/>
            </w:pPr>
            <w:r>
              <w:rPr>
                <w:sz w:val="17"/>
              </w:rPr>
              <w:t>45%</w:t>
            </w:r>
          </w:p>
        </w:tc>
        <w:tc>
          <w:tcPr>
            <w:tcW w:type="dxa" w:w="1100"/>
          </w:tcPr>
          <w:p>
            <w:pPr>
              <w:spacing w:after="40" w:before="20"/>
            </w:pPr>
            <w:r>
              <w:rPr>
                <w:sz w:val="17"/>
              </w:rPr>
              <w:t>Partial</w:t>
            </w:r>
          </w:p>
        </w:tc>
        <w:tc>
          <w:tcPr>
            <w:tcW w:type="dxa" w:w="5610"/>
          </w:tcPr>
          <w:p>
            <w:pPr>
              <w:spacing w:after="40" w:before="20"/>
            </w:pPr>
            <w:r>
              <w:rPr>
                <w:sz w:val="17"/>
              </w:rPr>
              <w:t>Push batching, outbox claiming, accepted/duplicate/rejected/retry handling, basic retry, and checkpoint advancement exist. Pull paging, single-worker lock, exponential jitter, uncertain-operation lookup, connectivity scheduling, reconciliation, and result polling remain.</w:t>
            </w:r>
          </w:p>
        </w:tc>
      </w:tr>
    </w:tbl>
    <w:p>
      <w:pPr>
        <w:spacing w:after="20"/>
      </w:pPr>
    </w:p>
    <w:p>
      <w:pPr>
        <w:pStyle w:val="StatusInfo"/>
      </w:pPr>
      <w:r>
        <w:t>Overall implementation estimate: 73% (simple average of 100%, 65%, 55%, 100%, and 45%).</w:t>
      </w:r>
    </w:p>
    <w:p>
      <w:r>
        <w:t>Production-readiness is lower than implementation coverage because compatible backend acceptance, device revocation, full package lifecycle, complete run-engine behavior, and end-to-end push/pull/result reconciliation still require validation.</w:t>
      </w:r>
    </w:p>
    <w:p>
      <w:pPr>
        <w:pStyle w:val="Heading2"/>
      </w:pPr>
      <w:r>
        <w:t>Recommended next sequence</w:t>
      </w:r>
    </w:p>
    <w:p>
      <w:pPr>
        <w:pStyle w:val="ListBullet"/>
        <w:spacing w:after="80"/>
        <w:ind w:left="547" w:hanging="274"/>
      </w:pPr>
      <w:r>
        <w:t>Commit Portion 04 after reviewing the working-tree diff and choosing the checkpoint message.</w:t>
      </w:r>
    </w:p>
    <w:p>
      <w:pPr>
        <w:pStyle w:val="ListBullet"/>
        <w:spacing w:after="80"/>
        <w:ind w:left="547" w:hanging="274"/>
      </w:pPr>
      <w:r>
        <w:t>Finish Portion 02 package persistence and known-good atomic replacement.</w:t>
      </w:r>
    </w:p>
    <w:p>
      <w:pPr>
        <w:pStyle w:val="ListBullet"/>
        <w:spacing w:after="80"/>
        <w:ind w:left="547" w:hanging="274"/>
      </w:pPr>
      <w:r>
        <w:t>Finish Portion 03 question renderers, deterministic ordering, timing hardening, and Windows lifecycle/proctoring behavior.</w:t>
      </w:r>
    </w:p>
    <w:p>
      <w:pPr>
        <w:pStyle w:val="ListBullet"/>
        <w:spacing w:after="80"/>
        <w:ind w:left="547" w:hanging="274"/>
      </w:pPr>
      <w:r>
        <w:t>Finish Portion 05 pull/reconciliation, background worker coordination, backoff/jitter, uncertain-operation recovery, and result polling.</w:t>
      </w:r>
    </w:p>
    <w:p>
      <w:pPr>
        <w:pStyle w:val="ListBullet"/>
        <w:spacing w:after="80"/>
        <w:ind w:left="547" w:hanging="274"/>
      </w:pPr>
      <w:r>
        <w:t>Run a compatible backend acceptance pass covering server revisions, duplicate operations, rejections, revocation, and results.</w:t>
      </w:r>
    </w:p>
    <w:p>
      <w:r>
        <w:br w:type="page"/>
      </w:r>
    </w:p>
    <w:p>
      <w:pPr>
        <w:pStyle w:val="Heading1"/>
      </w:pPr>
      <w:r>
        <w:t>6. Release-gate checklist</w:t>
      </w:r>
    </w:p>
    <w:tbl>
      <w:tblPr>
        <w:tblW w:type="dxa" w:w="9360"/>
        <w:jc w:val="center"/>
        <w:tblLayout w:type="fixed"/>
        <w:tblLook w:firstColumn="1" w:firstRow="1" w:lastColumn="0" w:lastRow="0" w:noHBand="0" w:noVBand="1" w:val="04A0"/>
        <w:tblInd w:w="120" w:type="dxa"/>
        <w:tblBorders>
          <w:top w:val="single" w:sz="4" w:color="B7C9DB"/>
          <w:left w:val="single" w:sz="4" w:color="B7C9DB"/>
          <w:bottom w:val="single" w:sz="4" w:color="B7C9DB"/>
          <w:right w:val="single" w:sz="4" w:color="B7C9DB"/>
          <w:insideH w:val="single" w:sz="4" w:color="B7C9DB"/>
          <w:insideV w:val="single" w:sz="4" w:color="B7C9DB"/>
          <w:top w:val="single" w:sz="4" w:color="B7C9DB"/>
          <w:left w:val="single" w:sz="4" w:color="B7C9DB"/>
          <w:bottom w:val="single" w:sz="4" w:color="B7C9DB"/>
          <w:right w:val="single" w:sz="4" w:color="B7C9DB"/>
          <w:insideH w:val="single" w:sz="4" w:color="B7C9DB"/>
          <w:insideV w:val="single" w:sz="4" w:color="B7C9DB"/>
        </w:tblBorders>
      </w:tblPr>
      <w:tblGrid>
        <w:gridCol w:w="2300"/>
        <w:gridCol w:w="1500"/>
        <w:gridCol w:w="5560"/>
      </w:tblGrid>
      <w:tr>
        <w:tc>
          <w:tcPr>
            <w:tcW w:type="dxa" w:w="2300"/>
            <w:vAlign w:val="center"/>
            <w:shd w:fill="E8EEF5"/>
          </w:tcPr>
          <w:p>
            <w:pPr>
              <w:spacing w:after="40"/>
            </w:pPr>
            <w:r>
              <w:rPr>
                <w:b/>
                <w:color w:val="1F4D78"/>
                <w:sz w:val="19"/>
              </w:rPr>
              <w:t>Gate</w:t>
            </w:r>
          </w:p>
        </w:tc>
        <w:tc>
          <w:tcPr>
            <w:tcW w:type="dxa" w:w="1500"/>
            <w:vAlign w:val="center"/>
            <w:shd w:fill="E8EEF5"/>
          </w:tcPr>
          <w:p>
            <w:pPr>
              <w:spacing w:after="40"/>
            </w:pPr>
            <w:r>
              <w:rPr>
                <w:b/>
                <w:color w:val="1F4D78"/>
                <w:sz w:val="19"/>
              </w:rPr>
              <w:t>Current status</w:t>
            </w:r>
          </w:p>
        </w:tc>
        <w:tc>
          <w:tcPr>
            <w:tcW w:type="dxa" w:w="5560"/>
            <w:vAlign w:val="center"/>
            <w:shd w:fill="E8EEF5"/>
          </w:tcPr>
          <w:p>
            <w:pPr>
              <w:spacing w:after="40"/>
            </w:pPr>
            <w:r>
              <w:rPr>
                <w:b/>
                <w:color w:val="1F4D78"/>
                <w:sz w:val="19"/>
              </w:rPr>
              <w:t>Required evidence before production</w:t>
            </w:r>
          </w:p>
        </w:tc>
      </w:tr>
      <w:tr>
        <w:tc>
          <w:tcPr>
            <w:tcW w:type="dxa" w:w="2300"/>
          </w:tcPr>
          <w:p>
            <w:pPr>
              <w:spacing w:after="40" w:before="20"/>
            </w:pPr>
            <w:r>
              <w:rPr>
                <w:sz w:val="18"/>
              </w:rPr>
              <w:t>Portion 01 functional gate</w:t>
            </w:r>
          </w:p>
        </w:tc>
        <w:tc>
          <w:tcPr>
            <w:tcW w:type="dxa" w:w="1500"/>
            <w:shd w:fill="E2F0D9"/>
          </w:tcPr>
          <w:p>
            <w:pPr>
              <w:spacing w:after="40" w:before="20"/>
            </w:pPr>
            <w:r>
              <w:rPr>
                <w:sz w:val="18"/>
              </w:rPr>
              <w:t>PASS</w:t>
            </w:r>
          </w:p>
        </w:tc>
        <w:tc>
          <w:tcPr>
            <w:tcW w:type="dxa" w:w="5560"/>
          </w:tcPr>
          <w:p>
            <w:pPr>
              <w:spacing w:after="40" w:before="20"/>
            </w:pPr>
            <w:r>
              <w:rPr>
                <w:sz w:val="18"/>
              </w:rPr>
              <w:t>Retain test suite; add backend-admin revocation/device-limit acceptance when available.</w:t>
            </w:r>
          </w:p>
        </w:tc>
      </w:tr>
      <w:tr>
        <w:tc>
          <w:tcPr>
            <w:tcW w:type="dxa" w:w="2300"/>
          </w:tcPr>
          <w:p>
            <w:pPr>
              <w:spacing w:after="40" w:before="20"/>
            </w:pPr>
            <w:r>
              <w:rPr>
                <w:sz w:val="18"/>
              </w:rPr>
              <w:t>Portion 04 local durability gate</w:t>
            </w:r>
          </w:p>
        </w:tc>
        <w:tc>
          <w:tcPr>
            <w:tcW w:type="dxa" w:w="1500"/>
            <w:shd w:fill="E2F0D9"/>
          </w:tcPr>
          <w:p>
            <w:pPr>
              <w:spacing w:after="40" w:before="20"/>
            </w:pPr>
            <w:r>
              <w:rPr>
                <w:sz w:val="18"/>
              </w:rPr>
              <w:t>PASS</w:t>
            </w:r>
          </w:p>
        </w:tc>
        <w:tc>
          <w:tcPr>
            <w:tcW w:type="dxa" w:w="5560"/>
          </w:tcPr>
          <w:p>
            <w:pPr>
              <w:spacing w:after="40" w:before="20"/>
            </w:pPr>
            <w:r>
              <w:rPr>
                <w:sz w:val="18"/>
              </w:rPr>
              <w:t>Retain migration and crash/concurrency suite; preserve real-device restart evidence.</w:t>
            </w:r>
          </w:p>
        </w:tc>
      </w:tr>
      <w:tr>
        <w:tc>
          <w:tcPr>
            <w:tcW w:type="dxa" w:w="2300"/>
          </w:tcPr>
          <w:p>
            <w:pPr>
              <w:spacing w:after="40" w:before="20"/>
            </w:pPr>
            <w:r>
              <w:rPr>
                <w:sz w:val="18"/>
              </w:rPr>
              <w:t>Backend synchronization gate</w:t>
            </w:r>
          </w:p>
        </w:tc>
        <w:tc>
          <w:tcPr>
            <w:tcW w:type="dxa" w:w="1500"/>
            <w:shd w:fill="FFF2CC"/>
          </w:tcPr>
          <w:p>
            <w:pPr>
              <w:spacing w:after="40" w:before="20"/>
            </w:pPr>
            <w:r>
              <w:rPr>
                <w:sz w:val="18"/>
              </w:rPr>
              <w:t>PENDING</w:t>
            </w:r>
          </w:p>
        </w:tc>
        <w:tc>
          <w:tcPr>
            <w:tcW w:type="dxa" w:w="5560"/>
          </w:tcPr>
          <w:p>
            <w:pPr>
              <w:spacing w:after="40" w:before="20"/>
            </w:pPr>
            <w:r>
              <w:rPr>
                <w:sz w:val="18"/>
              </w:rPr>
              <w:t>Accepted/duplicate/rejected revisions, pull pagination, uncertain timeout resolution, result polling.</w:t>
            </w:r>
          </w:p>
        </w:tc>
      </w:tr>
      <w:tr>
        <w:tc>
          <w:tcPr>
            <w:tcW w:type="dxa" w:w="2300"/>
          </w:tcPr>
          <w:p>
            <w:pPr>
              <w:spacing w:after="40" w:before="20"/>
            </w:pPr>
            <w:r>
              <w:rPr>
                <w:sz w:val="18"/>
              </w:rPr>
              <w:t>Exam package gate</w:t>
            </w:r>
          </w:p>
        </w:tc>
        <w:tc>
          <w:tcPr>
            <w:tcW w:type="dxa" w:w="1500"/>
            <w:shd w:fill="FFF2CC"/>
          </w:tcPr>
          <w:p>
            <w:pPr>
              <w:spacing w:after="40" w:before="20"/>
            </w:pPr>
            <w:r>
              <w:rPr>
                <w:sz w:val="18"/>
              </w:rPr>
              <w:t>PENDING</w:t>
            </w:r>
          </w:p>
        </w:tc>
        <w:tc>
          <w:tcPr>
            <w:tcW w:type="dxa" w:w="5560"/>
          </w:tcPr>
          <w:p>
            <w:pPr>
              <w:spacing w:after="40" w:before="20"/>
            </w:pPr>
            <w:r>
              <w:rPr>
                <w:sz w:val="18"/>
              </w:rPr>
              <w:t>Interrupted download, hash mismatch, atomic replacement, known-good rollback, durable package record.</w:t>
            </w:r>
          </w:p>
        </w:tc>
      </w:tr>
      <w:tr>
        <w:tc>
          <w:tcPr>
            <w:tcW w:type="dxa" w:w="2300"/>
          </w:tcPr>
          <w:p>
            <w:pPr>
              <w:spacing w:after="40" w:before="20"/>
            </w:pPr>
            <w:r>
              <w:rPr>
                <w:sz w:val="18"/>
              </w:rPr>
              <w:t>Full exam-engine gate</w:t>
            </w:r>
          </w:p>
        </w:tc>
        <w:tc>
          <w:tcPr>
            <w:tcW w:type="dxa" w:w="1500"/>
            <w:shd w:fill="FFF2CC"/>
          </w:tcPr>
          <w:p>
            <w:pPr>
              <w:spacing w:after="40" w:before="20"/>
            </w:pPr>
            <w:r>
              <w:rPr>
                <w:sz w:val="18"/>
              </w:rPr>
              <w:t>PENDING</w:t>
            </w:r>
          </w:p>
        </w:tc>
        <w:tc>
          <w:tcPr>
            <w:tcW w:type="dxa" w:w="5560"/>
          </w:tcPr>
          <w:p>
            <w:pPr>
              <w:spacing w:after="40" w:before="20"/>
            </w:pPr>
            <w:r>
              <w:rPr>
                <w:sz w:val="18"/>
              </w:rPr>
              <w:t>All question-type UI paths, deterministic shuffle, clock rollback, forced close/restart, deadline lock.</w:t>
            </w:r>
          </w:p>
        </w:tc>
      </w:tr>
      <w:tr>
        <w:tc>
          <w:tcPr>
            <w:tcW w:type="dxa" w:w="2300"/>
          </w:tcPr>
          <w:p>
            <w:pPr>
              <w:spacing w:after="40" w:before="20"/>
            </w:pPr>
            <w:r>
              <w:rPr>
                <w:sz w:val="18"/>
              </w:rPr>
              <w:t>Security/operations gate</w:t>
            </w:r>
          </w:p>
        </w:tc>
        <w:tc>
          <w:tcPr>
            <w:tcW w:type="dxa" w:w="1500"/>
            <w:shd w:fill="FFF2CC"/>
          </w:tcPr>
          <w:p>
            <w:pPr>
              <w:spacing w:after="40" w:before="20"/>
            </w:pPr>
            <w:r>
              <w:rPr>
                <w:sz w:val="18"/>
              </w:rPr>
              <w:t>PARTIAL</w:t>
            </w:r>
          </w:p>
        </w:tc>
        <w:tc>
          <w:tcPr>
            <w:tcW w:type="dxa" w:w="5560"/>
          </w:tcPr>
          <w:p>
            <w:pPr>
              <w:spacing w:after="40" w:before="20"/>
            </w:pPr>
            <w:r>
              <w:rPr>
                <w:sz w:val="18"/>
              </w:rPr>
              <w:t>Production HTTPS/certificate configuration, redacted logging review, Windows data protection and deployment review.</w:t>
            </w:r>
          </w:p>
        </w:tc>
      </w:tr>
    </w:tbl>
    <w:p>
      <w:pPr>
        <w:spacing w:after="20"/>
      </w:pPr>
    </w:p>
    <w:p>
      <w:r>
        <w:t>Report limitation: no server administration console, controlled revocation response, compatible server revision response, or complete pull/result endpoint behavior was available during manual testing. These items are explicitly pending rather than treated as failures.</w:t>
      </w:r>
    </w:p>
    <w:p>
      <w:r>
        <w:br w:type="page"/>
      </w:r>
    </w:p>
    <w:p>
      <w:pPr>
        <w:pStyle w:val="Heading1"/>
      </w:pPr>
      <w:r>
        <w:t>7. Work-session time log</w:t>
      </w:r>
    </w:p>
    <w:p>
      <w:r>
        <w:rPr>
          <w:b/>
        </w:rPr>
        <w:t xml:space="preserve">Timing basis. </w:t>
      </w:r>
      <w:r>
        <w:t>The durations below are reconstructed from timestamps visible in the retained chat and screenshots. They represent elapsed collaboration windows, including explanation, implementation, builds, automated tests, manual testing, troubleshooting, and pauses for user feedback. They are not timesheet-grade coding hours. Where no reliable start/end pair exists, the entry is explicitly marked as unverified.</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944"/>
            <w:vAlign w:val="center"/>
            <w:shd w:fill="1F4E78"/>
          </w:tcPr>
          <w:p>
            <w:r>
              <w:rPr>
                <w:b/>
                <w:color w:val="FFFFFF"/>
                <w:sz w:val="17"/>
              </w:rPr>
              <w:t>Work block</w:t>
            </w:r>
          </w:p>
        </w:tc>
        <w:tc>
          <w:tcPr>
            <w:tcW w:type="dxa" w:w="2088"/>
            <w:vAlign w:val="center"/>
            <w:shd w:fill="1F4E78"/>
          </w:tcPr>
          <w:p>
            <w:r>
              <w:rPr>
                <w:b/>
                <w:color w:val="FFFFFF"/>
                <w:sz w:val="17"/>
              </w:rPr>
              <w:t>Observed span</w:t>
            </w:r>
          </w:p>
        </w:tc>
        <w:tc>
          <w:tcPr>
            <w:tcW w:type="dxa" w:w="1656"/>
            <w:vAlign w:val="center"/>
            <w:shd w:fill="1F4E78"/>
          </w:tcPr>
          <w:p>
            <w:r>
              <w:rPr>
                <w:b/>
                <w:color w:val="FFFFFF"/>
                <w:sz w:val="17"/>
              </w:rPr>
              <w:t>Elapsed time</w:t>
            </w:r>
          </w:p>
        </w:tc>
        <w:tc>
          <w:tcPr>
            <w:tcW w:type="dxa" w:w="1037"/>
            <w:vAlign w:val="center"/>
            <w:shd w:fill="1F4E78"/>
          </w:tcPr>
          <w:p>
            <w:r>
              <w:rPr>
                <w:b/>
                <w:color w:val="FFFFFF"/>
                <w:sz w:val="17"/>
              </w:rPr>
              <w:t>Confidence</w:t>
            </w:r>
          </w:p>
        </w:tc>
        <w:tc>
          <w:tcPr>
            <w:tcW w:type="dxa" w:w="2232"/>
            <w:vAlign w:val="center"/>
            <w:shd w:fill="1F4E78"/>
          </w:tcPr>
          <w:p>
            <w:r>
              <w:rPr>
                <w:b/>
                <w:color w:val="FFFFFF"/>
                <w:sz w:val="17"/>
              </w:rPr>
              <w:t>Included work</w:t>
            </w:r>
          </w:p>
        </w:tc>
        <w:tc>
          <w:tcPr>
            <w:tcW w:type="dxa" w:w="1195"/>
            <w:vAlign w:val="center"/>
            <w:shd w:fill="1F4E78"/>
          </w:tcPr>
          <w:p>
            <w:r>
              <w:rPr>
                <w:b/>
                <w:color w:val="FFFFFF"/>
                <w:sz w:val="17"/>
              </w:rPr>
              <w:t>Classification</w:t>
            </w:r>
          </w:p>
        </w:tc>
      </w:tr>
      <w:tr>
        <w:tc>
          <w:tcPr>
            <w:tcW w:type="dxa" w:w="1944"/>
            <w:vAlign w:val="center"/>
          </w:tcPr>
          <w:p>
            <w:pPr>
              <w:spacing w:after="0"/>
            </w:pPr>
            <w:r>
              <w:rPr>
                <w:sz w:val="16"/>
              </w:rPr>
              <w:t>Portion 01 - Get Permission</w:t>
            </w:r>
          </w:p>
        </w:tc>
        <w:tc>
          <w:tcPr>
            <w:tcW w:type="dxa" w:w="2088"/>
            <w:vAlign w:val="center"/>
          </w:tcPr>
          <w:p>
            <w:pPr>
              <w:spacing w:after="0"/>
            </w:pPr>
            <w:r>
              <w:rPr>
                <w:sz w:val="16"/>
              </w:rPr>
              <w:t>15 Aug 2026, 7:29 PM to about 11:15 PM</w:t>
            </w:r>
          </w:p>
        </w:tc>
        <w:tc>
          <w:tcPr>
            <w:tcW w:type="dxa" w:w="1656"/>
            <w:vAlign w:val="center"/>
          </w:tcPr>
          <w:p>
            <w:pPr>
              <w:spacing w:after="0"/>
            </w:pPr>
            <w:r>
              <w:rPr>
                <w:sz w:val="16"/>
              </w:rPr>
              <w:t>Approx. 3 h 46 min</w:t>
            </w:r>
          </w:p>
        </w:tc>
        <w:tc>
          <w:tcPr>
            <w:tcW w:type="dxa" w:w="1037"/>
            <w:vAlign w:val="center"/>
          </w:tcPr>
          <w:p>
            <w:pPr>
              <w:spacing w:after="0"/>
            </w:pPr>
            <w:r>
              <w:rPr>
                <w:sz w:val="16"/>
              </w:rPr>
              <w:t>High</w:t>
            </w:r>
          </w:p>
        </w:tc>
        <w:tc>
          <w:tcPr>
            <w:tcW w:type="dxa" w:w="2232"/>
            <w:vAlign w:val="center"/>
          </w:tcPr>
          <w:p>
            <w:pPr>
              <w:spacing w:after="0"/>
            </w:pPr>
            <w:r>
              <w:rPr>
                <w:sz w:val="16"/>
              </w:rPr>
              <w:t>Point planning, implementation, automated suites, login/offline/restart/manual acceptance, and troubleshooting.</w:t>
            </w:r>
          </w:p>
        </w:tc>
        <w:tc>
          <w:tcPr>
            <w:tcW w:type="dxa" w:w="1195"/>
            <w:vAlign w:val="center"/>
          </w:tcPr>
          <w:p>
            <w:pPr>
              <w:spacing w:after="0"/>
            </w:pPr>
            <w:r>
              <w:rPr>
                <w:sz w:val="16"/>
              </w:rPr>
              <w:t>Estimated</w:t>
            </w:r>
          </w:p>
        </w:tc>
      </w:tr>
      <w:tr>
        <w:tc>
          <w:tcPr>
            <w:tcW w:type="dxa" w:w="1944"/>
            <w:vAlign w:val="center"/>
          </w:tcPr>
          <w:p>
            <w:pPr>
              <w:spacing w:after="0"/>
            </w:pPr>
            <w:r>
              <w:rPr>
                <w:sz w:val="16"/>
              </w:rPr>
              <w:t>Portion 04 - Preserve Data</w:t>
            </w:r>
          </w:p>
        </w:tc>
        <w:tc>
          <w:tcPr>
            <w:tcW w:type="dxa" w:w="2088"/>
            <w:vAlign w:val="center"/>
          </w:tcPr>
          <w:p>
            <w:pPr>
              <w:spacing w:after="0"/>
            </w:pPr>
            <w:r>
              <w:rPr>
                <w:sz w:val="16"/>
              </w:rPr>
              <w:t>15 Aug, about 11:20 PM to 16 Aug, 2:26 AM</w:t>
            </w:r>
          </w:p>
        </w:tc>
        <w:tc>
          <w:tcPr>
            <w:tcW w:type="dxa" w:w="1656"/>
            <w:vAlign w:val="center"/>
          </w:tcPr>
          <w:p>
            <w:pPr>
              <w:spacing w:after="0"/>
            </w:pPr>
            <w:r>
              <w:rPr>
                <w:sz w:val="16"/>
              </w:rPr>
              <w:t>Approx. 3 h 06 min</w:t>
            </w:r>
          </w:p>
        </w:tc>
        <w:tc>
          <w:tcPr>
            <w:tcW w:type="dxa" w:w="1037"/>
            <w:vAlign w:val="center"/>
          </w:tcPr>
          <w:p>
            <w:pPr>
              <w:spacing w:after="0"/>
            </w:pPr>
            <w:r>
              <w:rPr>
                <w:sz w:val="16"/>
              </w:rPr>
              <w:t>High</w:t>
            </w:r>
          </w:p>
        </w:tc>
        <w:tc>
          <w:tcPr>
            <w:tcW w:type="dxa" w:w="2232"/>
            <w:vAlign w:val="center"/>
          </w:tcPr>
          <w:p>
            <w:pPr>
              <w:spacing w:after="0"/>
            </w:pPr>
            <w:r>
              <w:rPr>
                <w:sz w:val="16"/>
              </w:rPr>
              <w:t>Schema, encryption, persistence/outbox work, migrations, SQLite inspection, automated tests, and manual verification.</w:t>
            </w:r>
          </w:p>
        </w:tc>
        <w:tc>
          <w:tcPr>
            <w:tcW w:type="dxa" w:w="1195"/>
            <w:vAlign w:val="center"/>
          </w:tcPr>
          <w:p>
            <w:pPr>
              <w:spacing w:after="0"/>
            </w:pPr>
            <w:r>
              <w:rPr>
                <w:sz w:val="16"/>
              </w:rPr>
              <w:t>Estimated</w:t>
            </w:r>
          </w:p>
        </w:tc>
      </w:tr>
      <w:tr>
        <w:tc>
          <w:tcPr>
            <w:tcW w:type="dxa" w:w="1944"/>
            <w:vAlign w:val="center"/>
          </w:tcPr>
          <w:p>
            <w:pPr>
              <w:spacing w:after="0"/>
            </w:pPr>
            <w:r>
              <w:rPr>
                <w:sz w:val="16"/>
              </w:rPr>
              <w:t>Responsive desktop window/UI adjustments</w:t>
            </w:r>
          </w:p>
        </w:tc>
        <w:tc>
          <w:tcPr>
            <w:tcW w:type="dxa" w:w="2088"/>
            <w:vAlign w:val="center"/>
          </w:tcPr>
          <w:p>
            <w:pPr>
              <w:spacing w:after="0"/>
            </w:pPr>
            <w:r>
              <w:rPr>
                <w:sz w:val="16"/>
              </w:rPr>
              <w:t>16 Aug 2026, 3:08 AM to 3:15 AM</w:t>
            </w:r>
          </w:p>
        </w:tc>
        <w:tc>
          <w:tcPr>
            <w:tcW w:type="dxa" w:w="1656"/>
            <w:vAlign w:val="center"/>
          </w:tcPr>
          <w:p>
            <w:pPr>
              <w:spacing w:after="0"/>
            </w:pPr>
            <w:r>
              <w:rPr>
                <w:sz w:val="16"/>
              </w:rPr>
              <w:t>Approx. 7 min</w:t>
            </w:r>
          </w:p>
        </w:tc>
        <w:tc>
          <w:tcPr>
            <w:tcW w:type="dxa" w:w="1037"/>
            <w:vAlign w:val="center"/>
          </w:tcPr>
          <w:p>
            <w:pPr>
              <w:spacing w:after="0"/>
            </w:pPr>
            <w:r>
              <w:rPr>
                <w:sz w:val="16"/>
              </w:rPr>
              <w:t>High</w:t>
            </w:r>
          </w:p>
        </w:tc>
        <w:tc>
          <w:tcPr>
            <w:tcW w:type="dxa" w:w="2232"/>
            <w:vAlign w:val="center"/>
          </w:tcPr>
          <w:p>
            <w:pPr>
              <w:spacing w:after="0"/>
            </w:pPr>
            <w:r>
              <w:rPr>
                <w:sz w:val="16"/>
              </w:rPr>
              <w:t>Window proportions, responsive XAML behavior, and Windows screen centering.</w:t>
            </w:r>
          </w:p>
        </w:tc>
        <w:tc>
          <w:tcPr>
            <w:tcW w:type="dxa" w:w="1195"/>
            <w:vAlign w:val="center"/>
          </w:tcPr>
          <w:p>
            <w:pPr>
              <w:spacing w:after="0"/>
            </w:pPr>
            <w:r>
              <w:rPr>
                <w:sz w:val="16"/>
              </w:rPr>
              <w:t>Estimated</w:t>
            </w:r>
          </w:p>
        </w:tc>
      </w:tr>
      <w:tr>
        <w:tc>
          <w:tcPr>
            <w:tcW w:type="dxa" w:w="1944"/>
            <w:vAlign w:val="center"/>
          </w:tcPr>
          <w:p>
            <w:pPr>
              <w:spacing w:after="0"/>
            </w:pPr>
            <w:r>
              <w:rPr>
                <w:sz w:val="16"/>
              </w:rPr>
              <w:t>Portion 02 Points 1-5 - catalogue and temporary acquisition</w:t>
            </w:r>
          </w:p>
        </w:tc>
        <w:tc>
          <w:tcPr>
            <w:tcW w:type="dxa" w:w="2088"/>
            <w:vAlign w:val="center"/>
          </w:tcPr>
          <w:p>
            <w:pPr>
              <w:spacing w:after="0"/>
            </w:pPr>
            <w:r>
              <w:rPr>
                <w:sz w:val="16"/>
              </w:rPr>
              <w:t>16 Aug 2026, visible evidence 1:16 PM to 1:25 PM</w:t>
            </w:r>
          </w:p>
        </w:tc>
        <w:tc>
          <w:tcPr>
            <w:tcW w:type="dxa" w:w="1656"/>
            <w:vAlign w:val="center"/>
          </w:tcPr>
          <w:p>
            <w:pPr>
              <w:spacing w:after="0"/>
            </w:pPr>
            <w:r>
              <w:rPr>
                <w:sz w:val="16"/>
              </w:rPr>
              <w:t>At least 9 min; full span unavailable</w:t>
            </w:r>
          </w:p>
        </w:tc>
        <w:tc>
          <w:tcPr>
            <w:tcW w:type="dxa" w:w="1037"/>
            <w:vAlign w:val="center"/>
          </w:tcPr>
          <w:p>
            <w:pPr>
              <w:spacing w:after="0"/>
            </w:pPr>
            <w:r>
              <w:rPr>
                <w:sz w:val="16"/>
              </w:rPr>
              <w:t>Medium</w:t>
            </w:r>
          </w:p>
        </w:tc>
        <w:tc>
          <w:tcPr>
            <w:tcW w:type="dxa" w:w="2232"/>
            <w:vAlign w:val="center"/>
          </w:tcPr>
          <w:p>
            <w:pPr>
              <w:spacing w:after="0"/>
            </w:pPr>
            <w:r>
              <w:rPr>
                <w:sz w:val="16"/>
              </w:rPr>
              <w:t>Catalogue cache, metadata/manifest validation, safe download path, build/test work, and manual offline catalogue check.</w:t>
            </w:r>
          </w:p>
        </w:tc>
        <w:tc>
          <w:tcPr>
            <w:tcW w:type="dxa" w:w="1195"/>
            <w:vAlign w:val="center"/>
          </w:tcPr>
          <w:p>
            <w:pPr>
              <w:spacing w:after="0"/>
            </w:pPr>
            <w:r>
              <w:rPr>
                <w:sz w:val="16"/>
              </w:rPr>
              <w:t>Estimated</w:t>
            </w:r>
          </w:p>
        </w:tc>
      </w:tr>
      <w:tr>
        <w:tc>
          <w:tcPr>
            <w:tcW w:type="dxa" w:w="1944"/>
            <w:vAlign w:val="center"/>
          </w:tcPr>
          <w:p>
            <w:pPr>
              <w:spacing w:after="0"/>
            </w:pPr>
            <w:r>
              <w:rPr>
                <w:sz w:val="16"/>
              </w:rPr>
              <w:t>Portion 02 Points 6-11 - verified package installation</w:t>
            </w:r>
          </w:p>
        </w:tc>
        <w:tc>
          <w:tcPr>
            <w:tcW w:type="dxa" w:w="2088"/>
            <w:vAlign w:val="center"/>
          </w:tcPr>
          <w:p>
            <w:pPr>
              <w:spacing w:after="0"/>
            </w:pPr>
            <w:r>
              <w:rPr>
                <w:sz w:val="16"/>
              </w:rPr>
              <w:t>16 Aug 2026; no complete timestamp pair retained</w:t>
            </w:r>
          </w:p>
        </w:tc>
        <w:tc>
          <w:tcPr>
            <w:tcW w:type="dxa" w:w="1656"/>
            <w:vAlign w:val="center"/>
          </w:tcPr>
          <w:p>
            <w:pPr>
              <w:spacing w:after="0"/>
            </w:pPr>
            <w:r>
              <w:rPr>
                <w:sz w:val="16"/>
              </w:rPr>
              <w:t>Not reliably measurable from chat</w:t>
            </w:r>
          </w:p>
        </w:tc>
        <w:tc>
          <w:tcPr>
            <w:tcW w:type="dxa" w:w="1037"/>
            <w:vAlign w:val="center"/>
          </w:tcPr>
          <w:p>
            <w:pPr>
              <w:spacing w:after="0"/>
            </w:pPr>
            <w:r>
              <w:rPr>
                <w:sz w:val="16"/>
              </w:rPr>
              <w:t>Low</w:t>
            </w:r>
          </w:p>
        </w:tc>
        <w:tc>
          <w:tcPr>
            <w:tcW w:type="dxa" w:w="2232"/>
            <w:vAlign w:val="center"/>
          </w:tcPr>
          <w:p>
            <w:pPr>
              <w:spacing w:after="0"/>
            </w:pPr>
            <w:r>
              <w:rPr>
                <w:sz w:val="16"/>
              </w:rPr>
              <w:t>SHA-256 verification, schema/protected-content checks, encrypted installation, atomic activation, rollback preservation, SQLite integration, tests, and build.</w:t>
            </w:r>
          </w:p>
        </w:tc>
        <w:tc>
          <w:tcPr>
            <w:tcW w:type="dxa" w:w="1195"/>
            <w:vAlign w:val="center"/>
          </w:tcPr>
          <w:p>
            <w:r>
              <w:t>Unverified</w:t>
            </w:r>
          </w:p>
        </w:tc>
      </w:tr>
    </w:tbl>
    <w:p>
      <w:pPr>
        <w:spacing w:before="160"/>
      </w:pPr>
      <w:r>
        <w:rPr>
          <w:b/>
        </w:rPr>
        <w:t xml:space="preserve">Reconstructed total with measurable start/end pairs: approximately 6 hours 59 minutes, </w:t>
      </w:r>
      <w:r>
        <w:t>plus the unmeasured portions of Portion 02. This total should be described as an evidence-based estimate, not a billing or productivity total.</w:t>
      </w:r>
    </w:p>
    <w:p>
      <w:pPr>
        <w:pStyle w:val="Heading2"/>
      </w:pPr>
      <w:r>
        <w:t>Timing interpretation by milestone</w:t>
      </w:r>
    </w:p>
    <w:p>
      <w:pPr>
        <w:pStyle w:val="ListBullet"/>
      </w:pPr>
      <w:r>
        <w:t>Portion 01's fourteen milestones were handled within one continuous implementation-and-acceptance session; the retained chat does not support defensible point-by-point minute allocation.</w:t>
      </w:r>
    </w:p>
    <w:p>
      <w:pPr>
        <w:pStyle w:val="ListBullet"/>
      </w:pPr>
      <w:r>
        <w:t>Portion 04's fourteen milestones were implemented and verified across the late-evening/early-morning session; SQLite inspection and manual troubleshooting account for a meaningful share of the elapsed window.</w:t>
      </w:r>
    </w:p>
    <w:p>
      <w:pPr>
        <w:pStyle w:val="ListBullet"/>
      </w:pPr>
      <w:r>
        <w:t>Portion 02 Points 1-5 have only a narrow visible timestamp window, while Points 6-11 have test/build evidence but no reliable paired chat timestamps. Their exact elapsed durations remain unverified.</w:t>
      </w:r>
    </w:p>
    <w:sectPr w:rsidR="00FC693F" w:rsidRPr="0006063C" w:rsidSect="00034616">
      <w:headerReference w:type="default" r:id="rId9"/>
      <w:footerReference w:type="default" r:id="rId10"/>
      <w:pgSz w:w="12240" w:h="15840"/>
      <w:pgMar w:top="1008"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Prepared 16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B7280"/>
      </w:rPr>
      <w:t>EXAMIFO DESKTOP  |  IMPLEMENTATION &amp; TEST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Pass">
    <w:name w:val="StatusPass"/>
    <w:pPr>
      <w:spacing w:before="80" w:after="80"/>
    </w:pPr>
    <w:rPr>
      <w:rFonts w:ascii="Calibri" w:hAnsi="Calibri"/>
      <w:b/>
      <w:color w:val="375623"/>
      <w:sz w:val="21"/>
    </w:rPr>
  </w:style>
  <w:style w:type="paragraph" w:customStyle="1" w:styleId="StatusPending">
    <w:name w:val="StatusPending"/>
    <w:pPr>
      <w:spacing w:before="80" w:after="80"/>
    </w:pPr>
    <w:rPr>
      <w:rFonts w:ascii="Calibri" w:hAnsi="Calibri"/>
      <w:b/>
      <w:color w:val="7F6000"/>
      <w:sz w:val="21"/>
    </w:rPr>
  </w:style>
  <w:style w:type="paragraph" w:customStyle="1" w:styleId="StatusInfo">
    <w:name w:val="StatusInfo"/>
    <w:pPr>
      <w:spacing w:before="80" w:after="80"/>
    </w:pPr>
    <w:rPr>
      <w:rFonts w:ascii="Calibri" w:hAnsi="Calibri"/>
      <w:b/>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