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spacing w:line="242" w:lineRule="auto"/>
        <w:ind w:firstLine="141"/>
        <w:rPr>
          <w:rFonts w:ascii="Georgia" w:cs="Georgia" w:eastAsia="Georgia" w:hAnsi="Georgia"/>
          <w:sz w:val="4"/>
          <w:szCs w:val="4"/>
        </w:rPr>
      </w:pPr>
      <w:r w:rsidDel="00000000" w:rsidR="00000000" w:rsidRPr="00000000">
        <w:rPr>
          <w:rFonts w:ascii="Georgia" w:cs="Georgia" w:eastAsia="Georgia" w:hAnsi="Georgia"/>
          <w:sz w:val="4"/>
          <w:szCs w:val="4"/>
          <w:rtl w:val="0"/>
        </w:rPr>
        <w:t xml:space="preserve"> </w:t>
      </w:r>
      <w:r w:rsidDel="00000000" w:rsidR="00000000" w:rsidRPr="00000000">
        <w:rPr>
          <w:rFonts w:ascii="Georgia" w:cs="Georgia" w:eastAsia="Georgia" w:hAnsi="Georgia"/>
          <w:sz w:val="4"/>
          <w:szCs w:val="4"/>
        </w:rPr>
        <mc:AlternateContent>
          <mc:Choice Requires="wpg">
            <w:drawing>
              <wp:anchor allowOverlap="1" behindDoc="0" distB="0" distT="0" distL="114300" distR="114300" hidden="0" layoutInCell="1" locked="0" relativeHeight="0" simplePos="0">
                <wp:simplePos x="0" y="0"/>
                <wp:positionH relativeFrom="page">
                  <wp:posOffset>-84273</wp:posOffset>
                </wp:positionH>
                <wp:positionV relativeFrom="page">
                  <wp:posOffset>-44518</wp:posOffset>
                </wp:positionV>
                <wp:extent cx="7662462" cy="158612"/>
                <wp:effectExtent b="0" l="0" r="0" t="0"/>
                <wp:wrapNone/>
                <wp:docPr id="1942519692" name=""/>
                <a:graphic>
                  <a:graphicData uri="http://schemas.microsoft.com/office/word/2010/wordprocessingShape">
                    <wps:wsp>
                      <wps:cNvSpPr/>
                      <wps:cNvPr id="4" name="Shape 4"/>
                      <wps:spPr>
                        <a:xfrm>
                          <a:off x="1519532" y="3705457"/>
                          <a:ext cx="7652937" cy="149087"/>
                        </a:xfrm>
                        <a:prstGeom prst="rect">
                          <a:avLst/>
                        </a:prstGeom>
                        <a:solidFill>
                          <a:srgbClr val="003A7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-84273</wp:posOffset>
                </wp:positionH>
                <wp:positionV relativeFrom="page">
                  <wp:posOffset>-44518</wp:posOffset>
                </wp:positionV>
                <wp:extent cx="7662462" cy="158612"/>
                <wp:effectExtent b="0" l="0" r="0" t="0"/>
                <wp:wrapNone/>
                <wp:docPr id="194251969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62462" cy="158612"/>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839667</wp:posOffset>
                </wp:positionH>
                <wp:positionV relativeFrom="paragraph">
                  <wp:posOffset>-666409</wp:posOffset>
                </wp:positionV>
                <wp:extent cx="4994910" cy="548042"/>
                <wp:effectExtent b="0" l="0" r="0" t="0"/>
                <wp:wrapNone/>
                <wp:docPr id="1942519693" name=""/>
                <a:graphic>
                  <a:graphicData uri="http://schemas.microsoft.com/office/word/2010/wordprocessingShape">
                    <wps:wsp>
                      <wps:cNvSpPr/>
                      <wps:cNvPr id="5" name="Shape 5"/>
                      <wps:spPr>
                        <a:xfrm>
                          <a:off x="2853308" y="3510742"/>
                          <a:ext cx="4985385" cy="53851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t xml:space="preserve">Siber Güvenlik ve Dijital Ekonomi Dergisi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8"/>
                                <w:vertAlign w:val="baseline"/>
                              </w:rPr>
                            </w:r>
                            <w:r w:rsidDel="00000000" w:rsidR="00000000" w:rsidRPr="00000000">
                              <w:rPr>
                                <w:rFonts w:ascii="Cambria" w:cs="Cambria" w:eastAsia="Cambria" w:hAnsi="Cambria"/>
                                <w:b w:val="0"/>
                                <w:i w:val="1"/>
                                <w:smallCaps w:val="0"/>
                                <w:strike w:val="0"/>
                                <w:color w:val="000000"/>
                                <w:sz w:val="28"/>
                                <w:vertAlign w:val="baseline"/>
                              </w:rPr>
                              <w:t xml:space="preserve">Cyber Security and Digital Economy Journal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839667</wp:posOffset>
                </wp:positionH>
                <wp:positionV relativeFrom="paragraph">
                  <wp:posOffset>-666409</wp:posOffset>
                </wp:positionV>
                <wp:extent cx="4994910" cy="548042"/>
                <wp:effectExtent b="0" l="0" r="0" t="0"/>
                <wp:wrapNone/>
                <wp:docPr id="194251969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994910" cy="548042"/>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5823416</wp:posOffset>
            </wp:positionH>
            <wp:positionV relativeFrom="paragraph">
              <wp:posOffset>-713906</wp:posOffset>
            </wp:positionV>
            <wp:extent cx="729810" cy="1037950"/>
            <wp:effectExtent b="0" l="0" r="0" t="0"/>
            <wp:wrapNone/>
            <wp:docPr descr="D:\beytullah d\BEYTULLAH\BİLİMSEL DERGİLER\2025\yayınlar inceleme\siber güvenlik 2025-2\kapak\siber-güvenlik-ana-kapak.png" id="1942519696" name="image2.png"/>
            <a:graphic>
              <a:graphicData uri="http://schemas.openxmlformats.org/drawingml/2006/picture">
                <pic:pic>
                  <pic:nvPicPr>
                    <pic:cNvPr descr="D:\beytullah d\BEYTULLAH\BİLİMSEL DERGİLER\2025\yayınlar inceleme\siber güvenlik 2025-2\kapak\siber-güvenlik-ana-kapak.png" id="0" name="image2.png"/>
                    <pic:cNvPicPr preferRelativeResize="0"/>
                  </pic:nvPicPr>
                  <pic:blipFill>
                    <a:blip r:embed="rId8"/>
                    <a:srcRect b="0" l="0" r="0" t="0"/>
                    <a:stretch>
                      <a:fillRect/>
                    </a:stretch>
                  </pic:blipFill>
                  <pic:spPr>
                    <a:xfrm>
                      <a:off x="0" y="0"/>
                      <a:ext cx="729810" cy="10379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3976053</wp:posOffset>
                </wp:positionH>
                <wp:positionV relativeFrom="paragraph">
                  <wp:posOffset>-42861</wp:posOffset>
                </wp:positionV>
                <wp:extent cx="1861820" cy="372364"/>
                <wp:effectExtent b="0" l="0" r="0" t="0"/>
                <wp:wrapNone/>
                <wp:docPr id="1942519691" name=""/>
                <a:graphic>
                  <a:graphicData uri="http://schemas.microsoft.com/office/word/2010/wordprocessingShape">
                    <wps:wsp>
                      <wps:cNvSpPr/>
                      <wps:cNvPr id="3" name="Shape 3"/>
                      <wps:spPr>
                        <a:xfrm>
                          <a:off x="3986850" y="3273300"/>
                          <a:ext cx="3556200" cy="690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e-ISSN: 3108-3706</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ff"/>
                                <w:sz w:val="24"/>
                                <w:vertAlign w:val="baseline"/>
                              </w:rPr>
                              <w:t xml:space="preserve">https://dergipark.org.tr/en/pub/cdej</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3976053</wp:posOffset>
                </wp:positionH>
                <wp:positionV relativeFrom="paragraph">
                  <wp:posOffset>-42861</wp:posOffset>
                </wp:positionV>
                <wp:extent cx="1861820" cy="372364"/>
                <wp:effectExtent b="0" l="0" r="0" t="0"/>
                <wp:wrapNone/>
                <wp:docPr id="194251969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61820" cy="37236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-19684</wp:posOffset>
            </wp:positionH>
            <wp:positionV relativeFrom="paragraph">
              <wp:posOffset>-533399</wp:posOffset>
            </wp:positionV>
            <wp:extent cx="873125" cy="650240"/>
            <wp:effectExtent b="0" l="0" r="0" t="0"/>
            <wp:wrapNone/>
            <wp:docPr descr="C:\Users\PC\AppData\Local\Temp\Rar$DIa18824.18084.rartemp\LOGO_ingilizce_Ortalı.png" id="1942519698" name="image3.png"/>
            <a:graphic>
              <a:graphicData uri="http://schemas.openxmlformats.org/drawingml/2006/picture">
                <pic:pic>
                  <pic:nvPicPr>
                    <pic:cNvPr descr="C:\Users\PC\AppData\Local\Temp\Rar$DIa18824.18084.rartemp\LOGO_ingilizce_Ortalı.png" id="0" name="image3.png"/>
                    <pic:cNvPicPr preferRelativeResize="0"/>
                  </pic:nvPicPr>
                  <pic:blipFill>
                    <a:blip r:embed="rId9"/>
                    <a:srcRect b="0" l="0" r="0" t="0"/>
                    <a:stretch>
                      <a:fillRect/>
                    </a:stretch>
                  </pic:blipFill>
                  <pic:spPr>
                    <a:xfrm>
                      <a:off x="0" y="0"/>
                      <a:ext cx="873125" cy="650240"/>
                    </a:xfrm>
                    <a:prstGeom prst="rect"/>
                    <a:ln/>
                  </pic:spPr>
                </pic:pic>
              </a:graphicData>
            </a:graphic>
          </wp:anchor>
        </w:drawing>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jc w:val="center"/>
        <w:rPr>
          <w:rFonts w:ascii="Calibri" w:cs="Calibri" w:eastAsia="Calibri" w:hAnsi="Calibri"/>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909003</wp:posOffset>
                </wp:positionH>
                <wp:positionV relativeFrom="paragraph">
                  <wp:posOffset>-35241</wp:posOffset>
                </wp:positionV>
                <wp:extent cx="2668270" cy="351338"/>
                <wp:effectExtent b="0" l="0" r="0" t="0"/>
                <wp:wrapNone/>
                <wp:docPr id="1942519695" name=""/>
                <a:graphic>
                  <a:graphicData uri="http://schemas.microsoft.com/office/word/2010/wordprocessingShape">
                    <wps:wsp>
                      <wps:cNvSpPr/>
                      <wps:cNvPr id="7" name="Shape 7"/>
                      <wps:spPr>
                        <a:xfrm>
                          <a:off x="4016628" y="3614900"/>
                          <a:ext cx="2658745" cy="330200"/>
                        </a:xfrm>
                        <a:prstGeom prst="rect">
                          <a:avLst/>
                        </a:prstGeom>
                        <a:noFill/>
                        <a:ln>
                          <a:noFill/>
                        </a:ln>
                      </wps:spPr>
                      <wps:txbx>
                        <w:txbxContent>
                          <w:p w:rsidR="00000000" w:rsidDel="00000000" w:rsidP="00000000" w:rsidRDefault="00000000" w:rsidRPr="00000000">
                            <w:pPr>
                              <w:spacing w:after="0" w:before="0" w:line="240"/>
                              <w:ind w:left="-141.99999809265137" w:right="0" w:firstLine="-141.99999809265137"/>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909003</wp:posOffset>
                </wp:positionH>
                <wp:positionV relativeFrom="paragraph">
                  <wp:posOffset>-35241</wp:posOffset>
                </wp:positionV>
                <wp:extent cx="2668270" cy="351338"/>
                <wp:effectExtent b="0" l="0" r="0" t="0"/>
                <wp:wrapNone/>
                <wp:docPr id="194251969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668270" cy="351338"/>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18"/>
          <w:szCs w:val="18"/>
          <w:u w:val="no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7">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i8f288pf7aum" w:id="0"/>
      <w:bookmarkEnd w:id="0"/>
      <w:r w:rsidDel="00000000" w:rsidR="00000000" w:rsidRPr="00000000">
        <w:rPr>
          <w:rtl w:val="0"/>
        </w:rPr>
      </w:r>
    </w:p>
    <w:p w:rsidR="00000000" w:rsidDel="00000000" w:rsidP="00000000" w:rsidRDefault="00000000" w:rsidRPr="00000000" w14:paraId="00000008">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am4vphwpic3y" w:id="1"/>
      <w:bookmarkEnd w:id="1"/>
      <w:r w:rsidDel="00000000" w:rsidR="00000000" w:rsidRPr="00000000">
        <w:rPr>
          <w:rtl w:val="0"/>
        </w:rPr>
      </w:r>
    </w:p>
    <w:p w:rsidR="00000000" w:rsidDel="00000000" w:rsidP="00000000" w:rsidRDefault="00000000" w:rsidRPr="00000000" w14:paraId="00000009">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qfsvkz4wr2ia" w:id="2"/>
      <w:bookmarkEnd w:id="2"/>
      <w:r w:rsidDel="00000000" w:rsidR="00000000" w:rsidRPr="00000000">
        <w:rPr>
          <w:rtl w:val="0"/>
        </w:rPr>
      </w:r>
    </w:p>
    <w:p w:rsidR="00000000" w:rsidDel="00000000" w:rsidP="00000000" w:rsidRDefault="00000000" w:rsidRPr="00000000" w14:paraId="0000000A">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wjbsn5h3g5gq" w:id="3"/>
      <w:bookmarkEnd w:id="3"/>
      <w:r w:rsidDel="00000000" w:rsidR="00000000" w:rsidRPr="00000000">
        <w:rPr>
          <w:rtl w:val="0"/>
        </w:rPr>
      </w:r>
    </w:p>
    <w:p w:rsidR="00000000" w:rsidDel="00000000" w:rsidP="00000000" w:rsidRDefault="00000000" w:rsidRPr="00000000" w14:paraId="0000000B">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wucjcwqvfe7z" w:id="4"/>
      <w:bookmarkEnd w:id="4"/>
      <w:r w:rsidDel="00000000" w:rsidR="00000000" w:rsidRPr="00000000">
        <w:rPr>
          <w:rtl w:val="0"/>
        </w:rPr>
      </w:r>
    </w:p>
    <w:p w:rsidR="00000000" w:rsidDel="00000000" w:rsidP="00000000" w:rsidRDefault="00000000" w:rsidRPr="00000000" w14:paraId="0000000C">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qyxxqh4eg3b7" w:id="5"/>
      <w:bookmarkEnd w:id="5"/>
      <w:r w:rsidDel="00000000" w:rsidR="00000000" w:rsidRPr="00000000">
        <w:rPr>
          <w:rtl w:val="0"/>
        </w:rPr>
      </w:r>
    </w:p>
    <w:p w:rsidR="00000000" w:rsidDel="00000000" w:rsidP="00000000" w:rsidRDefault="00000000" w:rsidRPr="00000000" w14:paraId="0000000D">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rx9g6thjvnju" w:id="6"/>
      <w:bookmarkEnd w:id="6"/>
      <w:r w:rsidDel="00000000" w:rsidR="00000000" w:rsidRPr="00000000">
        <w:rPr>
          <w:rtl w:val="0"/>
        </w:rPr>
      </w:r>
    </w:p>
    <w:p w:rsidR="00000000" w:rsidDel="00000000" w:rsidP="00000000" w:rsidRDefault="00000000" w:rsidRPr="00000000" w14:paraId="0000000E">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2gj8cop1iosd" w:id="7"/>
      <w:bookmarkEnd w:id="7"/>
      <w:r w:rsidDel="00000000" w:rsidR="00000000" w:rsidRPr="00000000">
        <w:rPr>
          <w:rtl w:val="0"/>
        </w:rPr>
      </w:r>
    </w:p>
    <w:p w:rsidR="00000000" w:rsidDel="00000000" w:rsidP="00000000" w:rsidRDefault="00000000" w:rsidRPr="00000000" w14:paraId="0000000F">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swa15f65psaq" w:id="8"/>
      <w:bookmarkEnd w:id="8"/>
      <w:r w:rsidDel="00000000" w:rsidR="00000000" w:rsidRPr="00000000">
        <w:rPr>
          <w:rtl w:val="0"/>
        </w:rPr>
      </w:r>
    </w:p>
    <w:p w:rsidR="00000000" w:rsidDel="00000000" w:rsidP="00000000" w:rsidRDefault="00000000" w:rsidRPr="00000000" w14:paraId="00000010">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34p43qc0ky1h" w:id="9"/>
      <w:bookmarkEnd w:id="9"/>
      <w:r w:rsidDel="00000000" w:rsidR="00000000" w:rsidRPr="00000000">
        <w:rPr>
          <w:rtl w:val="0"/>
        </w:rPr>
      </w:r>
    </w:p>
    <w:p w:rsidR="00000000" w:rsidDel="00000000" w:rsidP="00000000" w:rsidRDefault="00000000" w:rsidRPr="00000000" w14:paraId="00000011">
      <w:pPr>
        <w:pStyle w:val="Heading1"/>
        <w:spacing w:before="120" w:line="280.79999999999995" w:lineRule="auto"/>
        <w:ind w:left="0"/>
        <w:jc w:val="both"/>
        <w:rPr>
          <w:rFonts w:ascii="Cambria" w:cs="Cambria" w:eastAsia="Cambria" w:hAnsi="Cambria"/>
          <w:color w:val="003a70"/>
          <w:sz w:val="46"/>
          <w:szCs w:val="46"/>
        </w:rPr>
      </w:pPr>
      <w:bookmarkStart w:colFirst="0" w:colLast="0" w:name="_heading=h.6039cp1l0sg0" w:id="10"/>
      <w:bookmarkEnd w:id="10"/>
      <w:r w:rsidDel="00000000" w:rsidR="00000000" w:rsidRPr="00000000">
        <w:rPr>
          <w:rtl w:val="0"/>
        </w:rPr>
      </w:r>
    </w:p>
    <w:p w:rsidR="00000000" w:rsidDel="00000000" w:rsidP="00000000" w:rsidRDefault="00000000" w:rsidRPr="00000000" w14:paraId="00000012">
      <w:pPr>
        <w:pStyle w:val="Heading1"/>
        <w:spacing w:after="120" w:before="480" w:line="280.79999999999995" w:lineRule="auto"/>
        <w:ind w:left="0"/>
        <w:jc w:val="center"/>
        <w:rPr>
          <w:rFonts w:ascii="Cambria" w:cs="Cambria" w:eastAsia="Cambria" w:hAnsi="Cambria"/>
          <w:color w:val="003a70"/>
          <w:sz w:val="46"/>
          <w:szCs w:val="46"/>
        </w:rPr>
      </w:pPr>
      <w:bookmarkStart w:colFirst="0" w:colLast="0" w:name="_heading=h.69dvynpudaqa" w:id="11"/>
      <w:bookmarkEnd w:id="11"/>
      <w:r w:rsidDel="00000000" w:rsidR="00000000" w:rsidRPr="00000000">
        <w:rPr>
          <w:rFonts w:ascii="Cambria" w:cs="Cambria" w:eastAsia="Cambria" w:hAnsi="Cambria"/>
          <w:color w:val="003a70"/>
          <w:sz w:val="46"/>
          <w:szCs w:val="46"/>
          <w:rtl w:val="0"/>
        </w:rPr>
        <w:t xml:space="preserve">Dijital İş Yönetiminde Siber Dayanıklılık Yetkinliklerinin Dinamik Yetenekler Perspektifinden İncelenmesi</w:t>
      </w:r>
    </w:p>
    <w:p w:rsidR="00000000" w:rsidDel="00000000" w:rsidP="00000000" w:rsidRDefault="00000000" w:rsidRPr="00000000" w14:paraId="00000013">
      <w:pPr>
        <w:pStyle w:val="Heading1"/>
        <w:spacing w:after="120" w:before="480" w:line="280.79999999999995" w:lineRule="auto"/>
        <w:ind w:left="0"/>
        <w:jc w:val="center"/>
        <w:rPr>
          <w:rFonts w:ascii="Cambria" w:cs="Cambria" w:eastAsia="Cambria" w:hAnsi="Cambria"/>
          <w:color w:val="003a70"/>
          <w:sz w:val="46"/>
          <w:szCs w:val="46"/>
        </w:rPr>
      </w:pPr>
      <w:bookmarkStart w:colFirst="0" w:colLast="0" w:name="_heading=h.8be0gdk04ihe" w:id="12"/>
      <w:bookmarkEnd w:id="12"/>
      <w:r w:rsidDel="00000000" w:rsidR="00000000" w:rsidRPr="00000000">
        <w:rPr>
          <w:rtl w:val="0"/>
        </w:rPr>
      </w:r>
    </w:p>
    <w:p w:rsidR="00000000" w:rsidDel="00000000" w:rsidP="00000000" w:rsidRDefault="00000000" w:rsidRPr="00000000" w14:paraId="00000014">
      <w:pPr>
        <w:pStyle w:val="Heading1"/>
        <w:spacing w:before="120" w:line="280.79999999999995" w:lineRule="auto"/>
        <w:ind w:left="0"/>
        <w:jc w:val="both"/>
        <w:rPr>
          <w:rFonts w:ascii="Cambria" w:cs="Cambria" w:eastAsia="Cambria" w:hAnsi="Cambria"/>
          <w:b w:val="0"/>
          <w:bCs w:val="0"/>
          <w:i w:val="1"/>
          <w:iCs w:val="1"/>
          <w:color w:val="003a70"/>
          <w:sz w:val="46"/>
          <w:szCs w:val="46"/>
        </w:rPr>
      </w:pPr>
      <w:bookmarkStart w:colFirst="0" w:colLast="0" w:name="_heading=h.bp8q88d998eb" w:id="13"/>
      <w:bookmarkEnd w:id="13"/>
      <w:r w:rsidDel="00000000" w:rsidR="00000000" w:rsidRPr="00000000">
        <w:rPr>
          <w:rtl w:val="0"/>
        </w:rPr>
      </w:r>
    </w:p>
    <w:p w:rsidR="00000000" w:rsidDel="00000000" w:rsidP="00000000" w:rsidRDefault="00000000" w:rsidRPr="00000000" w14:paraId="00000015">
      <w:pPr>
        <w:spacing w:before="12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Murat Şahin</w:t>
      </w:r>
      <w:r w:rsidDel="00000000" w:rsidR="00000000" w:rsidRPr="00000000">
        <w:rPr>
          <w:rFonts w:ascii="Cambria" w:cs="Cambria" w:eastAsia="Cambria" w:hAnsi="Cambria"/>
          <w:sz w:val="38"/>
          <w:szCs w:val="38"/>
          <w:vertAlign w:val="superscript"/>
          <w:rtl w:val="0"/>
        </w:rPr>
        <w:t xml:space="preserve">1*</w:t>
      </w:r>
      <w:r w:rsidDel="00000000" w:rsidR="00000000" w:rsidRPr="00000000">
        <w:rPr>
          <w:rFonts w:ascii="Cambria" w:cs="Cambria" w:eastAsia="Cambria" w:hAnsi="Cambria"/>
          <w:sz w:val="38"/>
          <w:szCs w:val="38"/>
          <w:vertAlign w:val="superscript"/>
        </w:rPr>
        <w:drawing>
          <wp:inline distB="114300" distT="114300" distL="114300" distR="114300">
            <wp:extent cx="127000" cy="139700"/>
            <wp:effectExtent b="0" l="0" r="0" t="0"/>
            <wp:docPr id="1942519697"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1270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2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color w:val="003a70"/>
          <w:sz w:val="20"/>
          <w:szCs w:val="20"/>
          <w:rtl w:val="0"/>
        </w:rPr>
        <w:t xml:space="preserve">I. </w:t>
      </w:r>
      <w:r w:rsidDel="00000000" w:rsidR="00000000" w:rsidRPr="00000000">
        <w:rPr>
          <w:rFonts w:ascii="Cambria" w:cs="Cambria" w:eastAsia="Cambria" w:hAnsi="Cambria"/>
          <w:b w:val="1"/>
          <w:bCs w:val="1"/>
          <w:smallCaps w:val="1"/>
          <w:color w:val="003a70"/>
          <w:sz w:val="20"/>
          <w:szCs w:val="20"/>
          <w:rtl w:val="0"/>
        </w:rPr>
        <w:t xml:space="preserve">GİRİŞ</w:t>
      </w:r>
    </w:p>
    <w:p w:rsidR="00000000" w:rsidDel="00000000" w:rsidP="00000000" w:rsidRDefault="00000000" w:rsidRPr="00000000" w14:paraId="00000017">
      <w:pPr>
        <w:spacing w:after="120" w:line="276" w:lineRule="auto"/>
        <w:ind w:firstLine="72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dönüşüm, işletmelerin değer üretme biçimlerini bilgi teknolojilerinin destekleyici kullanımından daha kapsamlı bir örgütsel değişim alanına taşımaktadır. Vial (2019), dijital dönüşümü dijital teknolojilerin yarattığı bozulmalara karşı işletmelerin değer yaratma yollarını değiştiren stratejik tepkiler geliştirdiği bir süreç olarak ele almaktadır. Verhoef ve diğerleri (2021) ise dönüşümün dijital kaynaklar, örgütsel yapı, büyüme stratejileri ve performans ölçümü üzerinde eş zamanlı sonuçlar oluşturduğunu ortaya koymaktadır. Bu genişleme, dijital iş yönetiminde süreklilik ve güvenliğin stratejik yönetim konusu olarak konumlanmasına zemin hazırlamaktadır.</w:t>
      </w:r>
    </w:p>
    <w:p w:rsidR="00000000" w:rsidDel="00000000" w:rsidP="00000000" w:rsidRDefault="00000000" w:rsidRPr="00000000" w14:paraId="00000018">
      <w:pPr>
        <w:spacing w:after="120" w:line="276" w:lineRule="auto"/>
        <w:ind w:firstLine="72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bağımlılık arttıkça siber olayların etkisi bilgi sistemlerinin teknik sınırlarını aşarak operasyonların devamlılığına, müşteri güvenine, iş ortaklıklarına ve yönetsel karar süreçlerine ulaşmaktadır. Siber dayanıklılık bu bağlamda saldırıların tümüyle önlenmesine dayalı bir yaklaşım yerine tehditleri öngörme, etkileri sınırlandırma, faaliyetleri sürdürme, toparlanma ve deneyimden öğrenme kapasitesini içeren daha geniş bir örgütsel yetkinlik alanı oluşturmaktadır. Linkov ve Kott (2019) tarafından geliştirilen dayanıklılık yaklaşımı ile Bodeau ve diğerlerinin kurumsal dayanıklılık çalışmaları, güvenliğin önleme kadar uyum ve toparlanma kapasitesiyle birlikte değerlendirilmesi gerektiğine işaret etmektedir. Bu çalışmada kullanılan güncel kaynaklar da özellikle KOBİ bağlamında teknik, insani ve örgütsel unsurların karşılıklı bağımlılığını vurgulamaktadır.</w:t>
      </w:r>
    </w:p>
    <w:p w:rsidR="00000000" w:rsidDel="00000000" w:rsidP="00000000" w:rsidRDefault="00000000" w:rsidRPr="00000000" w14:paraId="00000019">
      <w:pPr>
        <w:spacing w:after="120" w:line="276" w:lineRule="auto"/>
        <w:ind w:firstLine="72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Yönetim bilişim sistemleri açısından temel araştırma problemi, siber dayanıklılığın hangi örgütsel mekanizmalar üzerinden sürekli bir yetkinliğe dönüştüğünün açıklanması olmaktadır. Olgunluk modelleri ölçülebilir aşamalar ve kontrol alanları sağlamaktadır. Buna karşılık kaynak kısıtları, hızlı değişen tehdit ortamı, dış hizmet sağlayıcılarına bağımlılık ve informel karar süreçleri, dayanıklılığın doğrusal bir olgunlaşma çizgisiyle açıklanmasını güçleştirmektedir. Mataracıoğlu ve Fidancıoğlu (2025), Türkiye bağlamında bilgi ve iletişim güvenliği kapasitesini görünür kılmaya yönelik ölçülebilir bir olgunluk modeli önermektedir. Daha yeni çalışmalar ise siber güvenlik kapasitesinin deneyimsel öğrenme, ortaklıklar ve yeniden yapılandırma süreçleriyle gelişebildiğini göstermektedir (Haj Mohammadi et al., 2026).</w:t>
      </w:r>
    </w:p>
    <w:p w:rsidR="00000000" w:rsidDel="00000000" w:rsidP="00000000" w:rsidRDefault="00000000" w:rsidRPr="00000000" w14:paraId="0000001A">
      <w:pPr>
        <w:spacing w:after="120" w:line="276" w:lineRule="auto"/>
        <w:ind w:firstLine="72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 çalışma şu araştırma sorusuna odaklanmaktadır. Dijital iş yönetiminde siber dayanıklılık yetkinlikleri dinamik yeteneklerin sezme, yakalama ve yeniden yapılandırma süreçleriyle nasıl açıklanabilmektedir? Çalışmanın amacı güncel siber dayanıklılık araştırmalarını dijital dönüşüm ve dinamik yetenekler literatürüyle bütünleştirerek yönetsel düzeyde kullanılabilecek kavramsal bir çerçeve geliştirmektir. Katkı, güvenlik yatırımlarını tekil teknik kontroller düzeyinden örgütsel öğrenme, yönetişim ve ekosistem kapasitesi düzeyine taşıyan bir sentez sunulması üzerinden şekillenmektedir.</w:t>
      </w:r>
    </w:p>
    <w:p w:rsidR="00000000" w:rsidDel="00000000" w:rsidP="00000000" w:rsidRDefault="00000000" w:rsidRPr="00000000" w14:paraId="0000001B">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1C">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II. KAVRAMSAL ARKA PLAN</w:t>
      </w:r>
    </w:p>
    <w:p w:rsidR="00000000" w:rsidDel="00000000" w:rsidP="00000000" w:rsidRDefault="00000000" w:rsidRPr="00000000" w14:paraId="0000001D">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iş yönetimi, dijital teknolojilerin işletme stratejisi, süreçleri, müşteri etkileşimleri ve iş modelleriyle bütünleştirilmesini kapsamaktadır. Dijital dönüşüm araştırmaları teknolojik değişimin değer yaratma mantığını, örgütsel yapıları ve yetkinlik gereksinimlerini dönüştürdüğünü göstermektedir (Vial, 2019. Verhoef et al., 2021). Bu nedenle siber güvenlik, dijitalleşme sonrasında eklenen bir kontrol katmanı olarak ele alınmak yerine dijital iş tasarımının süreklilik koşullarından biri olarak değerlendirilmektedir.</w:t>
      </w:r>
    </w:p>
    <w:p w:rsidR="00000000" w:rsidDel="00000000" w:rsidP="00000000" w:rsidRDefault="00000000" w:rsidRPr="00000000" w14:paraId="0000001E">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Siber dayanıklılık kavramı, tehditlere karşı korunma ile olay sonrasında toparlanma arasında bağlantı kurmaktadır. Björck ve diğerlerinin (2015) sistematik incelemesi ile daha sonraki çerçeve araştırmaları, dayanıklılığın hazırlık, yanıt, iyileşme ve uyarlama boyutlarının birlikte ele alınması gerektiğini göstermektedir. KOBİ odaklı güncel çalışmalar bu yaklaşımı sosyo-teknik bir düzleme taşımaktadır. Bahmanova ve Lace (2026a), siber dayanıklılığı teknik altyapı, insan davranışı ve örgütsel uygulamalar arasındaki geri bildirim ilişkileri üzerinden modellemektedir. Bahmanova ve Lace (2026b) ise iş birliği, düzenleyici çevre, finansal kapasite ve açık inovasyon mekanizmalarının dayanıklılık üzerinde birlikte etkili olan boyutlar oluşturduğunu ortaya koymaktadır.</w:t>
      </w:r>
    </w:p>
    <w:p w:rsidR="00000000" w:rsidDel="00000000" w:rsidP="00000000" w:rsidRDefault="00000000" w:rsidRPr="00000000" w14:paraId="0000001F">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Dinamik yetenekler yaklaşımı, değişken çevre koşullarında işletmelerin fırsat ve tehditleri sezme, kaynakları harekete geçirerek uygun yanıtları yakalama ve varlıklarla rutinleri yeniden yapılandırma kapasitesine odaklanmaktadır (Teece, 2007). Bu yaklaşım siber dayanıklılık açısından güçlü bir açıklama zemini sunmaktadır. Siber tehdit ortamı sürekli değişmektedir. Savunma araçlarının etkisi örgütsel rutinlere, çalışan davranışlarına, tedarikçi ilişkilerine ve öğrenme süreçlerine bağlı bulunmaktadır. Haj Mohammadi ve diğerleri (2026), mikro ve küçük sosyal işletmelerde siber güvenlik kapasitesinin teknik, örgütsel ve psikolojik boyutların etkileşimiyle geliştiğini ve doğrusal olgunluk aşamalarından daha dinamik bir süreç sergilediğini göstermektedir.</w:t>
      </w:r>
    </w:p>
    <w:p w:rsidR="00000000" w:rsidDel="00000000" w:rsidP="00000000" w:rsidRDefault="00000000" w:rsidRPr="00000000" w14:paraId="00000020">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 kuramsal kesişim, siber dayanıklılığın dijital iş yönetiminde operasyonel bir güvenlik çıktısından daha geniş bir stratejik kapasite olarak ele alınmasına olanak tanımaktadır. Tehdit bilgisinin yönetsel karara dönüştürülmesi sezme kapasitesini oluşturmaktadır. Güvenlik yatırımlarının, eğitimlerin ve ortaklıkların seçilmesi yakalama kapasitesini oluşturmaktadır. Süreçlerin, rollerin, teknoloji mimarisinin ve tedarik ilişkilerinin olaylardan öğrenilen bilgiler doğrultusunda yeniden düzenlenmesi yeniden yapılandırma kapasitesini oluşturmaktadır.</w:t>
      </w:r>
    </w:p>
    <w:p w:rsidR="00000000" w:rsidDel="00000000" w:rsidP="00000000" w:rsidRDefault="00000000" w:rsidRPr="00000000" w14:paraId="00000021">
      <w:pPr>
        <w:spacing w:line="276" w:lineRule="auto"/>
        <w:ind w:firstLine="28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2">
      <w:pPr>
        <w:spacing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3">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III. YÖNTEM</w:t>
      </w:r>
    </w:p>
    <w:p w:rsidR="00000000" w:rsidDel="00000000" w:rsidP="00000000" w:rsidRDefault="00000000" w:rsidRPr="00000000" w14:paraId="00000024">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 bölümde, araştırmanın bulguları ayrıntılı, anlaşılır ve sistematik bir şekilde sunulmalı ve literatürle ilişkili olarak tartışılmalıdır. Bulgular sadece verilerin sunulmasıyla sınırlı kalmamalı; sonuçların bilimsel önemi mevcut çalışmalarla karşılaştırılarak değerlendirilmelidir. Bulguların sunumunda tablolar, şekiller ve grafikler kullanılmalı ve bu öğeler metinde ilk kez bahsedildikleri yerde yer almalıdır. Tartışma bölümünde, bulgular ile önceki araştırmalar arasındaki benzerlikler ve farklılıklar açıkça belirtilmeli ve uygun alıntılar eklenerek çalışmanın literatürdeki yeri belirlenmelidir. Bulguların benzersiz yönleri, bilimsel katkıları ve potansiyel uygulamaları vurgulanmalı; çalışmanın sınırlılıkları da belirtilmeli ve gelecekteki araştırmalar için çıkarımlar sunulmalıdır. Bu, elde edilen verilerin sadece açıklanmasını değil, aynı zamanda eleştirel bir şekilde yorumlanmasını da sağlar.</w:t>
      </w:r>
    </w:p>
    <w:p w:rsidR="00000000" w:rsidDel="00000000" w:rsidP="00000000" w:rsidRDefault="00000000" w:rsidRPr="00000000" w14:paraId="00000025">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6">
      <w:pPr>
        <w:spacing w:line="276" w:lineRule="auto"/>
        <w:ind w:firstLine="2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 bölüm, gerektiğinde alt başlıklar kullanılarak yapılandırılabilir. Özellikle farklı deney koşulları, parametreler veya veri setleri tartışıldığında, bulguların ve tartışmaların alt başlıklar aracılığıyla düzenli bir şekilde sunulması metnin okunabilirliğini artıracaktır. Sonuç olarak, Sonuçlar ve Tartışmalar bölümü, araştırmanın bilimsel değerini, literatürdeki konumunu ve orijinal katkısını ortaya koyan en önemli bölümdür ve yazarlar tarafından özenle hazırlanmalıdır.</w:t>
      </w:r>
    </w:p>
    <w:p w:rsidR="00000000" w:rsidDel="00000000" w:rsidP="00000000" w:rsidRDefault="00000000" w:rsidRPr="00000000" w14:paraId="00000027">
      <w:pPr>
        <w:spacing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8">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IV. BULGULAR VE SENTEZ</w:t>
      </w:r>
    </w:p>
    <w:p w:rsidR="00000000" w:rsidDel="00000000" w:rsidP="00000000" w:rsidRDefault="00000000" w:rsidRPr="00000000" w14:paraId="00000029">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İncelenen çalışmaların ortak yönü, siber dayanıklılığın teknoloji yatırımıyla sınırlı bir kapasite olarak açıklanmasının yetersiz kalmasıdır. Güncel KOBİ araştırmaları insan davranışı, örgütsel koordinasyon, finansal kaynaklar, düzenleyici uyum, ortaklıklar ve öğrenme mekanizmalarını birlikte değerlendirmektedir. Bu eğilim, dijital iş yönetiminde siber dayanıklılığın çapraz fonksiyonlu bir yönetişim alanı olduğunu göstermektedir.</w:t>
      </w:r>
    </w:p>
    <w:p w:rsidR="00000000" w:rsidDel="00000000" w:rsidP="00000000" w:rsidRDefault="00000000" w:rsidRPr="00000000" w14:paraId="0000002A">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Sezme kapasitesi, işletmenin tehdit ortamını, dijital bağımlılıklarını ve kritik varlıklarını anlamlandırma yeteneğiyle ilişkilendirilmektedir. Bu kapasite teknik izleme araçlarının yanında çalışan farkındalığı, önceki olay deneyimleri, tedarikçi bilgisi ve yönetsel risk algısıyla gelişmektedir. Haj Mohammadi ve diğerleri (2026), önceki tehdit deneyiminin ve risk algısının küçük işletmelerde güvenlik davranışlarını etkilediğini ortaya koymaktadır. Mataracıoğlu ve Fidancıoğlu (2025) ise varlık envanteri, kontrol kapsamı ve olgunluk yol haritası gibi unsurların mevcut durumun görünür kılınmasına katkı sağladığını göstermektedir.</w:t>
      </w:r>
    </w:p>
    <w:p w:rsidR="00000000" w:rsidDel="00000000" w:rsidP="00000000" w:rsidRDefault="00000000" w:rsidRPr="00000000" w14:paraId="0000002B">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Yakalama kapasitesi, sezilen risklerin somut kaynak tahsisine ve eyleme dönüştürülmesini kapsamaktadır. Eğitim, dış uzmanlık, yönetilen güvenlik hizmetleri, uygun teknoloji seçimi, olay müdahale hazırlığı ve iş birliği ağları bu aşamada öne çıkmaktadır. Bahmanova ve Lace (2026b), KOBİ siber dayanıklılığında teknolojik, insani, örgütsel, finansal, düzenleyici ve iş birlikçi boyutların birlikte değerlendirilmesi gerektiğini göstermektedir. Awolowo ve diğerleri (2026) ise örgüt kültürü, dolandırıcılık risk yönetimi ve adli muhasebe kaynaklarının dinamik yeteneklerle ilişkilendirilebileceğini ileri sürmektedir.</w:t>
      </w:r>
    </w:p>
    <w:p w:rsidR="00000000" w:rsidDel="00000000" w:rsidP="00000000" w:rsidRDefault="00000000" w:rsidRPr="00000000" w14:paraId="0000002C">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Yeniden yapılandırma kapasitesi, güvenlik olayları ve çevresel değişimler sonrasında süreçlerin, rollerin ve teknoloji düzeninin güncellenmesini ifade etmektedir. Bu aşamada öğrenme döngüleri, olay sonrası değerlendirme, iş sürekliliği planlarının güncellenmesi, tedarikçi portföyünün gözden geçirilmesi ve sorumlulukların yeniden tanımlanması önem kazanmaktadır. Bahmanova ve Lace (2026a), siber dayanıklılığı geri bildirim döngülerine dayanan sosyo-teknik bir sistem olarak kavramsallaştırmaktadır. Aljuaidi ve diğerleri (2026) dijital iş ağlarında dayanıklılık sürücülerinin birbirine bağlı yapısını uzman değerlendirmeleri üzerinden önceliklendirmektedir.</w:t>
      </w:r>
    </w:p>
    <w:p w:rsidR="00000000" w:rsidDel="00000000" w:rsidP="00000000" w:rsidRDefault="00000000" w:rsidRPr="00000000" w14:paraId="0000002D">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 üç süreç arasında doğrusal bir sıra varsayılmamaktadır. Olay deneyimi yeni tehditlerin sezilmesini güçlendirebilmektedir. Yeni ortaklıklar daha iyi bilgi akışı sağlayarak sezme kapasitesini geliştirebilmektedir. Süreçlerin yeniden yapılandırılması yeni teknoloji ve eğitim yatırımlarını tetikleyebilmektedir. Bu nedenle siber dayanıklılık, tekrar eden öğrenme ve uyarlama döngüsü biçiminde ele alınmaktadır. </w:t>
      </w:r>
    </w:p>
    <w:p w:rsidR="00000000" w:rsidDel="00000000" w:rsidP="00000000" w:rsidRDefault="00000000" w:rsidRPr="00000000" w14:paraId="0000002E">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F">
      <w:pPr>
        <w:spacing w:line="276" w:lineRule="auto"/>
        <w:ind w:firstLine="28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0">
      <w:pPr>
        <w:spacing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mallCaps w:val="1"/>
          <w:color w:val="003a70"/>
          <w:sz w:val="20"/>
          <w:szCs w:val="20"/>
          <w:rtl w:val="0"/>
        </w:rPr>
        <w:t xml:space="preserve">V. BÜTÜNLEŞTİRİCİ ÇERÇEVE</w:t>
      </w:r>
    </w:p>
    <w:p w:rsidR="00000000" w:rsidDel="00000000" w:rsidP="00000000" w:rsidRDefault="00000000" w:rsidRPr="00000000" w14:paraId="00000031">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32">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Sentez sonucunda dijital iş yönetiminde siber dayanıklılık için beş kaynak alanı ve üç dinamik süreçten oluşan bütünleştirici bir çerçeve önerilmektedir. Kaynak alanları teknoloji mimarisi, insan ve kültür, yönetişim, ekosistem iş birliği ve örgütsel öğrenme olarak belirlenmiştir. Dinamik süreçler sezme, yakalama ve yeniden yapılandırma olarak tanımlanmıştır.</w:t>
      </w:r>
    </w:p>
    <w:p w:rsidR="00000000" w:rsidDel="00000000" w:rsidP="00000000" w:rsidRDefault="00000000" w:rsidRPr="00000000" w14:paraId="00000033">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Teknoloji mimarisi, kritik varlıkların görünürlüğü, erişim kontrolleri, yedekleme, izleme ve kurtarma kapasitesi gibi unsurları kapsamaktadır. İnsan ve kültür alanı farkındalık, sorumluluk, güvenlik davranışları ve yönetsel risk algısını içermektedir. Yönetişim alanı roller, politika, risk sahipliği, kaynak tahsisi ve performans takibini kapsamaktadır. Ekosistem iş birliği, tedarikçiler, sektör ağları, kamu destekleri ve dış uzmanlık kaynaklarıyla kurulan ilişkileri ifade etmektedir. Örgütsel öğrenme ise olaylardan, tatbikatlardan ve dış çevreden edinilen bilginin rutinlere aktarılmasını kapsamaktadır.</w:t>
      </w:r>
    </w:p>
    <w:p w:rsidR="00000000" w:rsidDel="00000000" w:rsidP="00000000" w:rsidRDefault="00000000" w:rsidRPr="00000000" w14:paraId="00000034">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Çerçevenin temel önermesi, bu kaynak alanlarının varlığının tek başına dayanıklılık kapasitesini açıklamakta sınırlı kalmasıdır. Kaynakların değişen tehdit ortamına göre sezilmesi, harekete geçirilmesi ve yeniden düzenlenmesi gerekmektedir. Bu nedenle siber dayanıklılık olgunluğu kontrol sayısının artışıyla birlikte kaynakların ne ölçüde uyarlanabildiği üzerinden de değerlendirilmelidir. Bu yaklaşım olgunluk modellerini dışlamamaktadır. Olgunluk ölçümü mevcut kapasitenin görünür kılınmasına katkı sağlarken dinamik yetenekler yaklaşımı kapasitenin zaman içinde nasıl yenilendiğini açıklamaktadır.</w:t>
      </w:r>
    </w:p>
    <w:p w:rsidR="00000000" w:rsidDel="00000000" w:rsidP="00000000" w:rsidRDefault="00000000" w:rsidRPr="00000000" w14:paraId="00000035">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6">
      <w:pPr>
        <w:spacing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mallCaps w:val="1"/>
          <w:color w:val="003a70"/>
          <w:sz w:val="20"/>
          <w:szCs w:val="20"/>
          <w:rtl w:val="0"/>
        </w:rPr>
        <w:t xml:space="preserve">VI. YÖNETSEL ÇIKARIMLAR</w:t>
      </w:r>
    </w:p>
    <w:p w:rsidR="00000000" w:rsidDel="00000000" w:rsidP="00000000" w:rsidRDefault="00000000" w:rsidRPr="00000000" w14:paraId="00000037">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38">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iş yöneticileri açısından ilk çıkarım, siber dayanıklılık sorumluluğunun bilgi teknolojileri biriminin sınırlarını aşan bir yönetişim konusu olarak yapılandırılması gerekliliğidir. Kritik dijital süreçlerin sahipleri, tedarik zinciri yöneticileri, insan kaynakları, finans ve üst yönetim güvenlik kararlarının farklı parçalarına katkı sağlamaktadır. Bu nedenle dayanıklılık göstergeleri teknik olay sayılarıyla birlikte süreç kurtarma kapasitesi, kritik tedarikçi bağımlılığı, çalışan hazırlığı ve öğrenme faaliyetlerini de kapsamalıdır.</w:t>
      </w:r>
    </w:p>
    <w:p w:rsidR="00000000" w:rsidDel="00000000" w:rsidP="00000000" w:rsidRDefault="00000000" w:rsidRPr="00000000" w14:paraId="00000039">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İkinci çıkarım, kaynak kısıtlı işletmelerde yatırım önceliklerinin risk görünürlüğü ve iş sürekliliği üzerinden belirlenmesidir. Her güvenlik aracının eş zamanlı edinilmesi yerine kritik iş akışlarının, veri varlıklarının ve dış bağımlılıkların haritalanması yatırım sıralamasını daha savunulabilir hale getirmektedir. Yönetilen hizmetler ve ortaklık ağları, iç uzmanlığın sınırlı olduğu durumlarda kapasite tamamlayıcı mekanizmalar sunabilmektedir.</w:t>
      </w:r>
    </w:p>
    <w:p w:rsidR="00000000" w:rsidDel="00000000" w:rsidP="00000000" w:rsidRDefault="00000000" w:rsidRPr="00000000" w14:paraId="0000003A">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Üçüncü çıkarım, olay sonrası öğrenmenin kurumsallaştırılmasıdır. Olayların teknik olarak kapatılması, örgütsel öğrenme açısından eksik kalabilmektedir. Olay sonrası değerlendirmelerin süreç sahipleriyle birlikte yürütülmesi, alınan derslerin politika, eğitim, teknoloji ve tedarikçi kararlarına aktarılması gerekmektedir. Böyle bir yaklaşım yeniden yapılandırma kapasitesini güçlendirmektedir.</w:t>
      </w:r>
    </w:p>
    <w:p w:rsidR="00000000" w:rsidDel="00000000" w:rsidP="00000000" w:rsidRDefault="00000000" w:rsidRPr="00000000" w14:paraId="0000003B">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Dördüncü çıkarım, dijital dönüşüm projelerinin güvenlik gereksinimleriyle eş zamanlı tasarlanmasıdır. Yeni platform, bulut hizmeti, yapay zekâ uygulaması veya e-ticaret kanalının iş değeri kadar yeni bağımlılık ve saldırı yüzeyi oluşturma potansiyeli de değerlendirilmelidir. Böylece siber dayanıklılık dönüşüm sonrasında eklenen bir kontrol faaliyeti yerine dijital iş mimarisinin tasarım ölçütlerinden biri haline gelmektedir.</w:t>
      </w:r>
    </w:p>
    <w:p w:rsidR="00000000" w:rsidDel="00000000" w:rsidP="00000000" w:rsidRDefault="00000000" w:rsidRPr="00000000" w14:paraId="0000003C">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3D">
      <w:pPr>
        <w:spacing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VII. TARTIRŞMA</w:t>
      </w:r>
    </w:p>
    <w:p w:rsidR="00000000" w:rsidDel="00000000" w:rsidP="00000000" w:rsidRDefault="00000000" w:rsidRPr="00000000" w14:paraId="0000003E">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3F">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iş yöneticileri açısından ilk çıkarım, siber dayanıklılık sorumluluğunun bilgi teknolojileri biriminin sınırlarını aşan bir yönetişim konusu olarak yapılandırılması gerekliliğidir. Kritik dijital süreçlerin sahipleri, tedarik zinciri yöneticileri, insan kaynakları, finans ve üst yönetim güvenlik kararlarının farklı parçalarına katkı sağlamaktadır. Bu nedenle dayanıklılık göstergeleri teknik olay sayılarıyla birlikte süreç kurtarma kapasitesi, kritik tedarikçi bağımlılığı, çalışan hazırlığı ve öğrenme faaliyetlerini de kapsamalıdır.</w:t>
      </w:r>
    </w:p>
    <w:p w:rsidR="00000000" w:rsidDel="00000000" w:rsidP="00000000" w:rsidRDefault="00000000" w:rsidRPr="00000000" w14:paraId="00000040">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İkinci çıkarım, kaynak kısıtlı işletmelerde yatırım önceliklerinin risk görünürlüğü ve iş sürekliliği üzerinden belirlenmesidir. Her güvenlik aracının eş zamanlı edinilmesi yerine kritik iş akışlarının, veri varlıklarının ve dış bağımlılıkların haritalanması yatırım sıralamasını daha savunulabilir hale getirmektedir. Yönetilen hizmetler ve ortaklık ağları, iç uzmanlığın sınırlı olduğu durumlarda kapasite tamamlayıcı mekanizmalar sunabilmektedir.</w:t>
      </w:r>
    </w:p>
    <w:p w:rsidR="00000000" w:rsidDel="00000000" w:rsidP="00000000" w:rsidRDefault="00000000" w:rsidRPr="00000000" w14:paraId="00000041">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Üçüncü çıkarım, olay sonrası öğrenmenin kurumsallaştırılmasıdır. Olayların teknik olarak kapatılması, örgütsel öğrenme açısından eksik kalabilmektedir. Olay sonrası değerlendirmelerin süreç sahipleriyle birlikte yürütülmesi, alınan derslerin politika, eğitim, teknoloji ve tedarikçi kararlarına aktarılması gerekmektedir. Böyle bir yaklaşım yeniden yapılandırma kapasitesini güçlendirmektedir.</w:t>
      </w:r>
    </w:p>
    <w:p w:rsidR="00000000" w:rsidDel="00000000" w:rsidP="00000000" w:rsidRDefault="00000000" w:rsidRPr="00000000" w14:paraId="00000042">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Dördüncü çıkarım, dijital dönüşüm projelerinin güvenlik gereksinimleriyle eş zamanlı tasarlanmasıdır. Yeni platform, bulut hizmeti, yapay zekâ uygulaması veya e-ticaret kanalının iş değeri kadar yeni bağımlılık ve saldırı yüzeyi oluşturma potansiyeli de değerlendirilmelidir. Böylece siber dayanıklılık dönüşüm sonrasında eklenen bir kontrol faaliyeti yerine dijital iş mimarisinin tasarım ölçütlerinden biri haline gelmektedir.</w:t>
      </w:r>
    </w:p>
    <w:p w:rsidR="00000000" w:rsidDel="00000000" w:rsidP="00000000" w:rsidRDefault="00000000" w:rsidRPr="00000000" w14:paraId="00000043">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4">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45">
      <w:pPr>
        <w:spacing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VIII. SINIRLILIKLAR</w:t>
      </w:r>
    </w:p>
    <w:p w:rsidR="00000000" w:rsidDel="00000000" w:rsidP="00000000" w:rsidRDefault="00000000" w:rsidRPr="00000000" w14:paraId="00000046">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47">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iş yöneticileri açısından ilk çıkarım, siber dayanıklılık sorumluluğunun bilgi teknolojileri biriminin sınırlarını aşan bir yönetişim konusu olarak yapılandırılması gerekliliğidir. Kritik dijital süreçlerin sahipleri, tedarik zinciri yöneticileri, insan kaynakları, finans ve üst yönetim güvenlik kararlarının farklı parçalarına katkı sağlamaktadır. Bu nedenle dayanıklılık göstergeleri teknik olay sayılarıyla birlikte süreç kurtarma kapasitesi, kritik tedarikçi bağımlılığı, çalışan hazırlığı ve öğrenme faaliyetlerini de kapsamalıdır.</w:t>
      </w:r>
    </w:p>
    <w:p w:rsidR="00000000" w:rsidDel="00000000" w:rsidP="00000000" w:rsidRDefault="00000000" w:rsidRPr="00000000" w14:paraId="00000048">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İkinci çıkarım, kaynak kısıtlı işletmelerde yatırım önceliklerinin risk görünürlüğü ve iş sürekliliği üzerinden belirlenmesidir. Her güvenlik aracının eş zamanlı edinilmesi yerine kritik iş akışlarının, veri varlıklarının ve dış bağımlılıkların haritalanması yatırım sıralamasını daha savunulabilir hale getirmektedir. Yönetilen hizmetler ve ortaklık ağları, iç uzmanlığın sınırlı olduğu durumlarda kapasite tamamlayıcı mekanizmalar sunabilmektedir.</w:t>
      </w:r>
    </w:p>
    <w:p w:rsidR="00000000" w:rsidDel="00000000" w:rsidP="00000000" w:rsidRDefault="00000000" w:rsidRPr="00000000" w14:paraId="00000049">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Üçüncü çıkarım, olay sonrası öğrenmenin kurumsallaştırılmasıdır. Olayların teknik olarak kapatılması, örgütsel öğrenme açısından eksik kalabilmektedir. Olay sonrası değerlendirmelerin süreç sahipleriyle birlikte yürütülmesi, alınan derslerin politika, eğitim, teknoloji ve tedarikçi kararlarına aktarılması gerekmektedir. Böyle bir yaklaşım yeniden yapılandırma kapasitesini güçlendirmektedir.</w:t>
      </w:r>
    </w:p>
    <w:p w:rsidR="00000000" w:rsidDel="00000000" w:rsidP="00000000" w:rsidRDefault="00000000" w:rsidRPr="00000000" w14:paraId="0000004A">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Dördüncü çıkarım, dijital dönüşüm projelerinin güvenlik gereksinimleriyle eş zamanlı tasarlanmasıdır. Yeni platform, bulut hizmeti, yapay zekâ uygulaması veya e-ticaret kanalının iş değeri kadar yeni bağımlılık ve saldırı yüzeyi oluşturma potansiyeli de değerlendirilmelidir. Böylece siber dayanıklılık dönüşüm sonrasında eklenen bir kontrol faaliyeti yerine dijital iş mimarisinin tasarım ölçütlerinden biri haline gelmektedir.</w:t>
      </w:r>
    </w:p>
    <w:p w:rsidR="00000000" w:rsidDel="00000000" w:rsidP="00000000" w:rsidRDefault="00000000" w:rsidRPr="00000000" w14:paraId="0000004B">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4C">
      <w:pPr>
        <w:spacing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IX. SONUÇ</w:t>
      </w:r>
    </w:p>
    <w:p w:rsidR="00000000" w:rsidDel="00000000" w:rsidP="00000000" w:rsidRDefault="00000000" w:rsidRPr="00000000" w14:paraId="0000004D">
      <w:pPr>
        <w:spacing w:line="276" w:lineRule="auto"/>
        <w:jc w:val="center"/>
        <w:rPr>
          <w:rFonts w:ascii="Cambria" w:cs="Cambria" w:eastAsia="Cambria" w:hAnsi="Cambria"/>
          <w:b w:val="1"/>
          <w:bCs w:val="1"/>
          <w:smallCaps w:val="1"/>
          <w:color w:val="003a70"/>
          <w:sz w:val="20"/>
          <w:szCs w:val="20"/>
        </w:rPr>
      </w:pPr>
      <w:r w:rsidDel="00000000" w:rsidR="00000000" w:rsidRPr="00000000">
        <w:rPr>
          <w:rtl w:val="0"/>
        </w:rPr>
      </w:r>
    </w:p>
    <w:p w:rsidR="00000000" w:rsidDel="00000000" w:rsidP="00000000" w:rsidRDefault="00000000" w:rsidRPr="00000000" w14:paraId="0000004E">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Dijital iş yönetiminde siber dayanıklılık, teknolojik kontrollerin ötesinde örgütsel algılama, kaynak seferberliği, yeniden yapılandırma ve öğrenme kapasitesiyle birlikte ele alınması gereken bir yönetim alanı oluşturmaktadır. Yapılandırılmış bütünleştirici inceleme, güncel KOBİ ve dijital dayanıklılık çalışmalarının teknoloji, insan, yönetişim, iş birliği ve öğrenme boyutlarında yakınlaştığını göstermektedir. Dinamik yetenekler yaklaşımı bu boyutların zaman içinde nasıl harekete geçirildiğini açıklamak için uygun bir kuramsal çerçeve sunmaktadır.</w:t>
      </w:r>
    </w:p>
    <w:p w:rsidR="00000000" w:rsidDel="00000000" w:rsidP="00000000" w:rsidRDefault="00000000" w:rsidRPr="00000000" w14:paraId="0000004F">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Önerilen bütünleştirici çerçeve, siber dayanıklılığı sezme, yakalama ve yeniden yapılandırma süreçleri üzerinden açıklamaktadır. Bu yaklaşım dijital dönüşüm yatırımları ile güvenlik yönetişiminin ortak bir iş mimarisi içinde değerlendirilmesine katkı sağlamaktadır. Gelecek araştırmalarda çerçevenin Türkiye'deki KOBİ'ler üzerinde ölçek geliştirme, çoklu vaka çalışması ve boylamsal araştırma tasarımlarıyla sınanması, yönetim bilişim sistemleri alanında siber dayanıklılığın örgütsel mikro temellerine ilişkin daha güçlü kanıt üretimine katkı sağlayabilmektedir.</w:t>
      </w:r>
    </w:p>
    <w:p w:rsidR="00000000" w:rsidDel="00000000" w:rsidP="00000000" w:rsidRDefault="00000000" w:rsidRPr="00000000" w14:paraId="00000050">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1">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2">
      <w:pPr>
        <w:pStyle w:val="Heading1"/>
        <w:spacing w:after="120" w:before="480" w:line="276" w:lineRule="auto"/>
        <w:ind w:left="0"/>
        <w:jc w:val="both"/>
        <w:rPr>
          <w:rFonts w:ascii="Cambria" w:cs="Cambria" w:eastAsia="Cambria" w:hAnsi="Cambria"/>
          <w:sz w:val="20"/>
          <w:szCs w:val="20"/>
        </w:rPr>
      </w:pPr>
      <w:bookmarkStart w:colFirst="0" w:colLast="0" w:name="_heading=h.az2v66qkyfpc" w:id="14"/>
      <w:bookmarkEnd w:id="14"/>
      <w:r w:rsidDel="00000000" w:rsidR="00000000" w:rsidRPr="00000000">
        <w:rPr>
          <w:rFonts w:ascii="Cambria" w:cs="Cambria" w:eastAsia="Cambria" w:hAnsi="Cambria"/>
          <w:sz w:val="20"/>
          <w:szCs w:val="20"/>
          <w:rtl w:val="0"/>
        </w:rPr>
        <w:t xml:space="preserve">Tablo 1. Siber dayanıklılık kaynakları ve dinamik yetenek süreçleri</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95"/>
        <w:gridCol w:w="1935"/>
        <w:gridCol w:w="1785"/>
        <w:gridCol w:w="1860"/>
        <w:tblGridChange w:id="0">
          <w:tblGrid>
            <w:gridCol w:w="1605"/>
            <w:gridCol w:w="1695"/>
            <w:gridCol w:w="1935"/>
            <w:gridCol w:w="1785"/>
            <w:gridCol w:w="186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Kaynak alanı</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Sezme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Yakalama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Yeniden yapılandırma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Yönetsel gösterge örnekleri</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Teknoloji mimarisi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Varlık ve bağımlılık görünürlüğü</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Uygun kontrol ve hizmet seçimi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Mimari ve kurtarma düzeninin güncellenmesi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Kritik varlık kapsamı, kurtarma hazırlığı</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İnsan ve kültür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Risk algısı ve olay farkındalığı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Eğitim ve sorumluluk tahsisi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Davranış rutinlerinin güncellenmesi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Eğitim katılımı, tatbikat bulguları</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Yönetişim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Risk sahipliği ve önceliklerin belirlenmesi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Bütçe ve karar mekanizmalarının işletilmesi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 politika ve süreçlerin yeniden düzenlenmesi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Risk karar süresi, politika güncelliği</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Ekosistem iş birliği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Tedarikçi ve sektör bilgisinin izlenmesi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Dış uzmanlık ve ortak kaynakların kullanılması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Tedarikçi portföyü ve sözleşmelerin güncellenmesi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Kritik tedarikçi değerlendirmesi</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Örgütsel öğrenme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Olay ve zayıflık sinyallerinin toplanması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Derslerin eylem planına dönüştürülmesi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Öğrenilenlerin rutinlere gömülmesi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12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Olay sonrası eylem kapanış oranı</w:t>
            </w:r>
          </w:p>
        </w:tc>
      </w:tr>
    </w:tbl>
    <w:p w:rsidR="00000000" w:rsidDel="00000000" w:rsidP="00000000" w:rsidRDefault="00000000" w:rsidRPr="00000000" w14:paraId="00000071">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2">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3">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4">
      <w:pPr>
        <w:spacing w:after="120" w:line="276"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5">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BEYANLAR</w:t>
      </w:r>
    </w:p>
    <w:p w:rsidR="00000000" w:rsidDel="00000000" w:rsidP="00000000" w:rsidRDefault="00000000" w:rsidRPr="00000000" w14:paraId="00000076">
      <w:pPr>
        <w:spacing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Teşekkürler: </w:t>
      </w:r>
      <w:r w:rsidDel="00000000" w:rsidR="00000000" w:rsidRPr="00000000">
        <w:rPr>
          <w:rFonts w:ascii="Cambria" w:cs="Cambria" w:eastAsia="Cambria" w:hAnsi="Cambria"/>
          <w:sz w:val="20"/>
          <w:szCs w:val="20"/>
          <w:rtl w:val="0"/>
        </w:rPr>
        <w:t xml:space="preserve">Aileme teşekkür ederim.</w:t>
      </w:r>
      <w:r w:rsidDel="00000000" w:rsidR="00000000" w:rsidRPr="00000000">
        <w:rPr>
          <w:rtl w:val="0"/>
        </w:rPr>
      </w:r>
    </w:p>
    <w:p w:rsidR="00000000" w:rsidDel="00000000" w:rsidP="00000000" w:rsidRDefault="00000000" w:rsidRPr="00000000" w14:paraId="00000077">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Yazar Katkıları: </w:t>
      </w:r>
      <w:r w:rsidDel="00000000" w:rsidR="00000000" w:rsidRPr="00000000">
        <w:rPr>
          <w:rFonts w:ascii="Cambria" w:cs="Cambria" w:eastAsia="Cambria" w:hAnsi="Cambria"/>
          <w:sz w:val="20"/>
          <w:szCs w:val="20"/>
          <w:rtl w:val="0"/>
        </w:rPr>
        <w:t xml:space="preserve">Kavramsallaştırma, M.Ş. Metodoloji, M.Ş. Doğrulama, M.Ş. Araştırma, M.Ş. Kaynaklar, M.Ş. Veri Düzenleme, M.Ş. Yazım—Orijinal Taslak Hazırlama, M.Ş. Yazım—İnceleme ve Düzenleme, M.Ş. Denetim, M.Ş. Yazar makalenin son halini okumuş ve onaylamıştır.</w:t>
      </w:r>
    </w:p>
    <w:p w:rsidR="00000000" w:rsidDel="00000000" w:rsidP="00000000" w:rsidRDefault="00000000" w:rsidRPr="00000000" w14:paraId="00000078">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Çıkar Çatışması: </w:t>
      </w:r>
      <w:r w:rsidDel="00000000" w:rsidR="00000000" w:rsidRPr="00000000">
        <w:rPr>
          <w:rFonts w:ascii="Cambria" w:cs="Cambria" w:eastAsia="Cambria" w:hAnsi="Cambria"/>
          <w:sz w:val="20"/>
          <w:szCs w:val="20"/>
          <w:rtl w:val="0"/>
        </w:rPr>
        <w:t xml:space="preserve">Y</w:t>
      </w:r>
      <w:r w:rsidDel="00000000" w:rsidR="00000000" w:rsidRPr="00000000">
        <w:rPr>
          <w:rFonts w:ascii="Cambria" w:cs="Cambria" w:eastAsia="Cambria" w:hAnsi="Cambria"/>
          <w:sz w:val="20"/>
          <w:szCs w:val="20"/>
          <w:rtl w:val="0"/>
        </w:rPr>
        <w:t xml:space="preserve">azar çıkar çatışması olmadığını beyan etmektedir.</w:t>
      </w:r>
    </w:p>
    <w:p w:rsidR="00000000" w:rsidDel="00000000" w:rsidP="00000000" w:rsidRDefault="00000000" w:rsidRPr="00000000" w14:paraId="00000079">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Destekleyen Kuruluşlar: </w:t>
      </w:r>
      <w:r w:rsidDel="00000000" w:rsidR="00000000" w:rsidRPr="00000000">
        <w:rPr>
          <w:rFonts w:ascii="Cambria" w:cs="Cambria" w:eastAsia="Cambria" w:hAnsi="Cambria"/>
          <w:sz w:val="20"/>
          <w:szCs w:val="20"/>
          <w:rtl w:val="0"/>
        </w:rPr>
        <w:t xml:space="preserve">Bu araştırma için herhangi bir dış finansman alınmamıştır.</w:t>
      </w:r>
    </w:p>
    <w:p w:rsidR="00000000" w:rsidDel="00000000" w:rsidP="00000000" w:rsidRDefault="00000000" w:rsidRPr="00000000" w14:paraId="0000007A">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Etik Onay: </w:t>
      </w:r>
      <w:r w:rsidDel="00000000" w:rsidR="00000000" w:rsidRPr="00000000">
        <w:rPr>
          <w:rFonts w:ascii="Cambria" w:cs="Cambria" w:eastAsia="Cambria" w:hAnsi="Cambria"/>
          <w:sz w:val="20"/>
          <w:szCs w:val="20"/>
          <w:rtl w:val="0"/>
        </w:rPr>
        <w:t xml:space="preserve">Bu çalışma insan veya hayvan katılımcıları içermemektedir. Tüm prosedürler bilimsel ve etik ilkelere uygun olarak gerçekleştirilmiş olup, atıfta bulunulan tüm çalışmalar uygun şekilde kaynak gösterilmiştir.</w:t>
      </w:r>
    </w:p>
    <w:p w:rsidR="00000000" w:rsidDel="00000000" w:rsidP="00000000" w:rsidRDefault="00000000" w:rsidRPr="00000000" w14:paraId="0000007B">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İntihal Beyanı: </w:t>
      </w:r>
      <w:r w:rsidDel="00000000" w:rsidR="00000000" w:rsidRPr="00000000">
        <w:rPr>
          <w:rFonts w:ascii="Cambria" w:cs="Cambria" w:eastAsia="Cambria" w:hAnsi="Cambria"/>
          <w:sz w:val="20"/>
          <w:szCs w:val="20"/>
          <w:rtl w:val="0"/>
        </w:rPr>
        <w:t xml:space="preserve">Bu makale intihal açısından değerlendirilmiş ve herhangi bir intihal vakası tespit edilmemiştir</w:t>
      </w:r>
    </w:p>
    <w:p w:rsidR="00000000" w:rsidDel="00000000" w:rsidP="00000000" w:rsidRDefault="00000000" w:rsidRPr="00000000" w14:paraId="0000007C">
      <w:pPr>
        <w:spacing w:after="60" w:before="180" w:line="276"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YZ Araçlarının Kullanımı: </w:t>
      </w:r>
      <w:r w:rsidDel="00000000" w:rsidR="00000000" w:rsidRPr="00000000">
        <w:rPr>
          <w:rFonts w:ascii="Cambria" w:cs="Cambria" w:eastAsia="Cambria" w:hAnsi="Cambria"/>
          <w:sz w:val="20"/>
          <w:szCs w:val="20"/>
          <w:rtl w:val="0"/>
        </w:rPr>
        <w:t xml:space="preserve">“Yazar,, bu makalenin hazırlanmasında Yapay Zeka (AI) araçlarının kullanılmadığını beyan etmektedir.</w:t>
      </w:r>
    </w:p>
    <w:p w:rsidR="00000000" w:rsidDel="00000000" w:rsidP="00000000" w:rsidRDefault="00000000" w:rsidRPr="00000000" w14:paraId="0000007D">
      <w:pPr>
        <w:spacing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E">
      <w:pPr>
        <w:spacing w:after="60" w:before="180" w:line="276" w:lineRule="auto"/>
        <w:jc w:val="center"/>
        <w:rPr>
          <w:rFonts w:ascii="Cambria" w:cs="Cambria" w:eastAsia="Cambria" w:hAnsi="Cambria"/>
          <w:b w:val="1"/>
          <w:bCs w:val="1"/>
          <w:smallCaps w:val="1"/>
          <w:color w:val="003a70"/>
          <w:sz w:val="20"/>
          <w:szCs w:val="20"/>
        </w:rPr>
      </w:pPr>
      <w:r w:rsidDel="00000000" w:rsidR="00000000" w:rsidRPr="00000000">
        <w:rPr>
          <w:rFonts w:ascii="Cambria" w:cs="Cambria" w:eastAsia="Cambria" w:hAnsi="Cambria"/>
          <w:b w:val="1"/>
          <w:bCs w:val="1"/>
          <w:smallCaps w:val="1"/>
          <w:color w:val="003a70"/>
          <w:sz w:val="20"/>
          <w:szCs w:val="20"/>
          <w:rtl w:val="0"/>
        </w:rPr>
        <w:t xml:space="preserve">KAYNAKLAR</w:t>
      </w:r>
    </w:p>
    <w:p w:rsidR="00000000" w:rsidDel="00000000" w:rsidP="00000000" w:rsidRDefault="00000000" w:rsidRPr="00000000" w14:paraId="0000007F">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Aljuaidi, R., Alkhowaiter, M., Ayari, M. A., Alsayfi, M. S., Abouelkheir, E. A., Alawad, W. M., &amp; Alnakhli, M. A. (2026). Cyber-resilience drivers in digital business networks: An expert-based prioritization using dual-gray DEMATEL and adaptive SWARA. Frontiers in Artificial Intelligence, 9, 1863919. https://doi.org/10.3389/frai.2026.1863919</w:t>
      </w:r>
    </w:p>
    <w:p w:rsidR="00000000" w:rsidDel="00000000" w:rsidP="00000000" w:rsidRDefault="00000000" w:rsidRPr="00000000" w14:paraId="00000080">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Awan, M., &amp; Alam, A. (2025). Cybersecurity threats and defensive strategies for small and medium firms: A systematic mapping study. Administrative Sciences, 15(12), 481. https://doi.org/10.3390/admsci15120481</w:t>
      </w:r>
    </w:p>
    <w:p w:rsidR="00000000" w:rsidDel="00000000" w:rsidP="00000000" w:rsidRDefault="00000000" w:rsidRPr="00000000" w14:paraId="00000081">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Awolowo, I. F., et al. (2026). Cybersecurity assurance for SMEs: A conceptual framework integrating organizational culture, fraud risk management and forensic accounting. Canadian Journal of Administrative Sciences, 43(1), e70051. https://doi.org/10.1002/cjas.70051</w:t>
      </w:r>
    </w:p>
    <w:p w:rsidR="00000000" w:rsidDel="00000000" w:rsidP="00000000" w:rsidRDefault="00000000" w:rsidRPr="00000000" w14:paraId="00000082">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Bahmanova, A., &amp; Lace, N. (2026a). Modelling cyber resilience in SMEs as a socio-technical system: A systemic approach to adaptive digital risk management. Systems, 14(2), 151. https://doi.org/10.3390/systems14020151</w:t>
      </w:r>
    </w:p>
    <w:p w:rsidR="00000000" w:rsidDel="00000000" w:rsidP="00000000" w:rsidRDefault="00000000" w:rsidRPr="00000000" w14:paraId="00000083">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Bahmanova, A., &amp; Lace, N. (2026b). Key factors shaping collaborative cyber resilience in SMEs through open innovation. Journal of Open Innovation: Technology, Market, and Complexity, 12(1), 100715. https://doi.org/10.1016/j.joitmc.2026.100715</w:t>
      </w:r>
    </w:p>
    <w:p w:rsidR="00000000" w:rsidDel="00000000" w:rsidP="00000000" w:rsidRDefault="00000000" w:rsidRPr="00000000" w14:paraId="00000084">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Haj Mohammadi, B., Sadeghi, V. J., Sukumar, A., &amp; Mmadubuko, M. (2026). Cybersecurity as a dynamic capability: How micro and small social enterprises build digital resilience. Information Systems Frontiers. https://doi.org/10.1007/s10796-026-10718-2</w:t>
      </w:r>
    </w:p>
    <w:p w:rsidR="00000000" w:rsidDel="00000000" w:rsidP="00000000" w:rsidRDefault="00000000" w:rsidRPr="00000000" w14:paraId="00000085">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Mataracıoğlu, T., &amp; Fidancıoğlu, D. (2025). A maturity model proposal for mapping Türkiye’s Information and Communication Security Guide maturity landscape. Siber Güvenlik ve Dijital Ekonomi, 1(2), 102–110.</w:t>
      </w:r>
    </w:p>
    <w:p w:rsidR="00000000" w:rsidDel="00000000" w:rsidP="00000000" w:rsidRDefault="00000000" w:rsidRPr="00000000" w14:paraId="00000086">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Teece, D. J. (2007). Explicating dynamic capabilities: The nature and microfoundations of (sustainable) enterprise performance. Strategic Management Journal, 28(13), 1319–1350. https://doi.org/10.1002/smj.640</w:t>
      </w:r>
    </w:p>
    <w:p w:rsidR="00000000" w:rsidDel="00000000" w:rsidP="00000000" w:rsidRDefault="00000000" w:rsidRPr="00000000" w14:paraId="00000087">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Verhoef, P. C., Broekhuizen, T., Bart, Y., Bhattacharya, A., Dong, J. Q., Fabian, N., &amp; Haenlein, M. (2021). Digital transformation: A multidisciplinary reflection and research agenda. Journal of Business Research, 122, 889–901. https://doi.org/10.1016/j.jbusres.2019.09.022</w:t>
      </w:r>
    </w:p>
    <w:p w:rsidR="00000000" w:rsidDel="00000000" w:rsidP="00000000" w:rsidRDefault="00000000" w:rsidRPr="00000000" w14:paraId="00000088">
      <w:pPr>
        <w:spacing w:after="120" w:line="276" w:lineRule="auto"/>
        <w:ind w:left="800" w:hanging="4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Vial, G. (2019). Understanding digital transformation: A review and a research agenda. The Journal of Strategic Information Systems, 28(2), 118–144. https://doi.org/10.1016/j.jsis.2019.01.003</w:t>
      </w:r>
    </w:p>
    <w:p w:rsidR="00000000" w:rsidDel="00000000" w:rsidP="00000000" w:rsidRDefault="00000000" w:rsidRPr="00000000" w14:paraId="00000089">
      <w:pPr>
        <w:spacing w:line="276" w:lineRule="auto"/>
        <w:ind w:left="1400" w:hanging="70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A">
      <w:pPr>
        <w:spacing w:after="60" w:before="180" w:line="276" w:lineRule="auto"/>
        <w:jc w:val="center"/>
        <w:rPr>
          <w:rFonts w:ascii="Cambria" w:cs="Cambria" w:eastAsia="Cambria" w:hAnsi="Cambria"/>
          <w:color w:val="0000ff"/>
          <w:sz w:val="20"/>
          <w:szCs w:val="20"/>
          <w:u w:val="single"/>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Cambria" w:cs="Cambria" w:eastAsia="Cambria" w:hAnsi="Cambria"/>
          <w:sz w:val="20"/>
          <w:szCs w:val="20"/>
        </w:rPr>
      </w:pPr>
      <w:r w:rsidDel="00000000" w:rsidR="00000000" w:rsidRPr="00000000">
        <w:rPr>
          <w:rtl w:val="0"/>
        </w:rPr>
      </w:r>
    </w:p>
    <w:sectPr>
      <w:headerReference r:id="rId11" w:type="default"/>
      <w:headerReference r:id="rId12" w:type="even"/>
      <w:footerReference r:id="rId13" w:type="default"/>
      <w:footerReference r:id="rId14" w:type="even"/>
      <w:pgSz w:h="16840" w:w="11900" w:orient="portrait"/>
      <w:pgMar w:bottom="1200" w:top="1300" w:left="851" w:right="850" w:header="838" w:footer="10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6660833</wp:posOffset>
              </wp:positionH>
              <wp:positionV relativeFrom="paragraph">
                <wp:posOffset>207473</wp:posOffset>
              </wp:positionV>
              <wp:extent cx="200025" cy="177165"/>
              <wp:effectExtent b="0" l="0" r="0" t="0"/>
              <wp:wrapNone/>
              <wp:docPr id="1942519694" name=""/>
              <a:graphic>
                <a:graphicData uri="http://schemas.microsoft.com/office/word/2010/wordprocessingShape">
                  <wps:wsp>
                    <wps:cNvSpPr/>
                    <wps:cNvPr id="6" name="Shape 6"/>
                    <wps:spPr>
                      <a:xfrm>
                        <a:off x="5250750" y="3696180"/>
                        <a:ext cx="19050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6660833</wp:posOffset>
              </wp:positionH>
              <wp:positionV relativeFrom="paragraph">
                <wp:posOffset>207473</wp:posOffset>
              </wp:positionV>
              <wp:extent cx="200025" cy="177165"/>
              <wp:effectExtent b="0" l="0" r="0" t="0"/>
              <wp:wrapNone/>
              <wp:docPr id="194251969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00025" cy="1771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147772</wp:posOffset>
              </wp:positionH>
              <wp:positionV relativeFrom="paragraph">
                <wp:posOffset>341110</wp:posOffset>
              </wp:positionV>
              <wp:extent cx="265592" cy="264957"/>
              <wp:effectExtent b="0" l="0" r="0" t="0"/>
              <wp:wrapNone/>
              <wp:docPr id="1942519690" name=""/>
              <a:graphic>
                <a:graphicData uri="http://schemas.microsoft.com/office/word/2010/wordprocessingShape">
                  <wps:wsp>
                    <wps:cNvSpPr/>
                    <wps:cNvPr id="2" name="Shape 2"/>
                    <wps:spPr>
                      <a:xfrm>
                        <a:off x="5217967" y="3652284"/>
                        <a:ext cx="256067" cy="25543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147772</wp:posOffset>
              </wp:positionH>
              <wp:positionV relativeFrom="paragraph">
                <wp:posOffset>341110</wp:posOffset>
              </wp:positionV>
              <wp:extent cx="265592" cy="264957"/>
              <wp:effectExtent b="0" l="0" r="0" t="0"/>
              <wp:wrapNone/>
              <wp:docPr id="194251969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5592" cy="26495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 w:lineRule="auto"/>
      <w:ind w:left="141"/>
    </w:pPr>
    <w:rPr>
      <w:b w:val="1"/>
      <w:bCs w:val="1"/>
      <w:sz w:val="24"/>
      <w:szCs w:val="24"/>
    </w:rPr>
  </w:style>
  <w:style w:type="paragraph" w:styleId="Heading2">
    <w:name w:val="heading 2"/>
    <w:basedOn w:val="Normal"/>
    <w:next w:val="Normal"/>
    <w:pPr>
      <w:ind w:left="855" w:hanging="714"/>
      <w:jc w:val="both"/>
    </w:pPr>
    <w:rPr>
      <w:b w:val="1"/>
      <w:bCs w:val="1"/>
      <w:i w:val="1"/>
      <w:i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 w:lineRule="auto"/>
      <w:ind w:left="141" w:right="854"/>
    </w:pPr>
    <w:rPr>
      <w:b w:val="1"/>
      <w:bCs w:val="1"/>
      <w:sz w:val="28"/>
      <w:szCs w:val="2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GvdeMetni">
    <w:name w:val="Body Text"/>
    <w:basedOn w:val="Normal"/>
    <w:link w:val="GvdeMetniChar"/>
    <w:uiPriority w:val="1"/>
    <w:qFormat w:val="1"/>
    <w:rPr>
      <w:sz w:val="24"/>
      <w:szCs w:val="24"/>
    </w:rPr>
  </w:style>
  <w:style w:type="paragraph" w:styleId="ListeParagraf">
    <w:name w:val="List Paragraph"/>
    <w:basedOn w:val="Normal"/>
    <w:uiPriority w:val="1"/>
    <w:qFormat w:val="1"/>
    <w:pPr>
      <w:ind w:left="855" w:hanging="714"/>
      <w:jc w:val="both"/>
    </w:pPr>
  </w:style>
  <w:style w:type="paragraph" w:styleId="TableParagraph" w:customStyle="1">
    <w:name w:val="Table Paragraph"/>
    <w:basedOn w:val="Normal"/>
    <w:uiPriority w:val="1"/>
    <w:qFormat w:val="1"/>
    <w:pPr>
      <w:spacing w:before="11" w:line="194" w:lineRule="exact"/>
      <w:jc w:val="center"/>
    </w:pPr>
  </w:style>
  <w:style w:type="character" w:styleId="Kpr">
    <w:name w:val="Hyperlink"/>
    <w:basedOn w:val="VarsaylanParagrafYazTipi"/>
    <w:uiPriority w:val="99"/>
    <w:unhideWhenUsed w:val="1"/>
    <w:rsid w:val="003F608A"/>
    <w:rPr>
      <w:color w:val="0000ff" w:themeColor="hyperlink"/>
      <w:u w:val="single"/>
    </w:rPr>
  </w:style>
  <w:style w:type="character" w:styleId="zmlenmeyenBahsetme1" w:customStyle="1">
    <w:name w:val="Çözümlenmeyen Bahsetme1"/>
    <w:basedOn w:val="VarsaylanParagrafYazTipi"/>
    <w:uiPriority w:val="99"/>
    <w:semiHidden w:val="1"/>
    <w:unhideWhenUsed w:val="1"/>
    <w:rsid w:val="003F608A"/>
    <w:rPr>
      <w:color w:val="605e5c"/>
      <w:shd w:color="auto" w:fill="e1dfdd" w:val="clear"/>
    </w:rPr>
  </w:style>
  <w:style w:type="paragraph" w:styleId="stBilgi">
    <w:name w:val="header"/>
    <w:basedOn w:val="Normal"/>
    <w:link w:val="stBilgiChar"/>
    <w:uiPriority w:val="99"/>
    <w:unhideWhenUsed w:val="1"/>
    <w:rsid w:val="003F608A"/>
    <w:pPr>
      <w:tabs>
        <w:tab w:val="center" w:pos="4536"/>
        <w:tab w:val="right" w:pos="9072"/>
      </w:tabs>
    </w:pPr>
  </w:style>
  <w:style w:type="character" w:styleId="stBilgiChar" w:customStyle="1">
    <w:name w:val="Üst Bilgi Char"/>
    <w:basedOn w:val="VarsaylanParagrafYazTipi"/>
    <w:link w:val="stBilgi"/>
    <w:uiPriority w:val="99"/>
    <w:rsid w:val="003F608A"/>
    <w:rPr>
      <w:rFonts w:ascii="Times New Roman" w:cs="Times New Roman" w:eastAsia="Times New Roman" w:hAnsi="Times New Roman"/>
    </w:rPr>
  </w:style>
  <w:style w:type="paragraph" w:styleId="AltBilgi">
    <w:name w:val="footer"/>
    <w:basedOn w:val="Normal"/>
    <w:link w:val="AltBilgiChar"/>
    <w:uiPriority w:val="99"/>
    <w:unhideWhenUsed w:val="1"/>
    <w:rsid w:val="003F608A"/>
    <w:pPr>
      <w:tabs>
        <w:tab w:val="center" w:pos="4536"/>
        <w:tab w:val="right" w:pos="9072"/>
      </w:tabs>
    </w:pPr>
  </w:style>
  <w:style w:type="character" w:styleId="AltBilgiChar" w:customStyle="1">
    <w:name w:val="Alt Bilgi Char"/>
    <w:basedOn w:val="VarsaylanParagrafYazTipi"/>
    <w:link w:val="AltBilgi"/>
    <w:uiPriority w:val="99"/>
    <w:rsid w:val="003F608A"/>
    <w:rPr>
      <w:rFonts w:ascii="Times New Roman" w:cs="Times New Roman" w:eastAsia="Times New Roman" w:hAnsi="Times New Roman"/>
    </w:rPr>
  </w:style>
  <w:style w:type="character" w:styleId="zlenenKpr">
    <w:name w:val="FollowedHyperlink"/>
    <w:basedOn w:val="VarsaylanParagrafYazTipi"/>
    <w:uiPriority w:val="99"/>
    <w:semiHidden w:val="1"/>
    <w:unhideWhenUsed w:val="1"/>
    <w:rsid w:val="00B42089"/>
    <w:rPr>
      <w:color w:val="800080" w:themeColor="followedHyperlink"/>
      <w:u w:val="single"/>
    </w:rPr>
  </w:style>
  <w:style w:type="paragraph" w:styleId="DipnotMetni">
    <w:name w:val="footnote text"/>
    <w:basedOn w:val="Normal"/>
    <w:link w:val="DipnotMetniChar"/>
    <w:uiPriority w:val="99"/>
    <w:semiHidden w:val="1"/>
    <w:unhideWhenUsed w:val="1"/>
    <w:rsid w:val="00C441BE"/>
    <w:rPr>
      <w:sz w:val="20"/>
      <w:szCs w:val="20"/>
    </w:rPr>
  </w:style>
  <w:style w:type="character" w:styleId="DipnotMetniChar" w:customStyle="1">
    <w:name w:val="Dipnot Metni Char"/>
    <w:basedOn w:val="VarsaylanParagrafYazTipi"/>
    <w:link w:val="DipnotMetni"/>
    <w:uiPriority w:val="99"/>
    <w:semiHidden w:val="1"/>
    <w:rsid w:val="00C441BE"/>
    <w:rPr>
      <w:rFonts w:ascii="Times New Roman" w:cs="Times New Roman" w:eastAsia="Times New Roman" w:hAnsi="Times New Roman"/>
      <w:sz w:val="20"/>
      <w:szCs w:val="20"/>
    </w:rPr>
  </w:style>
  <w:style w:type="character" w:styleId="DipnotBavurusu">
    <w:name w:val="footnote reference"/>
    <w:basedOn w:val="VarsaylanParagrafYazTipi"/>
    <w:uiPriority w:val="99"/>
    <w:semiHidden w:val="1"/>
    <w:unhideWhenUsed w:val="1"/>
    <w:rsid w:val="00C441BE"/>
    <w:rPr>
      <w:vertAlign w:val="superscript"/>
    </w:rPr>
  </w:style>
  <w:style w:type="character" w:styleId="SayfaNumaras">
    <w:name w:val="page number"/>
    <w:basedOn w:val="VarsaylanParagrafYazTipi"/>
    <w:uiPriority w:val="99"/>
    <w:semiHidden w:val="1"/>
    <w:unhideWhenUsed w:val="1"/>
    <w:rsid w:val="004148A8"/>
  </w:style>
  <w:style w:type="character" w:styleId="zmlenmeyenBahsetme2" w:customStyle="1">
    <w:name w:val="Çözümlenmeyen Bahsetme2"/>
    <w:basedOn w:val="VarsaylanParagrafYazTipi"/>
    <w:uiPriority w:val="99"/>
    <w:semiHidden w:val="1"/>
    <w:unhideWhenUsed w:val="1"/>
    <w:rsid w:val="0018604A"/>
    <w:rPr>
      <w:color w:val="605e5c"/>
      <w:shd w:color="auto" w:fill="e1dfdd" w:val="clear"/>
    </w:rPr>
  </w:style>
  <w:style w:type="character" w:styleId="Vurgu">
    <w:name w:val="Emphasis"/>
    <w:basedOn w:val="VarsaylanParagrafYazTipi"/>
    <w:uiPriority w:val="20"/>
    <w:qFormat w:val="1"/>
    <w:rsid w:val="00ED63FD"/>
    <w:rPr>
      <w:i w:val="1"/>
      <w:iCs w:val="1"/>
    </w:rPr>
  </w:style>
  <w:style w:type="character" w:styleId="GvdeMetniChar" w:customStyle="1">
    <w:name w:val="Gövde Metni Char"/>
    <w:basedOn w:val="VarsaylanParagrafYazTipi"/>
    <w:link w:val="GvdeMetni"/>
    <w:uiPriority w:val="1"/>
    <w:rsid w:val="007A529A"/>
    <w:rPr>
      <w:rFonts w:ascii="Times New Roman" w:cs="Times New Roman" w:eastAsia="Times New Roman" w:hAnsi="Times New Roman"/>
      <w:sz w:val="24"/>
      <w:szCs w:val="24"/>
    </w:rPr>
  </w:style>
  <w:style w:type="character" w:styleId="Balk1Char" w:customStyle="1">
    <w:name w:val="Başlık 1 Char"/>
    <w:basedOn w:val="VarsaylanParagrafYazTipi"/>
    <w:link w:val="Balk1"/>
    <w:uiPriority w:val="9"/>
    <w:rsid w:val="00004595"/>
    <w:rPr>
      <w:rFonts w:ascii="Times New Roman" w:cs="Times New Roman" w:eastAsia="Times New Roman" w:hAnsi="Times New Roman"/>
      <w:b w:val="1"/>
      <w:bCs w:val="1"/>
      <w:sz w:val="24"/>
      <w:szCs w:val="24"/>
    </w:rPr>
  </w:style>
  <w:style w:type="table" w:styleId="TabloKlavuzu">
    <w:name w:val="Table Grid"/>
    <w:basedOn w:val="NormalTablo"/>
    <w:uiPriority w:val="39"/>
    <w:rsid w:val="0080413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ralkYok">
    <w:name w:val="No Spacing"/>
    <w:uiPriority w:val="1"/>
    <w:qFormat w:val="1"/>
    <w:rsid w:val="00496E73"/>
    <w:rPr>
      <w:rFonts w:ascii="Times New Roman" w:cs="Times New Roman" w:eastAsia="Times New Roman" w:hAnsi="Times New Roman"/>
    </w:rPr>
  </w:style>
  <w:style w:type="paragraph" w:styleId="NormalWeb">
    <w:name w:val="Normal (Web)"/>
    <w:basedOn w:val="Normal"/>
    <w:uiPriority w:val="99"/>
    <w:unhideWhenUsed w:val="1"/>
    <w:rsid w:val="007921E7"/>
    <w:pPr>
      <w:widowControl w:val="1"/>
      <w:autoSpaceDE w:val="1"/>
      <w:autoSpaceDN w:val="1"/>
      <w:spacing w:after="100" w:afterAutospacing="1" w:before="100" w:beforeAutospacing="1"/>
    </w:pPr>
    <w:rPr>
      <w:sz w:val="24"/>
      <w:szCs w:val="24"/>
    </w:rPr>
  </w:style>
  <w:style w:type="character" w:styleId="Gl">
    <w:name w:val="Strong"/>
    <w:basedOn w:val="VarsaylanParagrafYazTipi"/>
    <w:uiPriority w:val="22"/>
    <w:qFormat w:val="1"/>
    <w:rsid w:val="007921E7"/>
    <w:rPr>
      <w:b w:val="1"/>
      <w:bCs w:val="1"/>
    </w:rPr>
  </w:style>
  <w:style w:type="paragraph" w:styleId="BalonMetni">
    <w:name w:val="Balloon Text"/>
    <w:basedOn w:val="Normal"/>
    <w:link w:val="BalonMetniChar"/>
    <w:uiPriority w:val="99"/>
    <w:semiHidden w:val="1"/>
    <w:unhideWhenUsed w:val="1"/>
    <w:rsid w:val="00BA2056"/>
    <w:rPr>
      <w:rFonts w:ascii="Segoe UI" w:cs="Segoe UI" w:hAnsi="Segoe UI"/>
      <w:sz w:val="18"/>
      <w:szCs w:val="18"/>
    </w:rPr>
  </w:style>
  <w:style w:type="character" w:styleId="BalonMetniChar" w:customStyle="1">
    <w:name w:val="Balon Metni Char"/>
    <w:basedOn w:val="VarsaylanParagrafYazTipi"/>
    <w:link w:val="BalonMetni"/>
    <w:uiPriority w:val="99"/>
    <w:semiHidden w:val="1"/>
    <w:rsid w:val="00BA2056"/>
    <w:rPr>
      <w:rFonts w:ascii="Segoe UI" w:cs="Segoe UI"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gif"/><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vRHPJP8RBNjo74CaH/jfPTJTw==">CgMxLjAyDmguaThmMjg4cGY3YXVtMg5oLmFtNHZwaHdwaWMzeTIOaC5xZnN2a3o0d3IyaWEyDmgud2pic241aDNnNWdxMg5oLnd1Y2pjd3F2ZmU3ejIOaC5xeXh4cWg0ZWczYjcyDmgucng5ZzZ0aGp2bmp1Mg5oLjJnajhjb3AxaW9zZDIOaC5zd2ExNWY2NXBzYXEyDmguMzRwNDNxYzBreTFoMg5oLjYwMzljcDFsMHNnMDIOaC42OWR2eW5wdWRhcWEyDmguOGJlMGdkazA0aWhlMg5oLmJwOHE4OGQ5OThlYjIOaC5hejJ2NjZxa3lmcGM4AHIhMWlPM2VmSFJHMlBPOFNxWThYN3Y3UVFVZzVYRVBta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2025-12-22T13:16:00Z</dcterms:created>
  <dc:creator>Gokhan RASGELE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Word</vt:lpwstr>
  </property>
  <property fmtid="{D5CDD505-2E9C-101B-9397-08002B2CF9AE}" pid="4" name="LastSaved">
    <vt:filetime>2025-08-21T00:00:00Z</vt:filetime>
  </property>
  <property fmtid="{D5CDD505-2E9C-101B-9397-08002B2CF9AE}" pid="5" name="Producer">
    <vt:lpwstr>macOS Sürüm 15.4.1 (Geliştirme 24E263) Quartz PDFContext</vt:lpwstr>
  </property>
  <property fmtid="{D5CDD505-2E9C-101B-9397-08002B2CF9AE}" pid="6" name="GrammarlyDocumentId">
    <vt:lpwstr>fd1962cf-1ba4-4c7e-8f38-866f4e9231aa</vt:lpwstr>
  </property>
</Properties>
</file>