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Week 4 Prepare</w:t>
      </w:r>
    </w:p>
    <w:p>
      <w:pPr>
        <w:spacing w:before="240" w:after="80" w:line="312" w:lineRule="auto"/>
      </w:pPr>
      <w:r>
        <w:rPr>
          <w:rFonts w:ascii="Calibri" w:hAnsi="Calibri" w:cs="Calibri" w:eastAsia="PingFang SC"/>
          <w:b/>
          <w:color w:val="3D3A33"/>
          <w:sz w:val="32"/>
          <w:szCs w:val="32"/>
        </w:rPr>
        <w:t xml:space="preserve">Scenario 1: WestConnex Motorway, Australia</w:t>
      </w:r>
    </w:p>
    <w:p>
      <w:pPr>
        <w:spacing w:before="240" w:after="80" w:line="312" w:lineRule="auto"/>
      </w:pPr>
      <w:r>
        <w:rPr>
          <w:rFonts w:ascii="Calibri" w:hAnsi="Calibri" w:cs="Calibri" w:eastAsia="PingFang SC"/>
          <w:b/>
          <w:color w:val="C96442"/>
          <w:sz w:val="26"/>
          <w:szCs w:val="26"/>
        </w:rPr>
        <w:t xml:space="preserve">Agtivity 1-Behaviour Over Time Graph</w:t>
      </w:r>
    </w:p>
    <w:p>
      <w:pPr>
        <w:spacing w:before="0" w:after="160" w:line="312" w:lineRule="auto"/>
      </w:pPr>
      <w:r>
        <w:rPr>
          <w:rFonts w:ascii="Calibri" w:hAnsi="Calibri" w:cs="Calibri" w:eastAsia="PingFang SC"/>
          <w:color w:val="3D3A33"/>
          <w:sz w:val="22"/>
          <w:szCs w:val="22"/>
        </w:rPr>
        <w:t xml:space="preserve">At launch, WestConnex was presented as a major motorway network costing approximately A 10billion Earlybusiness — caseestimates were approximately -         </w:t>
      </w:r>
      <w:r>
        <w:rPr>
          <w:rFonts w:ascii="Calibri" w:hAnsi="Calibri" w:cs="Calibri" w:eastAsia="PingFang SC"/>
          <w:b/>
          <w:color w:val="3D3A33"/>
          <w:sz w:val="22"/>
          <w:szCs w:val="22"/>
        </w:rPr>
        <w:t xml:space="preserve">A$11-11.5 billion</w:t>
      </w:r>
      <w:r>
        <w:rPr>
          <w:rFonts w:ascii="Calibri" w:hAnsi="Calibri" w:cs="Calibri" w:eastAsia="PingFang SC"/>
          <w:color w:val="3D3A33"/>
          <w:sz w:val="22"/>
          <w:szCs w:val="22"/>
        </w:rPr>
        <w:t xml:space="preserve">, with a roughly ten-year delivery program. Later estimates increased to approximately</w:t>
      </w:r>
      <w:r>
        <w:rPr>
          <w:rFonts w:ascii="Calibri" w:hAnsi="Calibri" w:cs="Calibri" w:eastAsia="PingFang SC"/>
          <w:b/>
          <w:color w:val="3D3A33"/>
          <w:sz w:val="22"/>
          <w:szCs w:val="22"/>
        </w:rPr>
        <w:t xml:space="preserve"> A$16.8-17 billion</w:t>
      </w:r>
      <w:r>
        <w:rPr>
          <w:rFonts w:ascii="Calibri" w:hAnsi="Calibri" w:cs="Calibri" w:eastAsia="PingFang SC"/>
          <w:color w:val="3D3A33"/>
          <w:sz w:val="22"/>
          <w:szCs w:val="22"/>
        </w:rPr>
        <w:t xml:space="preserve">, excluding some additional network-integration works.The network opened in stages, with the final Rozelle Interchange opening in November 2023.</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Year</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Planned comulative completion</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Illustrative actual completion</w:t>
            </w:r>
          </w:p>
        </w:tc>
      </w:tr>
      <w:tr>
        <w:tc>
          <w:tcPr>
            <w:tcW w:w="3120" w:type="dxa"/>
          </w:tcPr>
          <w:p>
            <w:pPr>
              <w:spacing w:before="0" w:after="0" w:line="312" w:lineRule="auto"/>
            </w:pPr>
            <w:r>
              <w:rPr>
                <w:rFonts w:ascii="Calibri" w:hAnsi="Calibri" w:cs="Calibri" w:eastAsia="PingFang SC"/>
                <w:color w:val="3D3A33"/>
                <w:sz w:val="22"/>
                <w:szCs w:val="22"/>
              </w:rPr>
              <w:t xml:space="preserve">2012</w:t>
            </w:r>
          </w:p>
        </w:tc>
        <w:tc>
          <w:tcPr>
            <w:tcW w:w="3120" w:type="dxa"/>
          </w:tcPr>
          <w:p>
            <w:pPr>
              <w:spacing w:before="0" w:after="0" w:line="312" w:lineRule="auto"/>
            </w:pPr>
            <w:r>
              <w:rPr>
                <w:rFonts w:ascii="Calibri" w:hAnsi="Calibri" w:cs="Calibri" w:eastAsia="PingFang SC"/>
                <w:color w:val="3D3A33"/>
                <w:sz w:val="22"/>
                <w:szCs w:val="22"/>
              </w:rPr>
              <w:t xml:space="preserve">0%</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2015</w:t>
            </w:r>
          </w:p>
        </w:tc>
        <w:tc>
          <w:tcPr>
            <w:tcW w:w="3120" w:type="dxa"/>
          </w:tcPr>
          <w:p>
            <w:pPr>
              <w:spacing w:before="0" w:after="0" w:line="312" w:lineRule="auto"/>
            </w:pPr>
            <w:r>
              <w:rPr>
                <w:rFonts w:ascii="Calibri" w:hAnsi="Calibri" w:cs="Calibri" w:eastAsia="PingFang SC"/>
                <w:color w:val="3D3A33"/>
                <w:sz w:val="22"/>
                <w:szCs w:val="22"/>
              </w:rPr>
              <w:t xml:space="preserve">15%</w:t>
            </w:r>
          </w:p>
        </w:tc>
        <w:tc>
          <w:tcPr>
            <w:tcW w:w="3120" w:type="dxa"/>
          </w:tcPr>
          <w:p>
            <w:pPr>
              <w:spacing w:before="0" w:after="0" w:line="312" w:lineRule="auto"/>
            </w:pPr>
            <w:r>
              <w:rPr>
                <w:rFonts w:ascii="Calibri" w:hAnsi="Calibri" w:cs="Calibri" w:eastAsia="PingFang SC"/>
                <w:color w:val="3D3A33"/>
                <w:sz w:val="22"/>
                <w:szCs w:val="22"/>
              </w:rPr>
              <w:t xml:space="preserve">10%</w:t>
            </w:r>
          </w:p>
        </w:tc>
      </w:tr>
      <w:tr>
        <w:tc>
          <w:tcPr>
            <w:tcW w:w="3120" w:type="dxa"/>
          </w:tcPr>
          <w:p>
            <w:pPr>
              <w:spacing w:before="0" w:after="0" w:line="312" w:lineRule="auto"/>
            </w:pPr>
            <w:r>
              <w:rPr>
                <w:rFonts w:ascii="Calibri" w:hAnsi="Calibri" w:cs="Calibri" w:eastAsia="PingFang SC"/>
                <w:color w:val="3D3A33"/>
                <w:sz w:val="22"/>
                <w:szCs w:val="22"/>
              </w:rPr>
              <w:t xml:space="preserve">2017</w:t>
            </w:r>
          </w:p>
        </w:tc>
        <w:tc>
          <w:tcPr>
            <w:tcW w:w="3120" w:type="dxa"/>
          </w:tcPr>
          <w:p>
            <w:pPr>
              <w:spacing w:before="0" w:after="0" w:line="312" w:lineRule="auto"/>
            </w:pPr>
            <w:r>
              <w:rPr>
                <w:rFonts w:ascii="Calibri" w:hAnsi="Calibri" w:cs="Calibri" w:eastAsia="PingFang SC"/>
                <w:color w:val="3D3A33"/>
                <w:sz w:val="22"/>
                <w:szCs w:val="22"/>
              </w:rPr>
              <w:t xml:space="preserve">35%</w:t>
            </w:r>
          </w:p>
        </w:tc>
        <w:tc>
          <w:tcPr>
            <w:tcW w:w="3120" w:type="dxa"/>
          </w:tcPr>
          <w:p>
            <w:pPr>
              <w:spacing w:before="0" w:after="0" w:line="312" w:lineRule="auto"/>
            </w:pPr>
            <w:r>
              <w:rPr>
                <w:rFonts w:ascii="Calibri" w:hAnsi="Calibri" w:cs="Calibri" w:eastAsia="PingFang SC"/>
                <w:color w:val="3D3A33"/>
                <w:sz w:val="22"/>
                <w:szCs w:val="22"/>
              </w:rPr>
              <w:t xml:space="preserve">25%</w:t>
            </w:r>
          </w:p>
        </w:tc>
      </w:tr>
      <w:tr>
        <w:tc>
          <w:tcPr>
            <w:tcW w:w="3120" w:type="dxa"/>
          </w:tcPr>
          <w:p>
            <w:pPr>
              <w:spacing w:before="0" w:after="0" w:line="312" w:lineRule="auto"/>
            </w:pPr>
            <w:r>
              <w:rPr>
                <w:rFonts w:ascii="Calibri" w:hAnsi="Calibri" w:cs="Calibri" w:eastAsia="PingFang SC"/>
                <w:color w:val="3D3A33"/>
                <w:sz w:val="22"/>
                <w:szCs w:val="22"/>
              </w:rPr>
              <w:t xml:space="preserve">2019</w:t>
            </w:r>
          </w:p>
        </w:tc>
        <w:tc>
          <w:tcPr>
            <w:tcW w:w="3120" w:type="dxa"/>
          </w:tcPr>
          <w:p>
            <w:pPr>
              <w:spacing w:before="0" w:after="0" w:line="312" w:lineRule="auto"/>
            </w:pPr>
            <w:r>
              <w:rPr>
                <w:rFonts w:ascii="Calibri" w:hAnsi="Calibri" w:cs="Calibri" w:eastAsia="PingFang SC"/>
                <w:color w:val="3D3A33"/>
                <w:sz w:val="22"/>
                <w:szCs w:val="22"/>
              </w:rPr>
              <w:t xml:space="preserve">60%</w:t>
            </w:r>
          </w:p>
        </w:tc>
        <w:tc>
          <w:tcPr>
            <w:tcW w:w="3120" w:type="dxa"/>
          </w:tcPr>
          <w:p>
            <w:pPr>
              <w:spacing w:before="0" w:after="0" w:line="312" w:lineRule="auto"/>
            </w:pPr>
            <w:r>
              <w:rPr>
                <w:rFonts w:ascii="Calibri" w:hAnsi="Calibri" w:cs="Calibri" w:eastAsia="PingFang SC"/>
                <w:color w:val="3D3A33"/>
                <w:sz w:val="22"/>
                <w:szCs w:val="22"/>
              </w:rPr>
              <w:t xml:space="preserve">45%</w:t>
            </w:r>
          </w:p>
        </w:tc>
      </w:tr>
      <w:tr>
        <w:tc>
          <w:tcPr>
            <w:tcW w:w="3120" w:type="dxa"/>
          </w:tcPr>
          <w:p>
            <w:pPr>
              <w:spacing w:before="0" w:after="0" w:line="312" w:lineRule="auto"/>
            </w:pPr>
            <w:r>
              <w:rPr>
                <w:rFonts w:ascii="Calibri" w:hAnsi="Calibri" w:cs="Calibri" w:eastAsia="PingFang SC"/>
                <w:color w:val="3D3A33"/>
                <w:sz w:val="22"/>
                <w:szCs w:val="22"/>
              </w:rPr>
              <w:t xml:space="preserve">2021</w:t>
            </w:r>
          </w:p>
        </w:tc>
        <w:tc>
          <w:tcPr>
            <w:tcW w:w="3120" w:type="dxa"/>
          </w:tcPr>
          <w:p>
            <w:pPr>
              <w:spacing w:before="0" w:after="0" w:line="312" w:lineRule="auto"/>
            </w:pPr>
            <w:r>
              <w:rPr>
                <w:rFonts w:ascii="Calibri" w:hAnsi="Calibri" w:cs="Calibri" w:eastAsia="PingFang SC"/>
                <w:color w:val="3D3A33"/>
                <w:sz w:val="22"/>
                <w:szCs w:val="22"/>
              </w:rPr>
              <w:t xml:space="preserve">80%</w:t>
            </w:r>
          </w:p>
        </w:tc>
        <w:tc>
          <w:tcPr>
            <w:tcW w:w="3120" w:type="dxa"/>
          </w:tcPr>
          <w:p>
            <w:pPr>
              <w:spacing w:before="0" w:after="0" w:line="312" w:lineRule="auto"/>
            </w:pPr>
            <w:r>
              <w:rPr>
                <w:rFonts w:ascii="Calibri" w:hAnsi="Calibri" w:cs="Calibri" w:eastAsia="PingFang SC"/>
                <w:color w:val="3D3A33"/>
                <w:sz w:val="22"/>
                <w:szCs w:val="22"/>
              </w:rPr>
              <w:t xml:space="preserve">68%</w:t>
            </w:r>
          </w:p>
        </w:tc>
      </w:tr>
      <w:tr>
        <w:tc>
          <w:tcPr>
            <w:tcW w:w="3120" w:type="dxa"/>
          </w:tcPr>
          <w:p>
            <w:pPr>
              <w:spacing w:before="0" w:after="0" w:line="312" w:lineRule="auto"/>
            </w:pPr>
            <w:r>
              <w:rPr>
                <w:rFonts w:ascii="Calibri" w:hAnsi="Calibri" w:cs="Calibri" w:eastAsia="PingFang SC"/>
                <w:color w:val="3D3A33"/>
                <w:sz w:val="22"/>
                <w:szCs w:val="22"/>
              </w:rPr>
              <w:t xml:space="preserve">2023</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100%</w:t>
            </w:r>
          </w:p>
        </w:tc>
      </w:tr>
    </w:tbl>
    <w:p>
      <w:pPr>
        <w:spacing w:before="0" w:after="160" w:line="312" w:lineRule="auto"/>
      </w:pPr>
      <w:r>
        <w:rPr>
          <w:rFonts w:ascii="Calibri" w:hAnsi="Calibri" w:cs="Calibri" w:eastAsia="PingFang SC"/>
          <w:color w:val="3D3A33"/>
          <w:sz w:val="22"/>
          <w:szCs w:val="22"/>
        </w:rPr>
        <w:t xml:space="preserve">The planned line would normally be S-shaped: a slow start during design and approvals, rapid progress during construction, and a slower final stage during testing and integration. The actual line would initially follow the plan but begin to fall behind around 2014–2015, when scope, design, funding and delivery arrangements changed. The gap would then widen because tunnelling, property acquisition and network integration were highly interdependent.</w:t>
      </w:r>
    </w:p>
    <w:p>
      <w:pPr>
        <w:spacing w:before="0" w:after="160" w:line="312" w:lineRule="auto"/>
      </w:pPr>
      <w:r>
        <w:rPr>
          <w:rFonts w:ascii="Calibri" w:hAnsi="Calibri" w:cs="Calibri" w:eastAsia="PingFang SC"/>
          <w:color w:val="3D3A33"/>
          <w:sz w:val="22"/>
          <w:szCs w:val="22"/>
        </w:rPr>
        <w:t xml:space="preserve">The most important feature is not simply that the final network opened in 2023. It is that the project’s cost and scope expanded significantly while delivery became more complicated and staged.</w:t>
      </w:r>
    </w:p>
    <w:p>
      <w:pPr>
        <w:spacing w:before="240" w:after="80" w:line="312" w:lineRule="auto"/>
      </w:pPr>
      <w:r>
        <w:rPr>
          <w:rFonts w:ascii="Calibri" w:hAnsi="Calibri" w:cs="Calibri" w:eastAsia="PingFang SC"/>
          <w:b/>
          <w:color w:val="C96442"/>
          <w:sz w:val="26"/>
          <w:szCs w:val="26"/>
        </w:rPr>
        <w:t xml:space="preserve">Activity 2 — The Rework Cycle</w:t>
      </w:r>
    </w:p>
    <w:p>
      <w:pPr>
        <w:spacing w:before="0" w:after="160" w:line="312" w:lineRule="auto"/>
      </w:pPr>
      <w:r>
        <w:rPr>
          <w:rFonts w:ascii="Calibri" w:hAnsi="Calibri" w:cs="Calibri" w:eastAsia="PingFang SC"/>
          <w:color w:val="3D3A33"/>
          <w:sz w:val="22"/>
          <w:szCs w:val="22"/>
        </w:rPr>
        <w:t xml:space="preserve">The flow of planned work into work in progress was slowed by: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environmental approvals and community opposition;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property acquisition and relocation disputes;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difficult urban tunnelling conditions;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utility relocation and traffic-management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changes to scope and network connections;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coordination between government, contractors and concession partners.</w:t>
      </w:r>
    </w:p>
    <w:p>
      <w:pPr>
        <w:spacing w:before="0" w:after="160" w:line="312" w:lineRule="auto"/>
      </w:pPr>
      <w:r>
        <w:rPr>
          <w:rFonts w:ascii="Calibri" w:hAnsi="Calibri" w:cs="Calibri" w:eastAsia="PingFang SC"/>
          <w:color w:val="3D3A33"/>
          <w:sz w:val="22"/>
          <w:szCs w:val="22"/>
        </w:rPr>
        <w:t xml:space="preserve">A simple rework cycle is:</w:t>
      </w:r>
    </w:p>
    <w:p>
      <w:pPr>
        <w:spacing w:before="0" w:after="160" w:line="312" w:lineRule="auto"/>
      </w:pPr>
      <w:r>
        <w:rPr>
          <w:rFonts w:ascii="Calibri" w:hAnsi="Calibri" w:cs="Calibri" w:eastAsia="PingFang SC"/>
          <w:b/>
          <w:color w:val="3D3A33"/>
          <w:sz w:val="22"/>
          <w:szCs w:val="22"/>
        </w:rPr>
        <w:t xml:space="preserve">Planned work → Work in progress → Completed work</w:t>
      </w:r>
    </w:p>
    <w:p>
      <w:pPr>
        <w:spacing w:before="0" w:after="160" w:line="312" w:lineRule="auto"/>
      </w:pPr>
      <w:r>
        <w:rPr>
          <w:rFonts w:ascii="Calibri" w:hAnsi="Calibri" w:cs="Calibri" w:eastAsia="PingFang SC"/>
          <w:b/>
          <w:color w:val="3D3A33"/>
          <w:sz w:val="22"/>
          <w:szCs w:val="22"/>
        </w:rPr>
        <w:t xml:space="preserve">Completed-looking work → defects/design changes → rework → Work in progress</w:t>
      </w:r>
    </w:p>
    <w:p>
      <w:pPr>
        <w:spacing w:before="0" w:after="160" w:line="312" w:lineRule="auto"/>
      </w:pPr>
      <w:r>
        <w:rPr>
          <w:rFonts w:ascii="Calibri" w:hAnsi="Calibri" w:cs="Calibri" w:eastAsia="PingFang SC"/>
          <w:color w:val="3D3A33"/>
          <w:sz w:val="22"/>
          <w:szCs w:val="22"/>
        </w:rPr>
        <w:t xml:space="preserve">For WestConnex, work that appeared complete could return to rework when tunnel interfaces, road connections, utilities or safety requirements did not integrate correctly. Design changes could also require redesign, demolition, reconstruction or retesting.</w:t>
      </w:r>
    </w:p>
    <w:p>
      <w:pPr>
        <w:spacing w:before="0" w:after="160" w:line="312" w:lineRule="auto"/>
      </w:pPr>
      <w:r>
        <w:rPr>
          <w:rFonts w:ascii="Calibri" w:hAnsi="Calibri" w:cs="Calibri" w:eastAsia="PingFang SC"/>
          <w:color w:val="3D3A33"/>
          <w:sz w:val="22"/>
          <w:szCs w:val="22"/>
        </w:rPr>
        <w:t xml:space="preserve">Rework reduced the project’s effective completion rate because crews were spending time correcting previous work instead of producing new accepted work. This increased work in progress and extended the schedule.</w:t>
      </w:r>
    </w:p>
    <w:p>
      <w:pPr>
        <w:spacing w:before="0" w:after="160" w:line="312" w:lineRule="auto"/>
      </w:pPr>
      <w:r>
        <w:rPr>
          <w:rFonts w:ascii="Calibri" w:hAnsi="Calibri" w:cs="Calibri" w:eastAsia="PingFang SC"/>
          <w:color w:val="3D3A33"/>
          <w:sz w:val="22"/>
          <w:szCs w:val="22"/>
        </w:rPr>
        <w:t xml:space="preserve">Adding more staff or contractors could increase output only when tasks were independent and properly prepared. In tightly connected tunnel works, extra crews could create: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handovers and communication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congestion in restricted work areas;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additional supervision and safety demands;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chances for interface errors.</w:t>
      </w:r>
    </w:p>
    <w:p>
      <w:pPr>
        <w:spacing w:before="0" w:after="160" w:line="312" w:lineRule="auto"/>
      </w:pPr>
      <w:r>
        <w:rPr>
          <w:rFonts w:ascii="Calibri" w:hAnsi="Calibri" w:cs="Calibri" w:eastAsia="PingFang SC"/>
          <w:color w:val="3D3A33"/>
          <w:sz w:val="22"/>
          <w:szCs w:val="22"/>
        </w:rPr>
        <w:t xml:space="preserve">This illustrates </w:t>
      </w:r>
      <w:r>
        <w:rPr>
          <w:rFonts w:ascii="Calibri" w:hAnsi="Calibri" w:cs="Calibri" w:eastAsia="PingFang SC"/>
          <w:b/>
          <w:color w:val="3D3A33"/>
          <w:sz w:val="22"/>
          <w:szCs w:val="22"/>
        </w:rPr>
        <w:t xml:space="preserve">Brooks’s Law</w:t>
      </w:r>
      <w:r>
        <w:rPr>
          <w:rFonts w:ascii="Calibri" w:hAnsi="Calibri" w:cs="Calibri" w:eastAsia="PingFang SC"/>
          <w:color w:val="3D3A33"/>
          <w:sz w:val="22"/>
          <w:szCs w:val="22"/>
        </w:rPr>
        <w:t xml:space="preserve">: adding manpower to a late project can initially make it later. The principle comes from software development, so it is not a literal motorway rule, but the same systems effect can occur in complex construction projects. Targeted specialists may help, but simply increasing headcount does not remove design uncertainty, approval delays or coordination bottlenecks.</w:t>
      </w:r>
    </w:p>
    <w:p>
      <w:pPr>
        <w:spacing w:before="240" w:after="80" w:line="312" w:lineRule="auto"/>
      </w:pPr>
      <w:r>
        <w:rPr>
          <w:rFonts w:ascii="Calibri" w:hAnsi="Calibri" w:cs="Calibri" w:eastAsia="PingFang SC"/>
          <w:b/>
          <w:color w:val="3D3A33"/>
          <w:sz w:val="32"/>
          <w:szCs w:val="32"/>
        </w:rPr>
        <w:t xml:space="preserve">Scenario 2: Jakarta–Bandung High-Speed Rail, Indonesia</w:t>
      </w:r>
    </w:p>
    <w:p>
      <w:pPr>
        <w:spacing w:before="240" w:after="80" w:line="312" w:lineRule="auto"/>
      </w:pPr>
      <w:r>
        <w:rPr>
          <w:rFonts w:ascii="Calibri" w:hAnsi="Calibri" w:cs="Calibri" w:eastAsia="PingFang SC"/>
          <w:b/>
          <w:color w:val="C96442"/>
          <w:sz w:val="26"/>
          <w:szCs w:val="26"/>
        </w:rPr>
        <w:t xml:space="preserve">Activity 1 — Behaviour Over Time Graph</w:t>
      </w:r>
    </w:p>
    <w:p>
      <w:pPr>
        <w:spacing w:before="0" w:after="160" w:line="312" w:lineRule="auto"/>
      </w:pPr>
      <w:r>
        <w:rPr>
          <w:rFonts w:ascii="Calibri" w:hAnsi="Calibri" w:cs="Calibri" w:eastAsia="PingFang SC"/>
          <w:color w:val="3D3A33"/>
          <w:sz w:val="22"/>
          <w:szCs w:val="22"/>
        </w:rPr>
        <w:t xml:space="preserve">The project agreement was reached in 2015, construction began in 2016, and the railway was originally expected to operate in 2019. The planned cost was approximately US$5.5–6 billion, although reported figures vary depending on the exchange rate and cost baseline.</w:t>
      </w:r>
    </w:p>
    <w:p>
      <w:pPr>
        <w:spacing w:before="0" w:after="160" w:line="312" w:lineRule="auto"/>
      </w:pPr>
      <w:r>
        <w:rPr>
          <w:rFonts w:ascii="Calibri" w:hAnsi="Calibri" w:cs="Calibri" w:eastAsia="PingFang SC"/>
          <w:color w:val="3D3A33"/>
          <w:sz w:val="22"/>
          <w:szCs w:val="22"/>
        </w:rPr>
        <w:t xml:space="preserve">The railway opened commercially in October 2023. The final reported cost was approximately</w:t>
      </w:r>
      <w:r>
        <w:rPr>
          <w:rFonts w:ascii="Calibri" w:hAnsi="Calibri" w:cs="Calibri" w:eastAsia="PingFang SC"/>
          <w:b/>
          <w:color w:val="3D3A33"/>
          <w:sz w:val="22"/>
          <w:szCs w:val="22"/>
        </w:rPr>
        <w:t xml:space="preserve"> US$7.3-8billion</w:t>
      </w:r>
      <w:r>
        <w:rPr>
          <w:rFonts w:ascii="Calibri" w:hAnsi="Calibri" w:cs="Calibri" w:eastAsia="PingFang SC"/>
          <w:color w:val="3D3A33"/>
          <w:sz w:val="22"/>
          <w:szCs w:val="22"/>
        </w:rPr>
        <w:t xml:space="preserve">, representing an over run of about,</w:t>
      </w:r>
      <w:r>
        <w:rPr>
          <w:rFonts w:ascii="Calibri" w:hAnsi="Calibri" w:cs="Calibri" w:eastAsia="PingFang SC"/>
          <w:b/>
          <w:color w:val="3D3A33"/>
          <w:sz w:val="22"/>
          <w:szCs w:val="22"/>
        </w:rPr>
        <w:t xml:space="preserve"> US$1.2 billion</w:t>
      </w:r>
      <w:r>
        <w:rPr>
          <w:rFonts w:ascii="Calibri" w:hAnsi="Calibri" w:cs="Calibri" w:eastAsia="PingFang SC"/>
          <w:color w:val="3D3A33"/>
          <w:sz w:val="22"/>
          <w:szCs w:val="22"/>
        </w:rPr>
        <w:t xml:space="preserve"> compared with earlier estimates.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Year</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Planned comulative completion</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Illustrative actual completion</w:t>
            </w:r>
          </w:p>
        </w:tc>
      </w:tr>
      <w:tr>
        <w:tc>
          <w:tcPr>
            <w:tcW w:w="3120" w:type="dxa"/>
          </w:tcPr>
          <w:p>
            <w:pPr>
              <w:spacing w:before="0" w:after="0" w:line="312" w:lineRule="auto"/>
            </w:pPr>
            <w:r>
              <w:rPr>
                <w:rFonts w:ascii="Calibri" w:hAnsi="Calibri" w:cs="Calibri" w:eastAsia="PingFang SC"/>
                <w:color w:val="3D3A33"/>
                <w:sz w:val="22"/>
                <w:szCs w:val="22"/>
              </w:rPr>
              <w:t xml:space="preserve">2015</w:t>
            </w:r>
          </w:p>
        </w:tc>
        <w:tc>
          <w:tcPr>
            <w:tcW w:w="3120" w:type="dxa"/>
          </w:tcPr>
          <w:p>
            <w:pPr>
              <w:spacing w:before="0" w:after="0" w:line="312" w:lineRule="auto"/>
            </w:pPr>
            <w:r>
              <w:rPr>
                <w:rFonts w:ascii="Calibri" w:hAnsi="Calibri" w:cs="Calibri" w:eastAsia="PingFang SC"/>
                <w:color w:val="3D3A33"/>
                <w:sz w:val="22"/>
                <w:szCs w:val="22"/>
              </w:rPr>
              <w:t xml:space="preserve">0%</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2016</w:t>
            </w:r>
          </w:p>
        </w:tc>
        <w:tc>
          <w:tcPr>
            <w:tcW w:w="3120" w:type="dxa"/>
          </w:tcPr>
          <w:p>
            <w:pPr>
              <w:spacing w:before="0" w:after="0" w:line="312" w:lineRule="auto"/>
            </w:pPr>
            <w:r>
              <w:rPr>
                <w:rFonts w:ascii="Calibri" w:hAnsi="Calibri" w:cs="Calibri" w:eastAsia="PingFang SC"/>
                <w:color w:val="3D3A33"/>
                <w:sz w:val="22"/>
                <w:szCs w:val="22"/>
              </w:rPr>
              <w:t xml:space="preserve">15%</w:t>
            </w:r>
          </w:p>
        </w:tc>
        <w:tc>
          <w:tcPr>
            <w:tcW w:w="3120" w:type="dxa"/>
          </w:tcPr>
          <w:p>
            <w:pPr>
              <w:spacing w:before="0" w:after="0" w:line="312" w:lineRule="auto"/>
            </w:pPr>
            <w:r>
              <w:rPr>
                <w:rFonts w:ascii="Calibri" w:hAnsi="Calibri" w:cs="Calibri" w:eastAsia="PingFang SC"/>
                <w:color w:val="3D3A33"/>
                <w:sz w:val="22"/>
                <w:szCs w:val="22"/>
              </w:rPr>
              <w:t xml:space="preserve">10%</w:t>
            </w:r>
          </w:p>
        </w:tc>
      </w:tr>
      <w:tr>
        <w:tc>
          <w:tcPr>
            <w:tcW w:w="3120" w:type="dxa"/>
          </w:tcPr>
          <w:p>
            <w:pPr>
              <w:spacing w:before="0" w:after="0" w:line="312" w:lineRule="auto"/>
            </w:pPr>
            <w:r>
              <w:rPr>
                <w:rFonts w:ascii="Calibri" w:hAnsi="Calibri" w:cs="Calibri" w:eastAsia="PingFang SC"/>
                <w:color w:val="3D3A33"/>
                <w:sz w:val="22"/>
                <w:szCs w:val="22"/>
              </w:rPr>
              <w:t xml:space="preserve">2017</w:t>
            </w:r>
          </w:p>
        </w:tc>
        <w:tc>
          <w:tcPr>
            <w:tcW w:w="3120" w:type="dxa"/>
          </w:tcPr>
          <w:p>
            <w:pPr>
              <w:spacing w:before="0" w:after="0" w:line="312" w:lineRule="auto"/>
            </w:pPr>
            <w:r>
              <w:rPr>
                <w:rFonts w:ascii="Calibri" w:hAnsi="Calibri" w:cs="Calibri" w:eastAsia="PingFang SC"/>
                <w:color w:val="3D3A33"/>
                <w:sz w:val="22"/>
                <w:szCs w:val="22"/>
              </w:rPr>
              <w:t xml:space="preserve">40%</w:t>
            </w:r>
          </w:p>
        </w:tc>
        <w:tc>
          <w:tcPr>
            <w:tcW w:w="3120" w:type="dxa"/>
          </w:tcPr>
          <w:p>
            <w:pPr>
              <w:spacing w:before="0" w:after="0" w:line="312" w:lineRule="auto"/>
            </w:pPr>
            <w:r>
              <w:rPr>
                <w:rFonts w:ascii="Calibri" w:hAnsi="Calibri" w:cs="Calibri" w:eastAsia="PingFang SC"/>
                <w:color w:val="3D3A33"/>
                <w:sz w:val="22"/>
                <w:szCs w:val="22"/>
              </w:rPr>
              <w:t xml:space="preserve">22%</w:t>
            </w:r>
          </w:p>
        </w:tc>
      </w:tr>
      <w:tr>
        <w:tc>
          <w:tcPr>
            <w:tcW w:w="3120" w:type="dxa"/>
          </w:tcPr>
          <w:p>
            <w:pPr>
              <w:spacing w:before="0" w:after="0" w:line="312" w:lineRule="auto"/>
            </w:pPr>
            <w:r>
              <w:rPr>
                <w:rFonts w:ascii="Calibri" w:hAnsi="Calibri" w:cs="Calibri" w:eastAsia="PingFang SC"/>
                <w:color w:val="3D3A33"/>
                <w:sz w:val="22"/>
                <w:szCs w:val="22"/>
              </w:rPr>
              <w:t xml:space="preserve">2018</w:t>
            </w:r>
          </w:p>
        </w:tc>
        <w:tc>
          <w:tcPr>
            <w:tcW w:w="3120" w:type="dxa"/>
          </w:tcPr>
          <w:p>
            <w:pPr>
              <w:spacing w:before="0" w:after="0" w:line="312" w:lineRule="auto"/>
            </w:pPr>
            <w:r>
              <w:rPr>
                <w:rFonts w:ascii="Calibri" w:hAnsi="Calibri" w:cs="Calibri" w:eastAsia="PingFang SC"/>
                <w:color w:val="3D3A33"/>
                <w:sz w:val="22"/>
                <w:szCs w:val="22"/>
              </w:rPr>
              <w:t xml:space="preserve">75%</w:t>
            </w:r>
          </w:p>
        </w:tc>
        <w:tc>
          <w:tcPr>
            <w:tcW w:w="3120" w:type="dxa"/>
          </w:tcPr>
          <w:p>
            <w:pPr>
              <w:spacing w:before="0" w:after="0" w:line="312" w:lineRule="auto"/>
            </w:pPr>
            <w:r>
              <w:rPr>
                <w:rFonts w:ascii="Calibri" w:hAnsi="Calibri" w:cs="Calibri" w:eastAsia="PingFang SC"/>
                <w:color w:val="3D3A33"/>
                <w:sz w:val="22"/>
                <w:szCs w:val="22"/>
              </w:rPr>
              <w:t xml:space="preserve">38%</w:t>
            </w:r>
          </w:p>
        </w:tc>
      </w:tr>
      <w:tr>
        <w:tc>
          <w:tcPr>
            <w:tcW w:w="3120" w:type="dxa"/>
          </w:tcPr>
          <w:p>
            <w:pPr>
              <w:spacing w:before="0" w:after="0" w:line="312" w:lineRule="auto"/>
            </w:pPr>
            <w:r>
              <w:rPr>
                <w:rFonts w:ascii="Calibri" w:hAnsi="Calibri" w:cs="Calibri" w:eastAsia="PingFang SC"/>
                <w:color w:val="3D3A33"/>
                <w:sz w:val="22"/>
                <w:szCs w:val="22"/>
              </w:rPr>
              <w:t xml:space="preserve">2019</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50%</w:t>
            </w:r>
          </w:p>
        </w:tc>
      </w:tr>
      <w:tr>
        <w:tc>
          <w:tcPr>
            <w:tcW w:w="3120" w:type="dxa"/>
          </w:tcPr>
          <w:p>
            <w:pPr>
              <w:spacing w:before="0" w:after="0" w:line="312" w:lineRule="auto"/>
            </w:pPr>
            <w:r>
              <w:rPr>
                <w:rFonts w:ascii="Calibri" w:hAnsi="Calibri" w:cs="Calibri" w:eastAsia="PingFang SC"/>
                <w:color w:val="3D3A33"/>
                <w:sz w:val="22"/>
                <w:szCs w:val="22"/>
              </w:rPr>
              <w:t xml:space="preserve">2020</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60%</w:t>
            </w:r>
          </w:p>
        </w:tc>
      </w:tr>
      <w:tr>
        <w:tc>
          <w:tcPr>
            <w:tcW w:w="3120" w:type="dxa"/>
          </w:tcPr>
          <w:p>
            <w:pPr>
              <w:spacing w:before="0" w:after="0" w:line="312" w:lineRule="auto"/>
            </w:pPr>
            <w:r>
              <w:rPr>
                <w:rFonts w:ascii="Calibri" w:hAnsi="Calibri" w:cs="Calibri" w:eastAsia="PingFang SC"/>
                <w:color w:val="3D3A33"/>
                <w:sz w:val="22"/>
                <w:szCs w:val="22"/>
              </w:rPr>
              <w:t xml:space="preserve">2021</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73%</w:t>
            </w:r>
          </w:p>
        </w:tc>
      </w:tr>
      <w:tr>
        <w:tc>
          <w:tcPr>
            <w:tcW w:w="3120" w:type="dxa"/>
          </w:tcPr>
          <w:p>
            <w:pPr>
              <w:spacing w:before="0" w:after="0" w:line="312" w:lineRule="auto"/>
            </w:pPr>
            <w:r>
              <w:rPr>
                <w:rFonts w:ascii="Calibri" w:hAnsi="Calibri" w:cs="Calibri" w:eastAsia="PingFang SC"/>
                <w:color w:val="3D3A33"/>
                <w:sz w:val="22"/>
                <w:szCs w:val="22"/>
              </w:rPr>
              <w:t xml:space="preserve">2022</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90%</w:t>
            </w:r>
          </w:p>
        </w:tc>
      </w:tr>
      <w:tr>
        <w:tc>
          <w:tcPr>
            <w:tcW w:w="3120" w:type="dxa"/>
          </w:tcPr>
          <w:p>
            <w:pPr>
              <w:spacing w:before="0" w:after="0" w:line="312" w:lineRule="auto"/>
            </w:pPr>
            <w:r>
              <w:rPr>
                <w:rFonts w:ascii="Calibri" w:hAnsi="Calibri" w:cs="Calibri" w:eastAsia="PingFang SC"/>
                <w:color w:val="3D3A33"/>
                <w:sz w:val="22"/>
                <w:szCs w:val="22"/>
              </w:rPr>
              <w:t xml:space="preserve">2023</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100%</w:t>
            </w:r>
          </w:p>
        </w:tc>
      </w:tr>
    </w:tbl>
    <w:p>
      <w:pPr>
        <w:spacing w:before="0" w:after="160" w:line="312" w:lineRule="auto"/>
      </w:pPr>
      <w:r>
        <w:rPr>
          <w:rFonts w:ascii="Calibri" w:hAnsi="Calibri" w:cs="Calibri" w:eastAsia="PingFang SC"/>
          <w:color w:val="3D3A33"/>
          <w:sz w:val="22"/>
          <w:szCs w:val="22"/>
        </w:rPr>
        <w:t xml:space="preserve">The planned curve reaches 100% in 2019 and then becomes flat. The actual curve is a delayed S-curve: progress is slow during land acquisition and design, improves during construction, and then flattens because of COVID-19, unfinished stations, testing and system integration.</w:t>
      </w:r>
    </w:p>
    <w:p>
      <w:pPr>
        <w:spacing w:before="0" w:after="160" w:line="312" w:lineRule="auto"/>
      </w:pPr>
      <w:r>
        <w:rPr>
          <w:rFonts w:ascii="Calibri" w:hAnsi="Calibri" w:cs="Calibri" w:eastAsia="PingFang SC"/>
          <w:color w:val="3D3A33"/>
          <w:sz w:val="22"/>
          <w:szCs w:val="22"/>
        </w:rPr>
        <w:t xml:space="preserve">The clearest point of divergence was 2019, when the railway was supposed to open but remained incomplete. The delay was already developing before COVID-19 because of land-acquisition disputes, environmental concerns and engineering challenges.</w:t>
      </w:r>
    </w:p>
    <w:p>
      <w:pPr>
        <w:spacing w:before="240" w:after="80" w:line="312" w:lineRule="auto"/>
      </w:pPr>
      <w:r>
        <w:rPr>
          <w:rFonts w:ascii="Calibri" w:hAnsi="Calibri" w:cs="Calibri" w:eastAsia="PingFang SC"/>
          <w:b/>
          <w:color w:val="C96442"/>
          <w:sz w:val="26"/>
          <w:szCs w:val="26"/>
        </w:rPr>
        <w:t xml:space="preserve">Activity 2 — The Rework Cycle</w:t>
      </w:r>
    </w:p>
    <w:p>
      <w:pPr>
        <w:spacing w:before="0" w:after="160" w:line="312" w:lineRule="auto"/>
      </w:pPr>
      <w:r>
        <w:rPr>
          <w:rFonts w:ascii="Calibri" w:hAnsi="Calibri" w:cs="Calibri" w:eastAsia="PingFang SC"/>
          <w:color w:val="3D3A33"/>
          <w:sz w:val="22"/>
          <w:szCs w:val="22"/>
        </w:rPr>
        <w:t xml:space="preserve">The flow from planned work into work in progress was slowed by: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disputes over thousands of land parcels;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permitting and environmental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difficult terrain and tunnelling conditions;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changing designs and construction requirements;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financing and political disagreements between stakeholders;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COVID-19 restrictions and supply-chain disruption;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incomplete stations and connecting infrastructure.</w:t>
      </w:r>
    </w:p>
    <w:p>
      <w:pPr>
        <w:spacing w:before="0" w:after="160" w:line="312" w:lineRule="auto"/>
      </w:pPr>
      <w:r>
        <w:rPr>
          <w:rFonts w:ascii="Calibri" w:hAnsi="Calibri" w:cs="Calibri" w:eastAsia="PingFang SC"/>
          <w:color w:val="3D3A33"/>
          <w:sz w:val="22"/>
          <w:szCs w:val="22"/>
        </w:rPr>
        <w:t xml:space="preserve">The rework cycle can be described as:</w:t>
      </w:r>
    </w:p>
    <w:p>
      <w:pPr>
        <w:spacing w:before="0" w:after="160" w:line="312" w:lineRule="auto"/>
      </w:pPr>
      <w:r>
        <w:rPr>
          <w:rFonts w:ascii="Calibri" w:hAnsi="Calibri" w:cs="Calibri" w:eastAsia="PingFang SC"/>
          <w:b/>
          <w:color w:val="3D3A33"/>
          <w:sz w:val="22"/>
          <w:szCs w:val="22"/>
        </w:rPr>
        <w:t xml:space="preserve">Planned railway work → WIP → completed structures and systems</w:t>
      </w:r>
      <w:r>
        <w:rPr>
          <w:rFonts w:ascii="Calibri" w:hAnsi="Calibri" w:cs="Calibri" w:eastAsia="PingFang SC"/>
          <w:b/>
          <w:color w:val="3D3A33"/>
          <w:sz w:val="22"/>
          <w:szCs w:val="22"/>
        </w:rPr>
        <w:br/>
      </w:r>
    </w:p>
    <w:p>
      <w:pPr>
        <w:spacing w:before="0" w:after="160" w:line="312" w:lineRule="auto"/>
      </w:pPr>
      <w:r>
        <w:rPr>
          <w:rFonts w:ascii="Calibri" w:hAnsi="Calibri" w:cs="Calibri" w:eastAsia="PingFang SC"/>
          <w:b/>
          <w:color w:val="3D3A33"/>
          <w:sz w:val="22"/>
          <w:szCs w:val="22"/>
        </w:rPr>
        <w:t xml:space="preserve">Defects, geological surprises or design changes → rework → WIP</w:t>
      </w:r>
    </w:p>
    <w:p>
      <w:pPr>
        <w:spacing w:before="0" w:after="160" w:line="312" w:lineRule="auto"/>
      </w:pPr>
      <w:r>
        <w:rPr>
          <w:rFonts w:ascii="Calibri" w:hAnsi="Calibri" w:cs="Calibri" w:eastAsia="PingFang SC"/>
          <w:color w:val="3D3A33"/>
          <w:sz w:val="22"/>
          <w:szCs w:val="22"/>
        </w:rPr>
        <w:t xml:space="preserve">For example, unexpected ground conditions could require tunnel redesign or additional stabilisation. Land-access problems could leave construction crews waiting or force the sequence of work to change. Interfaces between tracks, signalling, stations and trains could reveal defects during testing, sending apparently completed work back into rework.</w:t>
      </w:r>
    </w:p>
    <w:p>
      <w:pPr>
        <w:spacing w:before="0" w:after="160" w:line="312" w:lineRule="auto"/>
      </w:pPr>
      <w:r>
        <w:rPr>
          <w:rFonts w:ascii="Calibri" w:hAnsi="Calibri" w:cs="Calibri" w:eastAsia="PingFang SC"/>
          <w:color w:val="3D3A33"/>
          <w:sz w:val="22"/>
          <w:szCs w:val="22"/>
        </w:rPr>
        <w:t xml:space="preserve">The result is that gross activity does not equal usable completion. The project may have many active workers and visible construction while the amount of railway that is safe, tested and operational remains much lower.</w:t>
      </w:r>
    </w:p>
    <w:p>
      <w:pPr>
        <w:spacing w:before="0" w:after="160" w:line="312" w:lineRule="auto"/>
      </w:pPr>
      <w:r>
        <w:rPr>
          <w:rFonts w:ascii="Calibri" w:hAnsi="Calibri" w:cs="Calibri" w:eastAsia="PingFang SC"/>
          <w:color w:val="3D3A33"/>
          <w:sz w:val="22"/>
          <w:szCs w:val="22"/>
        </w:rPr>
        <w:t xml:space="preserve">Adding staff could increase capacity only if work packages were independent and the necessary land, materials and designs were available. If the project was already congested, additional workers could increase communication costs, supervision requirements and interface errors.</w:t>
      </w:r>
    </w:p>
    <w:p>
      <w:pPr>
        <w:spacing w:before="0" w:after="160" w:line="312" w:lineRule="auto"/>
      </w:pPr>
      <w:r>
        <w:rPr>
          <w:rFonts w:ascii="Calibri" w:hAnsi="Calibri" w:cs="Calibri" w:eastAsia="PingFang SC"/>
          <w:color w:val="3D3A33"/>
          <w:sz w:val="22"/>
          <w:szCs w:val="22"/>
        </w:rPr>
        <w:t xml:space="preserve">The feedback loop was:</w:t>
      </w:r>
    </w:p>
    <w:p>
      <w:pPr>
        <w:spacing w:before="0" w:after="160" w:line="312" w:lineRule="auto"/>
      </w:pPr>
      <w:r>
        <w:rPr>
          <w:rFonts w:ascii="Calibri" w:hAnsi="Calibri" w:cs="Calibri" w:eastAsia="PingFang SC"/>
          <w:b/>
          <w:color w:val="3D3A33"/>
          <w:sz w:val="22"/>
          <w:szCs w:val="22"/>
        </w:rPr>
        <w:t xml:space="preserve">Delay → pressure to work faster → more parallel work and late decisions → defects and interface conflicts → rework → slower net completion → further delay</w:t>
      </w:r>
    </w:p>
    <w:p>
      <w:pPr>
        <w:spacing w:before="0" w:after="160" w:line="312" w:lineRule="auto"/>
      </w:pPr>
      <w:r>
        <w:rPr>
          <w:rFonts w:ascii="Calibri" w:hAnsi="Calibri" w:cs="Calibri" w:eastAsia="PingFang SC"/>
          <w:color w:val="3D3A33"/>
          <w:sz w:val="22"/>
          <w:szCs w:val="22"/>
        </w:rPr>
        <w:t xml:space="preserve">A balancing response would be to complete land acquisition before releasing work, freeze designs earlier, use specialist teams for difficult tunnels, and require integration testing before declaring work complete.</w:t>
      </w:r>
    </w:p>
    <w:p>
      <w:pPr>
        <w:spacing w:before="240" w:after="80" w:line="312" w:lineRule="auto"/>
      </w:pPr>
      <w:r>
        <w:rPr>
          <w:rFonts w:ascii="Calibri" w:hAnsi="Calibri" w:cs="Calibri" w:eastAsia="PingFang SC"/>
          <w:b/>
          <w:color w:val="3D3A33"/>
          <w:sz w:val="32"/>
          <w:szCs w:val="32"/>
        </w:rPr>
        <w:t xml:space="preserve">Scenario 3: Nusantara New Capital City, Indonesia</w:t>
      </w:r>
    </w:p>
    <w:p>
      <w:pPr>
        <w:spacing w:before="240" w:after="80" w:line="312" w:lineRule="auto"/>
      </w:pPr>
      <w:r>
        <w:rPr>
          <w:rFonts w:ascii="Calibri" w:hAnsi="Calibri" w:cs="Calibri" w:eastAsia="PingFang SC"/>
          <w:b/>
          <w:color w:val="C96442"/>
          <w:sz w:val="26"/>
          <w:szCs w:val="26"/>
        </w:rPr>
        <w:t xml:space="preserve">Activity 1 — Behaviour Over Time Graph</w:t>
      </w:r>
    </w:p>
    <w:p>
      <w:pPr>
        <w:spacing w:before="0" w:after="160" w:line="312" w:lineRule="auto"/>
      </w:pPr>
      <w:r>
        <w:rPr>
          <w:rFonts w:ascii="Calibri" w:hAnsi="Calibri" w:cs="Calibri" w:eastAsia="PingFang SC"/>
          <w:color w:val="3D3A33"/>
          <w:sz w:val="22"/>
          <w:szCs w:val="22"/>
        </w:rPr>
        <w:t xml:space="preserve">Nusantara was announced in 2019. The overall investment requirement has commonly been estimated at approximately </w:t>
      </w:r>
      <w:r>
        <w:rPr>
          <w:rFonts w:ascii="Calibri" w:hAnsi="Calibri" w:cs="Calibri" w:eastAsia="PingFang SC"/>
          <w:b/>
          <w:color w:val="3D3A33"/>
          <w:sz w:val="22"/>
          <w:szCs w:val="22"/>
        </w:rPr>
        <w:t xml:space="preserve">US$30–35 billion</w:t>
      </w:r>
      <w:r>
        <w:rPr>
          <w:rFonts w:ascii="Calibri" w:hAnsi="Calibri" w:cs="Calibri" w:eastAsia="PingFang SC"/>
          <w:color w:val="3D3A33"/>
          <w:sz w:val="22"/>
          <w:szCs w:val="22"/>
        </w:rPr>
        <w:t xml:space="preserve">, although estimates differ according to the project scope and date.</w:t>
      </w:r>
    </w:p>
    <w:p>
      <w:pPr>
        <w:spacing w:before="0" w:after="160" w:line="312" w:lineRule="auto"/>
      </w:pPr>
      <w:r>
        <w:rPr>
          <w:rFonts w:ascii="Calibri" w:hAnsi="Calibri" w:cs="Calibri" w:eastAsia="PingFang SC"/>
          <w:color w:val="3D3A33"/>
          <w:sz w:val="22"/>
          <w:szCs w:val="22"/>
        </w:rPr>
        <w:t xml:space="preserve">The development plan has five stages extending from 2022 to 2045. Phase I was intended to deliver basic infrastructure, the presidential complex, government buildings and accommodation. The political centre was expected to begin operating around August 2024.</w:t>
      </w:r>
    </w:p>
    <w:p>
      <w:pPr>
        <w:spacing w:before="0" w:after="160" w:line="312" w:lineRule="auto"/>
      </w:pPr>
      <w:r>
        <w:rPr>
          <w:rFonts w:ascii="Calibri" w:hAnsi="Calibri" w:cs="Calibri" w:eastAsia="PingFang SC"/>
          <w:color w:val="3D3A33"/>
          <w:sz w:val="22"/>
          <w:szCs w:val="22"/>
        </w:rPr>
        <w:t xml:space="preserve">The guide reports that only about </w:t>
      </w:r>
      <w:r>
        <w:rPr>
          <w:rFonts w:ascii="Calibri" w:hAnsi="Calibri" w:cs="Calibri" w:eastAsia="PingFang SC"/>
          <w:b/>
          <w:color w:val="3D3A33"/>
          <w:sz w:val="22"/>
          <w:szCs w:val="22"/>
        </w:rPr>
        <w:t xml:space="preserve">15% of planned works </w:t>
      </w:r>
      <w:r>
        <w:rPr>
          <w:rFonts w:ascii="Calibri" w:hAnsi="Calibri" w:cs="Calibri" w:eastAsia="PingFang SC"/>
          <w:color w:val="3D3A33"/>
          <w:sz w:val="22"/>
          <w:szCs w:val="22"/>
        </w:rPr>
        <w:t xml:space="preserve">had been completed by August 2024. This should be treated as an approximate progress indicator rather than a precise measurement of every construction package.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Milestone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Planned completion toward the 2024 operating milestone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Illustrative actual completion</w:t>
            </w:r>
          </w:p>
        </w:tc>
      </w:tr>
      <w:tr>
        <w:tc>
          <w:tcPr>
            <w:tcW w:w="3120" w:type="dxa"/>
          </w:tcPr>
          <w:p>
            <w:pPr>
              <w:spacing w:before="0" w:after="0" w:line="312" w:lineRule="auto"/>
            </w:pPr>
            <w:r>
              <w:rPr>
                <w:rFonts w:ascii="Calibri" w:hAnsi="Calibri" w:cs="Calibri" w:eastAsia="PingFang SC"/>
                <w:color w:val="3D3A33"/>
                <w:sz w:val="22"/>
                <w:szCs w:val="22"/>
              </w:rPr>
              <w:t xml:space="preserve">2019 announcement</w:t>
            </w:r>
          </w:p>
        </w:tc>
        <w:tc>
          <w:tcPr>
            <w:tcW w:w="3120" w:type="dxa"/>
          </w:tcPr>
          <w:p>
            <w:pPr>
              <w:spacing w:before="0" w:after="0" w:line="312" w:lineRule="auto"/>
            </w:pPr>
            <w:r>
              <w:rPr>
                <w:rFonts w:ascii="Calibri" w:hAnsi="Calibri" w:cs="Calibri" w:eastAsia="PingFang SC"/>
                <w:color w:val="3D3A33"/>
                <w:sz w:val="22"/>
                <w:szCs w:val="22"/>
              </w:rPr>
              <w:t xml:space="preserve">0%</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2022 start of Phase I</w:t>
            </w:r>
          </w:p>
        </w:tc>
        <w:tc>
          <w:tcPr>
            <w:tcW w:w="3120" w:type="dxa"/>
          </w:tcPr>
          <w:p>
            <w:pPr>
              <w:spacing w:before="0" w:after="0" w:line="312" w:lineRule="auto"/>
            </w:pPr>
            <w:r>
              <w:rPr>
                <w:rFonts w:ascii="Calibri" w:hAnsi="Calibri" w:cs="Calibri" w:eastAsia="PingFang SC"/>
                <w:color w:val="3D3A33"/>
                <w:sz w:val="22"/>
                <w:szCs w:val="22"/>
              </w:rPr>
              <w:t xml:space="preserve">20%</w:t>
            </w:r>
          </w:p>
        </w:tc>
        <w:tc>
          <w:tcPr>
            <w:tcW w:w="3120" w:type="dxa"/>
          </w:tcPr>
          <w:p>
            <w:pPr>
              <w:spacing w:before="0" w:after="0" w:line="312" w:lineRule="auto"/>
            </w:pPr>
            <w:r>
              <w:rPr>
                <w:rFonts w:ascii="Calibri" w:hAnsi="Calibri" w:cs="Calibri" w:eastAsia="PingFang SC"/>
                <w:color w:val="3D3A33"/>
                <w:sz w:val="22"/>
                <w:szCs w:val="22"/>
              </w:rPr>
              <w:t xml:space="preserve">5%</w:t>
            </w:r>
          </w:p>
        </w:tc>
      </w:tr>
      <w:tr>
        <w:tc>
          <w:tcPr>
            <w:tcW w:w="3120" w:type="dxa"/>
          </w:tcPr>
          <w:p>
            <w:pPr>
              <w:spacing w:before="0" w:after="0" w:line="312" w:lineRule="auto"/>
            </w:pPr>
            <w:r>
              <w:rPr>
                <w:rFonts w:ascii="Calibri" w:hAnsi="Calibri" w:cs="Calibri" w:eastAsia="PingFang SC"/>
                <w:color w:val="3D3A33"/>
                <w:sz w:val="22"/>
                <w:szCs w:val="22"/>
              </w:rPr>
              <w:t xml:space="preserve">2023</w:t>
            </w:r>
          </w:p>
        </w:tc>
        <w:tc>
          <w:tcPr>
            <w:tcW w:w="3120" w:type="dxa"/>
          </w:tcPr>
          <w:p>
            <w:pPr>
              <w:spacing w:before="0" w:after="0" w:line="312" w:lineRule="auto"/>
            </w:pPr>
            <w:r>
              <w:rPr>
                <w:rFonts w:ascii="Calibri" w:hAnsi="Calibri" w:cs="Calibri" w:eastAsia="PingFang SC"/>
                <w:color w:val="3D3A33"/>
                <w:sz w:val="22"/>
                <w:szCs w:val="22"/>
              </w:rPr>
              <w:t xml:space="preserve">60%</w:t>
            </w:r>
          </w:p>
        </w:tc>
        <w:tc>
          <w:tcPr>
            <w:tcW w:w="3120" w:type="dxa"/>
          </w:tcPr>
          <w:p>
            <w:pPr>
              <w:spacing w:before="0" w:after="0" w:line="312" w:lineRule="auto"/>
            </w:pPr>
            <w:r>
              <w:rPr>
                <w:rFonts w:ascii="Calibri" w:hAnsi="Calibri" w:cs="Calibri" w:eastAsia="PingFang SC"/>
                <w:color w:val="3D3A33"/>
                <w:sz w:val="22"/>
                <w:szCs w:val="22"/>
              </w:rPr>
              <w:t xml:space="preserve">10%</w:t>
            </w:r>
          </w:p>
        </w:tc>
      </w:tr>
      <w:tr>
        <w:tc>
          <w:tcPr>
            <w:tcW w:w="3120" w:type="dxa"/>
          </w:tcPr>
          <w:p>
            <w:pPr>
              <w:spacing w:before="0" w:after="0" w:line="312" w:lineRule="auto"/>
            </w:pPr>
            <w:r>
              <w:rPr>
                <w:rFonts w:ascii="Calibri" w:hAnsi="Calibri" w:cs="Calibri" w:eastAsia="PingFang SC"/>
                <w:color w:val="3D3A33"/>
                <w:sz w:val="22"/>
                <w:szCs w:val="22"/>
              </w:rPr>
              <w:t xml:space="preserve">August 2024</w:t>
            </w:r>
          </w:p>
        </w:tc>
        <w:tc>
          <w:tcPr>
            <w:tcW w:w="3120" w:type="dxa"/>
          </w:tcPr>
          <w:p>
            <w:pPr>
              <w:spacing w:before="0" w:after="0" w:line="312" w:lineRule="auto"/>
            </w:pPr>
            <w:r>
              <w:rPr>
                <w:rFonts w:ascii="Calibri" w:hAnsi="Calibri" w:cs="Calibri" w:eastAsia="PingFang SC"/>
                <w:color w:val="3D3A33"/>
                <w:sz w:val="22"/>
                <w:szCs w:val="22"/>
              </w:rPr>
              <w:t xml:space="preserve">100%</w:t>
            </w:r>
          </w:p>
        </w:tc>
        <w:tc>
          <w:tcPr>
            <w:tcW w:w="3120" w:type="dxa"/>
          </w:tcPr>
          <w:p>
            <w:pPr>
              <w:spacing w:before="0" w:after="0" w:line="312" w:lineRule="auto"/>
            </w:pPr>
            <w:r>
              <w:rPr>
                <w:rFonts w:ascii="Calibri" w:hAnsi="Calibri" w:cs="Calibri" w:eastAsia="PingFang SC"/>
                <w:color w:val="3D3A33"/>
                <w:sz w:val="22"/>
                <w:szCs w:val="22"/>
              </w:rPr>
              <w:t xml:space="preserve">Approximately 15%</w:t>
            </w:r>
          </w:p>
        </w:tc>
      </w:tr>
    </w:tbl>
    <w:p>
      <w:pPr>
        <w:spacing w:before="0" w:after="160" w:line="312" w:lineRule="auto"/>
      </w:pPr>
      <w:r>
        <w:rPr>
          <w:rFonts w:ascii="Calibri" w:hAnsi="Calibri" w:cs="Calibri" w:eastAsia="PingFang SC"/>
          <w:color w:val="3D3A33"/>
          <w:sz w:val="22"/>
          <w:szCs w:val="22"/>
        </w:rPr>
        <w:t xml:space="preserve">This BOTG should be understood as measuring progress toward the initial operating milestone, not completion of the entire city. Full development is planned to continue in stages through 2045.</w:t>
      </w:r>
    </w:p>
    <w:p>
      <w:pPr>
        <w:spacing w:before="0" w:after="160" w:line="312" w:lineRule="auto"/>
      </w:pPr>
      <w:r>
        <w:rPr>
          <w:rFonts w:ascii="Calibri" w:hAnsi="Calibri" w:cs="Calibri" w:eastAsia="PingFang SC"/>
          <w:color w:val="3D3A33"/>
          <w:sz w:val="22"/>
          <w:szCs w:val="22"/>
        </w:rPr>
        <w:t xml:space="preserve">The actual curve is much flatter than planned. Some flagship buildings were progressing, but enabling systems such as water, electricity, roads, housing and airport access were not sufficiently complete to support a functioning capital city. The intended move was therefore postponed, and later political targets were revised.</w:t>
      </w:r>
    </w:p>
    <w:p>
      <w:pPr>
        <w:spacing w:before="240" w:after="80" w:line="312" w:lineRule="auto"/>
      </w:pPr>
      <w:r>
        <w:rPr>
          <w:rFonts w:ascii="Calibri" w:hAnsi="Calibri" w:cs="Calibri" w:eastAsia="PingFang SC"/>
          <w:b/>
          <w:color w:val="C96442"/>
          <w:sz w:val="26"/>
          <w:szCs w:val="26"/>
        </w:rPr>
        <w:t xml:space="preserve">Activity 2 — The Rework Cycle</w:t>
      </w:r>
    </w:p>
    <w:p>
      <w:pPr>
        <w:spacing w:before="0" w:after="160" w:line="312" w:lineRule="auto"/>
      </w:pPr>
      <w:r>
        <w:rPr>
          <w:rFonts w:ascii="Calibri" w:hAnsi="Calibri" w:cs="Calibri" w:eastAsia="PingFang SC"/>
          <w:color w:val="3D3A33"/>
          <w:sz w:val="22"/>
          <w:szCs w:val="22"/>
        </w:rPr>
        <w:t xml:space="preserve">The movement of planned work into work in progress was slowed by: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heavy rainfall and difficult construction conditions;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funding gaps and limited realisation of private investment;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uncertainty following changes in political leadership;</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resignations of senior officials in the Nusantara authority;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incomplete water, electricity and waste systems;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access and airport delays;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land, environmental and Indigenous-community concerns;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limited population density and uncertainty about future demand.</w:t>
      </w:r>
    </w:p>
    <w:p>
      <w:pPr>
        <w:spacing w:before="0" w:after="160" w:line="312" w:lineRule="auto"/>
      </w:pPr>
      <w:r>
        <w:rPr>
          <w:rFonts w:ascii="Calibri" w:hAnsi="Calibri" w:cs="Calibri" w:eastAsia="PingFang SC"/>
          <w:color w:val="3D3A33"/>
          <w:sz w:val="22"/>
          <w:szCs w:val="22"/>
        </w:rPr>
        <w:t xml:space="preserve">The rework cycle was:</w:t>
      </w:r>
    </w:p>
    <w:p>
      <w:pPr>
        <w:spacing w:before="0" w:after="160" w:line="312" w:lineRule="auto"/>
      </w:pPr>
      <w:r>
        <w:rPr>
          <w:rFonts w:ascii="Calibri" w:hAnsi="Calibri" w:cs="Calibri" w:eastAsia="PingFang SC"/>
          <w:b/>
          <w:color w:val="3D3A33"/>
          <w:sz w:val="22"/>
          <w:szCs w:val="22"/>
        </w:rPr>
        <w:t xml:space="preserve">Planned city works → WIP → completed buildings and infrastructure</w:t>
      </w:r>
      <w:r>
        <w:rPr>
          <w:rFonts w:ascii="Calibri" w:hAnsi="Calibri" w:cs="Calibri" w:eastAsia="PingFang SC"/>
          <w:b/>
          <w:color w:val="3D3A33"/>
          <w:sz w:val="22"/>
          <w:szCs w:val="22"/>
        </w:rPr>
        <w:br/>
      </w:r>
    </w:p>
    <w:p>
      <w:pPr>
        <w:spacing w:before="0" w:after="160" w:line="312" w:lineRule="auto"/>
      </w:pPr>
      <w:r>
        <w:rPr>
          <w:rFonts w:ascii="Calibri" w:hAnsi="Calibri" w:cs="Calibri" w:eastAsia="PingFang SC"/>
          <w:b/>
          <w:color w:val="3D3A33"/>
          <w:sz w:val="22"/>
          <w:szCs w:val="22"/>
        </w:rPr>
        <w:t xml:space="preserve">Design changes, incomplete interfaces or changed priorities → rework → WIP</w:t>
      </w:r>
    </w:p>
    <w:p>
      <w:pPr>
        <w:spacing w:before="0" w:after="160" w:line="312" w:lineRule="auto"/>
      </w:pPr>
      <w:r>
        <w:rPr>
          <w:rFonts w:ascii="Calibri" w:hAnsi="Calibri" w:cs="Calibri" w:eastAsia="PingFang SC"/>
          <w:color w:val="3D3A33"/>
          <w:sz w:val="22"/>
          <w:szCs w:val="22"/>
        </w:rPr>
        <w:t xml:space="preserve">A building can appear physically complete but still not be operational if roads, electricity, water, telecommunications or public services are unfinished. This means that construction progress may be reported while usable completion remains low.</w:t>
      </w:r>
    </w:p>
    <w:p>
      <w:pPr>
        <w:spacing w:before="0" w:after="160" w:line="312" w:lineRule="auto"/>
      </w:pPr>
      <w:r>
        <w:rPr>
          <w:rFonts w:ascii="Calibri" w:hAnsi="Calibri" w:cs="Calibri" w:eastAsia="PingFang SC"/>
          <w:color w:val="3D3A33"/>
          <w:sz w:val="22"/>
          <w:szCs w:val="22"/>
        </w:rPr>
        <w:t xml:space="preserve">The main reinforcing loop was:</w:t>
      </w:r>
    </w:p>
    <w:p>
      <w:pPr>
        <w:spacing w:before="0" w:after="160" w:line="312" w:lineRule="auto"/>
      </w:pPr>
      <w:r>
        <w:rPr>
          <w:rFonts w:ascii="Calibri" w:hAnsi="Calibri" w:cs="Calibri" w:eastAsia="PingFang SC"/>
          <w:b/>
          <w:color w:val="3D3A33"/>
          <w:sz w:val="22"/>
          <w:szCs w:val="22"/>
        </w:rPr>
        <w:t xml:space="preserve">Incomplete infrastructure → delayed relocation and low occupancy → weak investor confidence → less private funding → slower construction → more incomplete infrastructure</w:t>
      </w:r>
    </w:p>
    <w:p>
      <w:pPr>
        <w:spacing w:before="0" w:after="160" w:line="312" w:lineRule="auto"/>
      </w:pPr>
      <w:r>
        <w:rPr>
          <w:rFonts w:ascii="Calibri" w:hAnsi="Calibri" w:cs="Calibri" w:eastAsia="PingFang SC"/>
          <w:color w:val="3D3A33"/>
          <w:sz w:val="22"/>
          <w:szCs w:val="22"/>
        </w:rPr>
        <w:t xml:space="preserve">Another loop was:</w:t>
      </w:r>
    </w:p>
    <w:p>
      <w:pPr>
        <w:spacing w:before="0" w:after="160" w:line="312" w:lineRule="auto"/>
      </w:pPr>
      <w:r>
        <w:rPr>
          <w:rFonts w:ascii="Calibri" w:hAnsi="Calibri" w:cs="Calibri" w:eastAsia="PingFang SC"/>
          <w:b/>
          <w:color w:val="3D3A33"/>
          <w:sz w:val="22"/>
          <w:szCs w:val="22"/>
        </w:rPr>
        <w:t xml:space="preserve">Schedule pressure → rushed construction and parallel work → defects and integration problems → rework → reduced productivity → further delay</w:t>
      </w:r>
    </w:p>
    <w:p>
      <w:pPr>
        <w:spacing w:before="0" w:after="160" w:line="312" w:lineRule="auto"/>
      </w:pPr>
      <w:r>
        <w:rPr>
          <w:rFonts w:ascii="Calibri" w:hAnsi="Calibri" w:cs="Calibri" w:eastAsia="PingFang SC"/>
          <w:color w:val="3D3A33"/>
          <w:sz w:val="22"/>
          <w:szCs w:val="22"/>
        </w:rPr>
        <w:t xml:space="preserve">Adding workers would not automatically solve the problem. If utilities, materials, land access or design decisions were missing, more workers could create site congestion and additional coordination requirements. Brooks’s Law applies here as an analogy: adding people to a late and tightly coupled project can initially reduce productivity. However, specialist teams could still help where work packages were genuinely independent and ready to proceed.</w:t>
      </w:r>
    </w:p>
    <w:p>
      <w:pPr>
        <w:spacing w:before="240" w:after="80" w:line="312" w:lineRule="auto"/>
      </w:pPr>
      <w:r>
        <w:rPr>
          <w:rFonts w:ascii="Calibri" w:hAnsi="Calibri" w:cs="Calibri" w:eastAsia="PingFang SC"/>
          <w:b/>
          <w:color w:val="C96442"/>
          <w:sz w:val="26"/>
          <w:szCs w:val="26"/>
        </w:rPr>
        <w:t xml:space="preserve">Wrap-up Reflection</w:t>
      </w:r>
    </w:p>
    <w:p>
      <w:pPr>
        <w:spacing w:before="0" w:after="160" w:line="312" w:lineRule="auto"/>
      </w:pPr>
      <w:r>
        <w:rPr>
          <w:rFonts w:ascii="Calibri" w:hAnsi="Calibri" w:cs="Calibri" w:eastAsia="PingFang SC"/>
          <w:color w:val="3D3A33"/>
          <w:sz w:val="22"/>
          <w:szCs w:val="22"/>
        </w:rPr>
        <w:t xml:space="preserve">The statement “structure drives behaviour” means that project outcomes are shaped not only by individual effort, but also by the relationships, delays, incentives, information flows and feedback loops built into the project system.</w:t>
      </w:r>
    </w:p>
    <w:p>
      <w:pPr>
        <w:spacing w:before="0" w:after="160" w:line="312" w:lineRule="auto"/>
      </w:pPr>
      <w:r>
        <w:rPr>
          <w:rFonts w:ascii="Calibri" w:hAnsi="Calibri" w:cs="Calibri" w:eastAsia="PingFang SC"/>
          <w:color w:val="3D3A33"/>
          <w:sz w:val="22"/>
          <w:szCs w:val="22"/>
        </w:rPr>
        <w:t xml:space="preserve">For megaproject management, this means:</w:t>
      </w:r>
    </w:p>
    <w:p>
      <w:pPr>
        <w:numPr>
          <w:ilvl w:val="0"/>
          <w:numId w:val="101"/>
        </w:numPr>
        <w:spacing w:after="80" w:line="312" w:lineRule="auto"/>
      </w:pPr>
      <w:r>
        <w:rPr>
          <w:rFonts w:ascii="Calibri" w:hAnsi="Calibri" w:cs="Calibri" w:eastAsia="PingFang SC"/>
          <w:color w:val="3D3A33"/>
          <w:sz w:val="22"/>
          <w:szCs w:val="22"/>
        </w:rPr>
        <w:t xml:space="preserve">Planning must include dependencies, approvals, land access, learning, testing and rework—not only the original schedule.</w:t>
      </w:r>
    </w:p>
    <w:p>
      <w:pPr>
        <w:numPr>
          <w:ilvl w:val="0"/>
          <w:numId w:val="101"/>
        </w:numPr>
        <w:spacing w:after="80" w:line="312" w:lineRule="auto"/>
      </w:pPr>
      <w:r>
        <w:rPr>
          <w:rFonts w:ascii="Calibri" w:hAnsi="Calibri" w:cs="Calibri" w:eastAsia="PingFang SC"/>
          <w:color w:val="3D3A33"/>
          <w:sz w:val="22"/>
          <w:szCs w:val="22"/>
        </w:rPr>
        <w:t xml:space="preserve">Managers should measure accepted and usable completion, not just activity or the number of workers on site.</w:t>
      </w:r>
    </w:p>
    <w:p>
      <w:pPr>
        <w:numPr>
          <w:ilvl w:val="0"/>
          <w:numId w:val="101"/>
        </w:numPr>
        <w:spacing w:after="80" w:line="312" w:lineRule="auto"/>
      </w:pPr>
      <w:r>
        <w:rPr>
          <w:rFonts w:ascii="Calibri" w:hAnsi="Calibri" w:cs="Calibri" w:eastAsia="PingFang SC"/>
          <w:color w:val="3D3A33"/>
          <w:sz w:val="22"/>
          <w:szCs w:val="22"/>
        </w:rPr>
        <w:t xml:space="preserve">Work in progress, defects and rework should be monitored because they can reveal future delays before the final deadline is missed.</w:t>
      </w:r>
    </w:p>
    <w:p>
      <w:pPr>
        <w:numPr>
          <w:ilvl w:val="0"/>
          <w:numId w:val="101"/>
        </w:numPr>
        <w:spacing w:after="80" w:line="312" w:lineRule="auto"/>
      </w:pPr>
      <w:r>
        <w:rPr>
          <w:rFonts w:ascii="Calibri" w:hAnsi="Calibri" w:cs="Calibri" w:eastAsia="PingFang SC"/>
          <w:color w:val="3D3A33"/>
          <w:sz w:val="22"/>
          <w:szCs w:val="22"/>
        </w:rPr>
        <w:t xml:space="preserve">When a project falls behind, managers should investigate the structure causing the problem rather than automatically adding staff or overtime.</w:t>
      </w:r>
    </w:p>
    <w:p>
      <w:pPr>
        <w:numPr>
          <w:ilvl w:val="0"/>
          <w:numId w:val="101"/>
        </w:numPr>
        <w:spacing w:after="80" w:line="312" w:lineRule="auto"/>
      </w:pPr>
      <w:r>
        <w:rPr>
          <w:rFonts w:ascii="Calibri" w:hAnsi="Calibri" w:cs="Calibri" w:eastAsia="PingFang SC"/>
          <w:color w:val="3D3A33"/>
          <w:sz w:val="22"/>
          <w:szCs w:val="22"/>
        </w:rPr>
        <w:t xml:space="preserve">Design changes and interfaces between contractors should be managed early.</w:t>
      </w:r>
    </w:p>
    <w:p>
      <w:pPr>
        <w:numPr>
          <w:ilvl w:val="0"/>
          <w:numId w:val="101"/>
        </w:numPr>
        <w:spacing w:after="80" w:line="312" w:lineRule="auto"/>
      </w:pPr>
      <w:r>
        <w:rPr>
          <w:rFonts w:ascii="Calibri" w:hAnsi="Calibri" w:cs="Calibri" w:eastAsia="PingFang SC"/>
          <w:color w:val="3D3A33"/>
          <w:sz w:val="22"/>
          <w:szCs w:val="22"/>
        </w:rPr>
        <w:t xml:space="preserve">Funding, political confidence and public support should be treated as part of the project system because they influence the flow of work.</w:t>
      </w:r>
    </w:p>
    <w:p>
      <w:pPr>
        <w:numPr>
          <w:ilvl w:val="0"/>
          <w:numId w:val="101"/>
        </w:numPr>
        <w:spacing w:after="80" w:line="312" w:lineRule="auto"/>
      </w:pPr>
      <w:r>
        <w:rPr>
          <w:rFonts w:ascii="Calibri" w:hAnsi="Calibri" w:cs="Calibri" w:eastAsia="PingFang SC"/>
          <w:color w:val="3D3A33"/>
          <w:sz w:val="22"/>
          <w:szCs w:val="22"/>
        </w:rPr>
        <w:t xml:space="preserve">Recovery strategies should be tested for unintended effects, such as increasing congestion, errors and rework.</w:t>
      </w:r>
    </w:p>
    <w:p>
      <w:pPr>
        <w:spacing w:before="0" w:after="160" w:line="312" w:lineRule="auto"/>
      </w:pPr>
      <w:r>
        <w:rPr>
          <w:rFonts w:ascii="Calibri" w:hAnsi="Calibri" w:cs="Calibri" w:eastAsia="PingFang SC"/>
          <w:color w:val="3D3A33"/>
          <w:sz w:val="22"/>
          <w:szCs w:val="22"/>
        </w:rPr>
        <w:t xml:space="preserve">The main lesson is that working harder does not guarantee better results. If the project structure creates bottlenecks and feedback loops, additional effort may increase activity without increasing net completion.</w:t>
      </w:r>
    </w:p>
    <w:p>
      <w:pPr>
        <w:spacing w:before="0" w:after="160" w:line="312" w:lineRule="auto"/>
      </w:pPr>
      <w:r>
        <w:rPr>
          <w:rFonts w:ascii="Calibri" w:hAnsi="Calibri" w:cs="Calibri" w:eastAsia="PingFang SC"/>
          <w:color w:val="3D3A33"/>
          <w:sz w:val="22"/>
          <w:szCs w:val="22"/>
        </w:rPr>
        <w:t xml:space="preserve">Useful references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https://www.audit.nsw.gov.au/our-work/reports/westconnex-changes-since-2014</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https://www.transurban.com/news/rozelle-interchange-opening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https://www.lowyinstitute.org/the-interpreter/indonesia-high-cost-high-speed-rail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https://railwaynews.net/jakarta-bandung-high-speed-rail-cost-overruns-challenges.html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https://apnews.com/article/indonesia-southeast-asia-highspeed-railway-e7a53ecbcb077b4403d9232e7b93bcf3</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https://www.iseas.edu.sg/articles-commentaries/iseas-perspective/2024-59-the-nusantara-project-in-progress-risks-and-challenges-by-siwage-dharma-negara-and-neo-hui-yun-rebecca/</w:t>
      </w:r>
    </w:p>
    <w:p>
      <w:pPr>
        <w:spacing w:before="0" w:after="160" w:line="312" w:lineRule="auto"/>
      </w:pPr>
      <w:r>
        <w:rPr>
          <w:rFonts w:ascii="Calibri" w:hAnsi="Calibri" w:cs="Calibri" w:eastAsia="PingFang SC"/>
          <w:color w:val="3D3A33"/>
          <w:sz w:val="22"/>
          <w:szCs w:val="22"/>
        </w:rPr>
        <w:t xml:space="preserve">The guide also mentions “Focus Question 5,” but it does not include the actual question. That question would need to be provided separately to answer it accurately.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