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val="0"/>
          <w:i w:val="0"/>
          <w:sz w:val="24"/>
        </w:rPr>
      </w:r>
    </w:p>
    <w:p>
      <w:pPr>
        <w:spacing w:after="0" w:before="0"/>
        <w:jc w:val="center"/>
      </w:pPr>
      <w:r>
        <w:rPr>
          <w:rFonts w:ascii="Times New Roman" w:hAnsi="Times New Roman" w:eastAsia="Times New Roman"/>
          <w:b/>
          <w:i w:val="0"/>
          <w:sz w:val="28"/>
        </w:rPr>
        <w:t>The University of Sydney</w:t>
      </w:r>
    </w:p>
    <w:p>
      <w:pPr>
        <w:spacing w:after="0" w:before="0"/>
        <w:jc w:val="center"/>
      </w:pPr>
      <w:r>
        <w:rPr>
          <w:rFonts w:ascii="Times New Roman" w:hAnsi="Times New Roman" w:eastAsia="Times New Roman"/>
          <w:b w:val="0"/>
          <w:i w:val="0"/>
          <w:sz w:val="24"/>
        </w:rPr>
        <w:t>Business School</w:t>
      </w:r>
    </w:p>
    <w:p>
      <w:pPr>
        <w:spacing w:after="240" w:before="0"/>
        <w:jc w:val="center"/>
      </w:pPr>
      <w:r>
        <w:rPr>
          <w:rFonts w:ascii="Times New Roman" w:hAnsi="Times New Roman" w:eastAsia="Times New Roman"/>
          <w:b/>
          <w:i w:val="0"/>
          <w:sz w:val="36"/>
        </w:rPr>
        <w:t>Early Feedback Task</w:t>
      </w:r>
    </w:p>
    <w:p>
      <w:pPr>
        <w:spacing w:after="480" w:before="0"/>
        <w:jc w:val="center"/>
      </w:pPr>
      <w:r>
        <w:rPr>
          <w:rFonts w:ascii="Times New Roman" w:hAnsi="Times New Roman" w:eastAsia="Times New Roman"/>
          <w:b w:val="0"/>
          <w:i/>
          <w:sz w:val="28"/>
        </w:rPr>
        <w:t>Week 2 Workshop Report: Planning the Riverside Sounds Community Festival</w:t>
      </w:r>
    </w:p>
    <w:p>
      <w:pPr>
        <w:spacing w:after="120" w:before="0"/>
        <w:jc w:val="center"/>
      </w:pPr>
      <w:r>
        <w:rPr>
          <w:rFonts w:ascii="Times New Roman" w:hAnsi="Times New Roman" w:eastAsia="Times New Roman"/>
          <w:b w:val="0"/>
          <w:i w:val="0"/>
          <w:sz w:val="24"/>
        </w:rPr>
        <w:t>Student ID: [Enter your SID]</w:t>
      </w:r>
    </w:p>
    <w:p>
      <w:pPr>
        <w:spacing w:after="120" w:before="0"/>
        <w:jc w:val="center"/>
      </w:pPr>
      <w:r>
        <w:rPr>
          <w:rFonts w:ascii="Times New Roman" w:hAnsi="Times New Roman" w:eastAsia="Times New Roman"/>
          <w:b w:val="0"/>
          <w:i w:val="0"/>
          <w:sz w:val="24"/>
        </w:rPr>
        <w:t>Unit of Study: [Enter Unit Code and Name]</w:t>
      </w:r>
    </w:p>
    <w:p>
      <w:pPr>
        <w:spacing w:after="0" w:before="0"/>
        <w:jc w:val="center"/>
      </w:pPr>
      <w:r>
        <w:rPr>
          <w:rFonts w:ascii="Times New Roman" w:hAnsi="Times New Roman" w:eastAsia="Times New Roman"/>
          <w:b w:val="0"/>
          <w:i w:val="0"/>
          <w:sz w:val="24"/>
        </w:rPr>
        <w:t>Date: August 2026</w:t>
      </w:r>
    </w:p>
    <w:p>
      <w:pPr>
        <w:spacing w:line="240" w:lineRule="auto" w:after="0" w:before="0"/>
      </w:pPr>
      <w:r>
        <w:rPr>
          <w:rFonts w:ascii="Times New Roman" w:hAnsi="Times New Roman" w:eastAsia="Times New Roman"/>
          <w:b w:val="0"/>
          <w:i w:val="0"/>
          <w:sz w:val="24"/>
        </w:rPr>
      </w:r>
    </w:p>
    <w:p>
      <w:r>
        <w:br w:type="page"/>
      </w:r>
    </w:p>
    <w:p>
      <w:pPr>
        <w:spacing w:line="480" w:lineRule="auto" w:after="0" w:before="0"/>
        <w:jc w:val="center"/>
      </w:pPr>
      <w:r>
        <w:rPr>
          <w:rFonts w:ascii="Times New Roman" w:hAnsi="Times New Roman" w:eastAsia="Times New Roman"/>
          <w:b/>
          <w:i w:val="0"/>
          <w:sz w:val="28"/>
        </w:rPr>
        <w:t>Week 2 Workshop Report: Planning the Riverside Sounds Community Festival</w:t>
      </w:r>
    </w:p>
    <w:p>
      <w:pPr>
        <w:spacing w:line="480" w:lineRule="auto" w:after="0" w:before="0"/>
      </w:pPr>
      <w:r>
        <w:rPr>
          <w:rFonts w:ascii="Times New Roman" w:hAnsi="Times New Roman" w:eastAsia="Times New Roman"/>
          <w:b w:val="0"/>
          <w:i w:val="0"/>
          <w:sz w:val="24"/>
        </w:rPr>
        <w:t>In Week 2, the workshop simulated the planning of Riverside Sounds, a two-day outdoor music and food festival approved by the Riverside City Council to bring residents together, support local artists and small businesses, and provide an accessible community event. Working in a learning community, the group completed three interrelated project management activities: developing a work breakdown structure (WBS), sequencing the activities into a network diagram, and performing a critical path analysis. This report summarises the results of the three workshop activities.</w:t>
      </w:r>
    </w:p>
    <w:p>
      <w:pPr>
        <w:spacing w:line="480" w:lineRule="auto" w:after="0" w:before="0"/>
      </w:pPr>
      <w:r>
        <w:rPr>
          <w:rFonts w:ascii="Times New Roman" w:hAnsi="Times New Roman" w:eastAsia="Times New Roman"/>
          <w:b w:val="0"/>
          <w:i w:val="0"/>
          <w:sz w:val="24"/>
        </w:rPr>
        <w:t>Task 1 required a WBS based on fifteen major activities (Table 1), using a clear hierarchical numbering system (Project Management Institute, 2021). Each of the fifteen parent activities was decomposed into at least two level-2 sub-activities, and further broken into fifty-three level-3 work packages in total. For example, activity 5, “Festival program and artist booking” (25 days), was divided into program curation; artist shortlisting; and negotiation and contract finalisation. The WBS clarified deliverables and provided the foundation for sequencing in Task 2.</w:t>
      </w:r>
    </w:p>
    <w:p>
      <w:pPr>
        <w:spacing w:line="480" w:lineRule="auto" w:after="0" w:before="0"/>
      </w:pPr>
      <w:r>
        <w:rPr>
          <w:rFonts w:ascii="Times New Roman" w:hAnsi="Times New Roman" w:eastAsia="Times New Roman"/>
          <w:b w:val="0"/>
          <w:i w:val="0"/>
          <w:sz w:val="24"/>
        </w:rPr>
        <w:t>In Task 2, the fifteen activities were sequenced into a network diagram that reflected logical dependencies and constraints, for example venue selection preceding site layout, and permits and insurance depending on site design (Figure 2). Following the prescribed template, each node recorded the early start (ES), early finish (EF), late start (LS), late finish (LF), float, activity identification number, description and duration (Figure 1). Forward and backward passes were then applied to compute these values for every activity.</w:t>
      </w:r>
    </w:p>
    <w:p>
      <w:pPr>
        <w:spacing w:line="480" w:lineRule="auto" w:after="0" w:before="0"/>
      </w:pPr>
      <w:r>
        <w:rPr>
          <w:rFonts w:ascii="Times New Roman" w:hAnsi="Times New Roman" w:eastAsia="Times New Roman"/>
          <w:b w:val="0"/>
          <w:i w:val="0"/>
          <w:sz w:val="24"/>
        </w:rPr>
        <w:t>Task 3 applied critical path analysis to the network. The critical path was identified as activities 1–2–5–7–8–12–13–14, with an estimated project duration of approximately 149 days (Figure 2). Because critical activities carry zero float, any delay to them would delay the festival; therefore the group recommended close monitoring of artist booking and compliance approvals, which carry the greatest duration uncertainty. The analysis demonstrates how scheduling techniques support realistic completion dates and effective resource priority (Kerzner, 2017).</w:t>
      </w:r>
    </w:p>
    <w:p>
      <w:pPr>
        <w:spacing w:line="480" w:lineRule="auto" w:after="0" w:before="0"/>
      </w:pPr>
      <w:r>
        <w:rPr>
          <w:rFonts w:ascii="Times New Roman" w:hAnsi="Times New Roman" w:eastAsia="Times New Roman"/>
          <w:b w:val="0"/>
          <w:i w:val="0"/>
          <w:sz w:val="24"/>
        </w:rPr>
        <w:t>In summary, the workshop illustrated the logical progression from project decomposition, to scheduling, to critical path analysis. These techniques enable managers to identify priorities, allocate resources and control project timelines, and will be applied to the full festival project throughout the semester.</w:t>
      </w:r>
    </w:p>
    <w:p>
      <w:pPr>
        <w:spacing w:line="240" w:lineRule="auto" w:after="0" w:before="0"/>
      </w:pPr>
      <w:r>
        <w:rPr>
          <w:rFonts w:ascii="Times New Roman" w:hAnsi="Times New Roman" w:eastAsia="Times New Roman"/>
          <w:b/>
          <w:i w:val="0"/>
          <w:sz w:val="20"/>
        </w:rPr>
        <w:t>Table 1: Major activities of the Riverside Sounds project (WBS level 1)</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jc w:val="center"/>
            </w:pPr>
            <w:r/>
            <w:r>
              <w:rPr>
                <w:rFonts w:ascii="Times New Roman" w:hAnsi="Times New Roman" w:eastAsia="Times New Roman"/>
                <w:b/>
                <w:i w:val="0"/>
                <w:sz w:val="20"/>
              </w:rPr>
              <w:t>ID</w:t>
            </w:r>
          </w:p>
        </w:tc>
        <w:tc>
          <w:tcPr>
            <w:tcW w:type="dxa" w:w="3135"/>
          </w:tcPr>
          <w:p>
            <w:pPr>
              <w:spacing w:line="240" w:lineRule="auto"/>
              <w:jc w:val="center"/>
            </w:pPr>
            <w:r/>
            <w:r>
              <w:rPr>
                <w:rFonts w:ascii="Times New Roman" w:hAnsi="Times New Roman" w:eastAsia="Times New Roman"/>
                <w:b/>
                <w:i w:val="0"/>
                <w:sz w:val="20"/>
              </w:rPr>
              <w:t>Activity</w:t>
            </w:r>
          </w:p>
        </w:tc>
        <w:tc>
          <w:tcPr>
            <w:tcW w:type="dxa" w:w="3135"/>
          </w:tcPr>
          <w:p>
            <w:pPr>
              <w:spacing w:line="240" w:lineRule="auto"/>
              <w:jc w:val="center"/>
            </w:pPr>
            <w:r/>
            <w:r>
              <w:rPr>
                <w:rFonts w:ascii="Times New Roman" w:hAnsi="Times New Roman" w:eastAsia="Times New Roman"/>
                <w:b/>
                <w:i w:val="0"/>
                <w:sz w:val="20"/>
              </w:rPr>
              <w:t>Duration (days)</w:t>
            </w:r>
          </w:p>
        </w:tc>
      </w:tr>
      <w:tr>
        <w:tc>
          <w:tcPr>
            <w:tcW w:type="dxa" w:w="3135"/>
          </w:tcPr>
          <w:p>
            <w:pPr>
              <w:spacing w:line="240" w:lineRule="auto"/>
              <w:jc w:val="center"/>
            </w:pPr>
            <w:r/>
            <w:r>
              <w:rPr>
                <w:rFonts w:ascii="Times New Roman" w:hAnsi="Times New Roman" w:eastAsia="Times New Roman"/>
                <w:b w:val="0"/>
                <w:i w:val="0"/>
                <w:sz w:val="20"/>
              </w:rPr>
              <w:t>1</w:t>
            </w:r>
          </w:p>
        </w:tc>
        <w:tc>
          <w:tcPr>
            <w:tcW w:type="dxa" w:w="3135"/>
          </w:tcPr>
          <w:p>
            <w:pPr>
              <w:spacing w:line="240" w:lineRule="auto"/>
              <w:jc w:val="left"/>
            </w:pPr>
            <w:r/>
            <w:r>
              <w:rPr>
                <w:rFonts w:ascii="Times New Roman" w:hAnsi="Times New Roman" w:eastAsia="Times New Roman"/>
                <w:b w:val="0"/>
                <w:i w:val="0"/>
                <w:sz w:val="20"/>
              </w:rPr>
              <w:t>Project initiation and feasibility study</w:t>
            </w:r>
          </w:p>
        </w:tc>
        <w:tc>
          <w:tcPr>
            <w:tcW w:type="dxa" w:w="3135"/>
          </w:tcPr>
          <w:p>
            <w:pPr>
              <w:spacing w:line="240" w:lineRule="auto"/>
              <w:jc w:val="center"/>
            </w:pPr>
            <w:r/>
            <w:r>
              <w:rPr>
                <w:rFonts w:ascii="Times New Roman" w:hAnsi="Times New Roman" w:eastAsia="Times New Roman"/>
                <w:b w:val="0"/>
                <w:i w:val="0"/>
                <w:sz w:val="20"/>
              </w:rPr>
              <w:t>8</w:t>
            </w:r>
          </w:p>
        </w:tc>
      </w:tr>
      <w:tr>
        <w:tc>
          <w:tcPr>
            <w:tcW w:type="dxa" w:w="3135"/>
          </w:tcPr>
          <w:p>
            <w:pPr>
              <w:spacing w:line="240" w:lineRule="auto"/>
              <w:jc w:val="center"/>
            </w:pPr>
            <w:r/>
            <w:r>
              <w:rPr>
                <w:rFonts w:ascii="Times New Roman" w:hAnsi="Times New Roman" w:eastAsia="Times New Roman"/>
                <w:b w:val="0"/>
                <w:i w:val="0"/>
                <w:sz w:val="20"/>
              </w:rPr>
              <w:t>2</w:t>
            </w:r>
          </w:p>
        </w:tc>
        <w:tc>
          <w:tcPr>
            <w:tcW w:type="dxa" w:w="3135"/>
          </w:tcPr>
          <w:p>
            <w:pPr>
              <w:spacing w:line="240" w:lineRule="auto"/>
              <w:jc w:val="left"/>
            </w:pPr>
            <w:r/>
            <w:r>
              <w:rPr>
                <w:rFonts w:ascii="Times New Roman" w:hAnsi="Times New Roman" w:eastAsia="Times New Roman"/>
                <w:b w:val="0"/>
                <w:i w:val="0"/>
                <w:sz w:val="20"/>
              </w:rPr>
              <w:t>Event concept, scope and project charter</w:t>
            </w:r>
          </w:p>
        </w:tc>
        <w:tc>
          <w:tcPr>
            <w:tcW w:type="dxa" w:w="3135"/>
          </w:tcPr>
          <w:p>
            <w:pPr>
              <w:spacing w:line="240" w:lineRule="auto"/>
              <w:jc w:val="center"/>
            </w:pPr>
            <w:r/>
            <w:r>
              <w:rPr>
                <w:rFonts w:ascii="Times New Roman" w:hAnsi="Times New Roman" w:eastAsia="Times New Roman"/>
                <w:b w:val="0"/>
                <w:i w:val="0"/>
                <w:sz w:val="20"/>
              </w:rPr>
              <w:t>10</w:t>
            </w:r>
          </w:p>
        </w:tc>
      </w:tr>
      <w:tr>
        <w:tc>
          <w:tcPr>
            <w:tcW w:type="dxa" w:w="3135"/>
          </w:tcPr>
          <w:p>
            <w:pPr>
              <w:spacing w:line="240" w:lineRule="auto"/>
              <w:jc w:val="center"/>
            </w:pPr>
            <w:r/>
            <w:r>
              <w:rPr>
                <w:rFonts w:ascii="Times New Roman" w:hAnsi="Times New Roman" w:eastAsia="Times New Roman"/>
                <w:b w:val="0"/>
                <w:i w:val="0"/>
                <w:sz w:val="20"/>
              </w:rPr>
              <w:t>3</w:t>
            </w:r>
          </w:p>
        </w:tc>
        <w:tc>
          <w:tcPr>
            <w:tcW w:type="dxa" w:w="3135"/>
          </w:tcPr>
          <w:p>
            <w:pPr>
              <w:spacing w:line="240" w:lineRule="auto"/>
              <w:jc w:val="left"/>
            </w:pPr>
            <w:r/>
            <w:r>
              <w:rPr>
                <w:rFonts w:ascii="Times New Roman" w:hAnsi="Times New Roman" w:eastAsia="Times New Roman"/>
                <w:b w:val="0"/>
                <w:i w:val="0"/>
                <w:sz w:val="20"/>
              </w:rPr>
              <w:t>Venue selection and booking</w:t>
            </w:r>
          </w:p>
        </w:tc>
        <w:tc>
          <w:tcPr>
            <w:tcW w:type="dxa" w:w="3135"/>
          </w:tcPr>
          <w:p>
            <w:pPr>
              <w:spacing w:line="240" w:lineRule="auto"/>
              <w:jc w:val="center"/>
            </w:pPr>
            <w:r/>
            <w:r>
              <w:rPr>
                <w:rFonts w:ascii="Times New Roman" w:hAnsi="Times New Roman" w:eastAsia="Times New Roman"/>
                <w:b w:val="0"/>
                <w:i w:val="0"/>
                <w:sz w:val="20"/>
              </w:rPr>
              <w:t>12</w:t>
            </w:r>
          </w:p>
        </w:tc>
      </w:tr>
      <w:tr>
        <w:tc>
          <w:tcPr>
            <w:tcW w:type="dxa" w:w="3135"/>
          </w:tcPr>
          <w:p>
            <w:pPr>
              <w:spacing w:line="240" w:lineRule="auto"/>
              <w:jc w:val="center"/>
            </w:pPr>
            <w:r/>
            <w:r>
              <w:rPr>
                <w:rFonts w:ascii="Times New Roman" w:hAnsi="Times New Roman" w:eastAsia="Times New Roman"/>
                <w:b w:val="0"/>
                <w:i w:val="0"/>
                <w:sz w:val="20"/>
              </w:rPr>
              <w:t>4</w:t>
            </w:r>
          </w:p>
        </w:tc>
        <w:tc>
          <w:tcPr>
            <w:tcW w:type="dxa" w:w="3135"/>
          </w:tcPr>
          <w:p>
            <w:pPr>
              <w:spacing w:line="240" w:lineRule="auto"/>
              <w:jc w:val="left"/>
            </w:pPr>
            <w:r/>
            <w:r>
              <w:rPr>
                <w:rFonts w:ascii="Times New Roman" w:hAnsi="Times New Roman" w:eastAsia="Times New Roman"/>
                <w:b w:val="0"/>
                <w:i w:val="0"/>
                <w:sz w:val="20"/>
              </w:rPr>
              <w:t>Stakeholder consultation and engagement</w:t>
            </w:r>
          </w:p>
        </w:tc>
        <w:tc>
          <w:tcPr>
            <w:tcW w:type="dxa" w:w="3135"/>
          </w:tcPr>
          <w:p>
            <w:pPr>
              <w:spacing w:line="240" w:lineRule="auto"/>
              <w:jc w:val="center"/>
            </w:pPr>
            <w:r/>
            <w:r>
              <w:rPr>
                <w:rFonts w:ascii="Times New Roman" w:hAnsi="Times New Roman" w:eastAsia="Times New Roman"/>
                <w:b w:val="0"/>
                <w:i w:val="0"/>
                <w:sz w:val="20"/>
              </w:rPr>
              <w:t>15</w:t>
            </w:r>
          </w:p>
        </w:tc>
      </w:tr>
      <w:tr>
        <w:tc>
          <w:tcPr>
            <w:tcW w:type="dxa" w:w="3135"/>
          </w:tcPr>
          <w:p>
            <w:pPr>
              <w:spacing w:line="240" w:lineRule="auto"/>
              <w:jc w:val="center"/>
            </w:pPr>
            <w:r/>
            <w:r>
              <w:rPr>
                <w:rFonts w:ascii="Times New Roman" w:hAnsi="Times New Roman" w:eastAsia="Times New Roman"/>
                <w:b w:val="0"/>
                <w:i w:val="0"/>
                <w:sz w:val="20"/>
              </w:rPr>
              <w:t>5</w:t>
            </w:r>
          </w:p>
        </w:tc>
        <w:tc>
          <w:tcPr>
            <w:tcW w:type="dxa" w:w="3135"/>
          </w:tcPr>
          <w:p>
            <w:pPr>
              <w:spacing w:line="240" w:lineRule="auto"/>
              <w:jc w:val="left"/>
            </w:pPr>
            <w:r/>
            <w:r>
              <w:rPr>
                <w:rFonts w:ascii="Times New Roman" w:hAnsi="Times New Roman" w:eastAsia="Times New Roman"/>
                <w:b w:val="0"/>
                <w:i w:val="0"/>
                <w:sz w:val="20"/>
              </w:rPr>
              <w:t>Festival program and artist booking</w:t>
            </w:r>
          </w:p>
        </w:tc>
        <w:tc>
          <w:tcPr>
            <w:tcW w:type="dxa" w:w="3135"/>
          </w:tcPr>
          <w:p>
            <w:pPr>
              <w:spacing w:line="240" w:lineRule="auto"/>
              <w:jc w:val="center"/>
            </w:pPr>
            <w:r/>
            <w:r>
              <w:rPr>
                <w:rFonts w:ascii="Times New Roman" w:hAnsi="Times New Roman" w:eastAsia="Times New Roman"/>
                <w:b w:val="0"/>
                <w:i w:val="0"/>
                <w:sz w:val="20"/>
              </w:rPr>
              <w:t>25</w:t>
            </w:r>
          </w:p>
        </w:tc>
      </w:tr>
      <w:tr>
        <w:tc>
          <w:tcPr>
            <w:tcW w:type="dxa" w:w="3135"/>
          </w:tcPr>
          <w:p>
            <w:pPr>
              <w:spacing w:line="240" w:lineRule="auto"/>
              <w:jc w:val="center"/>
            </w:pPr>
            <w:r/>
            <w:r>
              <w:rPr>
                <w:rFonts w:ascii="Times New Roman" w:hAnsi="Times New Roman" w:eastAsia="Times New Roman"/>
                <w:b w:val="0"/>
                <w:i w:val="0"/>
                <w:sz w:val="20"/>
              </w:rPr>
              <w:t>6</w:t>
            </w:r>
          </w:p>
        </w:tc>
        <w:tc>
          <w:tcPr>
            <w:tcW w:type="dxa" w:w="3135"/>
          </w:tcPr>
          <w:p>
            <w:pPr>
              <w:spacing w:line="240" w:lineRule="auto"/>
              <w:jc w:val="left"/>
            </w:pPr>
            <w:r/>
            <w:r>
              <w:rPr>
                <w:rFonts w:ascii="Times New Roman" w:hAnsi="Times New Roman" w:eastAsia="Times New Roman"/>
                <w:b w:val="0"/>
                <w:i w:val="0"/>
                <w:sz w:val="20"/>
              </w:rPr>
              <w:t>Site layout and technical design</w:t>
            </w:r>
          </w:p>
        </w:tc>
        <w:tc>
          <w:tcPr>
            <w:tcW w:type="dxa" w:w="3135"/>
          </w:tcPr>
          <w:p>
            <w:pPr>
              <w:spacing w:line="240" w:lineRule="auto"/>
              <w:jc w:val="center"/>
            </w:pPr>
            <w:r/>
            <w:r>
              <w:rPr>
                <w:rFonts w:ascii="Times New Roman" w:hAnsi="Times New Roman" w:eastAsia="Times New Roman"/>
                <w:b w:val="0"/>
                <w:i w:val="0"/>
                <w:sz w:val="20"/>
              </w:rPr>
              <w:t>18</w:t>
            </w:r>
          </w:p>
        </w:tc>
      </w:tr>
      <w:tr>
        <w:tc>
          <w:tcPr>
            <w:tcW w:type="dxa" w:w="3135"/>
          </w:tcPr>
          <w:p>
            <w:pPr>
              <w:spacing w:line="240" w:lineRule="auto"/>
              <w:jc w:val="center"/>
            </w:pPr>
            <w:r/>
            <w:r>
              <w:rPr>
                <w:rFonts w:ascii="Times New Roman" w:hAnsi="Times New Roman" w:eastAsia="Times New Roman"/>
                <w:b w:val="0"/>
                <w:i w:val="0"/>
                <w:sz w:val="20"/>
              </w:rPr>
              <w:t>7</w:t>
            </w:r>
          </w:p>
        </w:tc>
        <w:tc>
          <w:tcPr>
            <w:tcW w:type="dxa" w:w="3135"/>
          </w:tcPr>
          <w:p>
            <w:pPr>
              <w:spacing w:line="240" w:lineRule="auto"/>
              <w:jc w:val="left"/>
            </w:pPr>
            <w:r/>
            <w:r>
              <w:rPr>
                <w:rFonts w:ascii="Times New Roman" w:hAnsi="Times New Roman" w:eastAsia="Times New Roman"/>
                <w:b w:val="0"/>
                <w:i w:val="0"/>
                <w:sz w:val="20"/>
              </w:rPr>
              <w:t>Sponsorship and funding arrangements</w:t>
            </w:r>
          </w:p>
        </w:tc>
        <w:tc>
          <w:tcPr>
            <w:tcW w:type="dxa" w:w="3135"/>
          </w:tcPr>
          <w:p>
            <w:pPr>
              <w:spacing w:line="240" w:lineRule="auto"/>
              <w:jc w:val="center"/>
            </w:pPr>
            <w:r/>
            <w:r>
              <w:rPr>
                <w:rFonts w:ascii="Times New Roman" w:hAnsi="Times New Roman" w:eastAsia="Times New Roman"/>
                <w:b w:val="0"/>
                <w:i w:val="0"/>
                <w:sz w:val="20"/>
              </w:rPr>
              <w:t>20</w:t>
            </w:r>
          </w:p>
        </w:tc>
      </w:tr>
      <w:tr>
        <w:tc>
          <w:tcPr>
            <w:tcW w:type="dxa" w:w="3135"/>
          </w:tcPr>
          <w:p>
            <w:pPr>
              <w:spacing w:line="240" w:lineRule="auto"/>
              <w:jc w:val="center"/>
            </w:pPr>
            <w:r/>
            <w:r>
              <w:rPr>
                <w:rFonts w:ascii="Times New Roman" w:hAnsi="Times New Roman" w:eastAsia="Times New Roman"/>
                <w:b w:val="0"/>
                <w:i w:val="0"/>
                <w:sz w:val="20"/>
              </w:rPr>
              <w:t>8</w:t>
            </w:r>
          </w:p>
        </w:tc>
        <w:tc>
          <w:tcPr>
            <w:tcW w:type="dxa" w:w="3135"/>
          </w:tcPr>
          <w:p>
            <w:pPr>
              <w:spacing w:line="240" w:lineRule="auto"/>
              <w:jc w:val="left"/>
            </w:pPr>
            <w:r/>
            <w:r>
              <w:rPr>
                <w:rFonts w:ascii="Times New Roman" w:hAnsi="Times New Roman" w:eastAsia="Times New Roman"/>
                <w:b w:val="0"/>
                <w:i w:val="0"/>
                <w:sz w:val="20"/>
              </w:rPr>
              <w:t>Permits, insurance and compliance approvals</w:t>
            </w:r>
          </w:p>
        </w:tc>
        <w:tc>
          <w:tcPr>
            <w:tcW w:type="dxa" w:w="3135"/>
          </w:tcPr>
          <w:p>
            <w:pPr>
              <w:spacing w:line="240" w:lineRule="auto"/>
              <w:jc w:val="center"/>
            </w:pPr>
            <w:r/>
            <w:r>
              <w:rPr>
                <w:rFonts w:ascii="Times New Roman" w:hAnsi="Times New Roman" w:eastAsia="Times New Roman"/>
                <w:b w:val="0"/>
                <w:i w:val="0"/>
                <w:sz w:val="20"/>
              </w:rPr>
              <w:t>25</w:t>
            </w:r>
          </w:p>
        </w:tc>
      </w:tr>
      <w:tr>
        <w:tc>
          <w:tcPr>
            <w:tcW w:type="dxa" w:w="3135"/>
          </w:tcPr>
          <w:p>
            <w:pPr>
              <w:spacing w:line="240" w:lineRule="auto"/>
              <w:jc w:val="center"/>
            </w:pPr>
            <w:r/>
            <w:r>
              <w:rPr>
                <w:rFonts w:ascii="Times New Roman" w:hAnsi="Times New Roman" w:eastAsia="Times New Roman"/>
                <w:b w:val="0"/>
                <w:i w:val="0"/>
                <w:sz w:val="20"/>
              </w:rPr>
              <w:t>9</w:t>
            </w:r>
          </w:p>
        </w:tc>
        <w:tc>
          <w:tcPr>
            <w:tcW w:type="dxa" w:w="3135"/>
          </w:tcPr>
          <w:p>
            <w:pPr>
              <w:spacing w:line="240" w:lineRule="auto"/>
              <w:jc w:val="left"/>
            </w:pPr>
            <w:r/>
            <w:r>
              <w:rPr>
                <w:rFonts w:ascii="Times New Roman" w:hAnsi="Times New Roman" w:eastAsia="Times New Roman"/>
                <w:b w:val="0"/>
                <w:i w:val="0"/>
                <w:sz w:val="20"/>
              </w:rPr>
              <w:t>Supplier procurement and contract award</w:t>
            </w:r>
          </w:p>
        </w:tc>
        <w:tc>
          <w:tcPr>
            <w:tcW w:type="dxa" w:w="3135"/>
          </w:tcPr>
          <w:p>
            <w:pPr>
              <w:spacing w:line="240" w:lineRule="auto"/>
              <w:jc w:val="center"/>
            </w:pPr>
            <w:r/>
            <w:r>
              <w:rPr>
                <w:rFonts w:ascii="Times New Roman" w:hAnsi="Times New Roman" w:eastAsia="Times New Roman"/>
                <w:b w:val="0"/>
                <w:i w:val="0"/>
                <w:sz w:val="20"/>
              </w:rPr>
              <w:t>30</w:t>
            </w:r>
          </w:p>
        </w:tc>
      </w:tr>
      <w:tr>
        <w:tc>
          <w:tcPr>
            <w:tcW w:type="dxa" w:w="3135"/>
          </w:tcPr>
          <w:p>
            <w:pPr>
              <w:spacing w:line="240" w:lineRule="auto"/>
              <w:jc w:val="center"/>
            </w:pPr>
            <w:r/>
            <w:r>
              <w:rPr>
                <w:rFonts w:ascii="Times New Roman" w:hAnsi="Times New Roman" w:eastAsia="Times New Roman"/>
                <w:b w:val="0"/>
                <w:i w:val="0"/>
                <w:sz w:val="20"/>
              </w:rPr>
              <w:t>10</w:t>
            </w:r>
          </w:p>
        </w:tc>
        <w:tc>
          <w:tcPr>
            <w:tcW w:type="dxa" w:w="3135"/>
          </w:tcPr>
          <w:p>
            <w:pPr>
              <w:spacing w:line="240" w:lineRule="auto"/>
              <w:jc w:val="left"/>
            </w:pPr>
            <w:r/>
            <w:r>
              <w:rPr>
                <w:rFonts w:ascii="Times New Roman" w:hAnsi="Times New Roman" w:eastAsia="Times New Roman"/>
                <w:b w:val="0"/>
                <w:i w:val="0"/>
                <w:sz w:val="20"/>
              </w:rPr>
              <w:t>Marketing, communications and ticketing setup</w:t>
            </w:r>
          </w:p>
        </w:tc>
        <w:tc>
          <w:tcPr>
            <w:tcW w:type="dxa" w:w="3135"/>
          </w:tcPr>
          <w:p>
            <w:pPr>
              <w:spacing w:line="240" w:lineRule="auto"/>
              <w:jc w:val="center"/>
            </w:pPr>
            <w:r/>
            <w:r>
              <w:rPr>
                <w:rFonts w:ascii="Times New Roman" w:hAnsi="Times New Roman" w:eastAsia="Times New Roman"/>
                <w:b w:val="0"/>
                <w:i w:val="0"/>
                <w:sz w:val="20"/>
              </w:rPr>
              <w:t>24</w:t>
            </w:r>
          </w:p>
        </w:tc>
      </w:tr>
      <w:tr>
        <w:tc>
          <w:tcPr>
            <w:tcW w:type="dxa" w:w="3135"/>
          </w:tcPr>
          <w:p>
            <w:pPr>
              <w:spacing w:line="240" w:lineRule="auto"/>
              <w:jc w:val="center"/>
            </w:pPr>
            <w:r/>
            <w:r>
              <w:rPr>
                <w:rFonts w:ascii="Times New Roman" w:hAnsi="Times New Roman" w:eastAsia="Times New Roman"/>
                <w:b w:val="0"/>
                <w:i w:val="0"/>
                <w:sz w:val="20"/>
              </w:rPr>
              <w:t>11</w:t>
            </w:r>
          </w:p>
        </w:tc>
        <w:tc>
          <w:tcPr>
            <w:tcW w:type="dxa" w:w="3135"/>
          </w:tcPr>
          <w:p>
            <w:pPr>
              <w:spacing w:line="240" w:lineRule="auto"/>
              <w:jc w:val="left"/>
            </w:pPr>
            <w:r/>
            <w:r>
              <w:rPr>
                <w:rFonts w:ascii="Times New Roman" w:hAnsi="Times New Roman" w:eastAsia="Times New Roman"/>
                <w:b w:val="0"/>
                <w:i w:val="0"/>
                <w:sz w:val="20"/>
              </w:rPr>
              <w:t>Staffing and volunteer planning</w:t>
            </w:r>
          </w:p>
        </w:tc>
        <w:tc>
          <w:tcPr>
            <w:tcW w:type="dxa" w:w="3135"/>
          </w:tcPr>
          <w:p>
            <w:pPr>
              <w:spacing w:line="240" w:lineRule="auto"/>
              <w:jc w:val="center"/>
            </w:pPr>
            <w:r/>
            <w:r>
              <w:rPr>
                <w:rFonts w:ascii="Times New Roman" w:hAnsi="Times New Roman" w:eastAsia="Times New Roman"/>
                <w:b w:val="0"/>
                <w:i w:val="0"/>
                <w:sz w:val="20"/>
              </w:rPr>
              <w:t>18</w:t>
            </w:r>
          </w:p>
        </w:tc>
      </w:tr>
      <w:tr>
        <w:tc>
          <w:tcPr>
            <w:tcW w:type="dxa" w:w="3135"/>
          </w:tcPr>
          <w:p>
            <w:pPr>
              <w:spacing w:line="240" w:lineRule="auto"/>
              <w:jc w:val="center"/>
            </w:pPr>
            <w:r/>
            <w:r>
              <w:rPr>
                <w:rFonts w:ascii="Times New Roman" w:hAnsi="Times New Roman" w:eastAsia="Times New Roman"/>
                <w:b w:val="0"/>
                <w:i w:val="0"/>
                <w:sz w:val="20"/>
              </w:rPr>
              <w:t>12</w:t>
            </w:r>
          </w:p>
        </w:tc>
        <w:tc>
          <w:tcPr>
            <w:tcW w:type="dxa" w:w="3135"/>
          </w:tcPr>
          <w:p>
            <w:pPr>
              <w:spacing w:line="240" w:lineRule="auto"/>
              <w:jc w:val="left"/>
            </w:pPr>
            <w:r/>
            <w:r>
              <w:rPr>
                <w:rFonts w:ascii="Times New Roman" w:hAnsi="Times New Roman" w:eastAsia="Times New Roman"/>
                <w:b w:val="0"/>
                <w:i w:val="0"/>
                <w:sz w:val="20"/>
              </w:rPr>
              <w:t>Operations, security, safety and contingency planning</w:t>
            </w:r>
          </w:p>
        </w:tc>
        <w:tc>
          <w:tcPr>
            <w:tcW w:type="dxa" w:w="3135"/>
          </w:tcPr>
          <w:p>
            <w:pPr>
              <w:spacing w:line="240" w:lineRule="auto"/>
              <w:jc w:val="center"/>
            </w:pPr>
            <w:r/>
            <w:r>
              <w:rPr>
                <w:rFonts w:ascii="Times New Roman" w:hAnsi="Times New Roman" w:eastAsia="Times New Roman"/>
                <w:b w:val="0"/>
                <w:i w:val="0"/>
                <w:sz w:val="20"/>
              </w:rPr>
              <w:t>22</w:t>
            </w:r>
          </w:p>
        </w:tc>
      </w:tr>
      <w:tr>
        <w:tc>
          <w:tcPr>
            <w:tcW w:type="dxa" w:w="3135"/>
          </w:tcPr>
          <w:p>
            <w:pPr>
              <w:spacing w:line="240" w:lineRule="auto"/>
              <w:jc w:val="center"/>
            </w:pPr>
            <w:r/>
            <w:r>
              <w:rPr>
                <w:rFonts w:ascii="Times New Roman" w:hAnsi="Times New Roman" w:eastAsia="Times New Roman"/>
                <w:b w:val="0"/>
                <w:i w:val="0"/>
                <w:sz w:val="20"/>
              </w:rPr>
              <w:t>13</w:t>
            </w:r>
          </w:p>
        </w:tc>
        <w:tc>
          <w:tcPr>
            <w:tcW w:type="dxa" w:w="3135"/>
          </w:tcPr>
          <w:p>
            <w:pPr>
              <w:spacing w:line="240" w:lineRule="auto"/>
              <w:jc w:val="left"/>
            </w:pPr>
            <w:r/>
            <w:r>
              <w:rPr>
                <w:rFonts w:ascii="Times New Roman" w:hAnsi="Times New Roman" w:eastAsia="Times New Roman"/>
                <w:b w:val="0"/>
                <w:i w:val="0"/>
                <w:sz w:val="20"/>
              </w:rPr>
              <w:t>Site setup, equipment installation and rehearsals</w:t>
            </w:r>
          </w:p>
        </w:tc>
        <w:tc>
          <w:tcPr>
            <w:tcW w:type="dxa" w:w="3135"/>
          </w:tcPr>
          <w:p>
            <w:pPr>
              <w:spacing w:line="240" w:lineRule="auto"/>
              <w:jc w:val="center"/>
            </w:pPr>
            <w:r/>
            <w:r>
              <w:rPr>
                <w:rFonts w:ascii="Times New Roman" w:hAnsi="Times New Roman" w:eastAsia="Times New Roman"/>
                <w:b w:val="0"/>
                <w:i w:val="0"/>
                <w:sz w:val="20"/>
              </w:rPr>
              <w:t>5</w:t>
            </w:r>
          </w:p>
        </w:tc>
      </w:tr>
      <w:tr>
        <w:tc>
          <w:tcPr>
            <w:tcW w:type="dxa" w:w="3135"/>
          </w:tcPr>
          <w:p>
            <w:pPr>
              <w:spacing w:line="240" w:lineRule="auto"/>
              <w:jc w:val="center"/>
            </w:pPr>
            <w:r/>
            <w:r>
              <w:rPr>
                <w:rFonts w:ascii="Times New Roman" w:hAnsi="Times New Roman" w:eastAsia="Times New Roman"/>
                <w:b w:val="0"/>
                <w:i w:val="0"/>
                <w:sz w:val="20"/>
              </w:rPr>
              <w:t>14</w:t>
            </w:r>
          </w:p>
        </w:tc>
        <w:tc>
          <w:tcPr>
            <w:tcW w:type="dxa" w:w="3135"/>
          </w:tcPr>
          <w:p>
            <w:pPr>
              <w:spacing w:line="240" w:lineRule="auto"/>
              <w:jc w:val="left"/>
            </w:pPr>
            <w:r/>
            <w:r>
              <w:rPr>
                <w:rFonts w:ascii="Times New Roman" w:hAnsi="Times New Roman" w:eastAsia="Times New Roman"/>
                <w:b w:val="0"/>
                <w:i w:val="0"/>
                <w:sz w:val="20"/>
              </w:rPr>
              <w:t>Festival delivery</w:t>
            </w:r>
          </w:p>
        </w:tc>
        <w:tc>
          <w:tcPr>
            <w:tcW w:type="dxa" w:w="3135"/>
          </w:tcPr>
          <w:p>
            <w:pPr>
              <w:spacing w:line="240" w:lineRule="auto"/>
              <w:jc w:val="center"/>
            </w:pPr>
            <w:r/>
            <w:r>
              <w:rPr>
                <w:rFonts w:ascii="Times New Roman" w:hAnsi="Times New Roman" w:eastAsia="Times New Roman"/>
                <w:b w:val="0"/>
                <w:i w:val="0"/>
                <w:sz w:val="20"/>
              </w:rPr>
              <w:t>2</w:t>
            </w:r>
          </w:p>
        </w:tc>
      </w:tr>
      <w:tr>
        <w:tc>
          <w:tcPr>
            <w:tcW w:type="dxa" w:w="3135"/>
          </w:tcPr>
          <w:p>
            <w:pPr>
              <w:spacing w:line="240" w:lineRule="auto"/>
              <w:jc w:val="center"/>
            </w:pPr>
            <w:r/>
            <w:r>
              <w:rPr>
                <w:rFonts w:ascii="Times New Roman" w:hAnsi="Times New Roman" w:eastAsia="Times New Roman"/>
                <w:b w:val="0"/>
                <w:i w:val="0"/>
                <w:sz w:val="20"/>
              </w:rPr>
              <w:t>15</w:t>
            </w:r>
          </w:p>
        </w:tc>
        <w:tc>
          <w:tcPr>
            <w:tcW w:type="dxa" w:w="3135"/>
          </w:tcPr>
          <w:p>
            <w:pPr>
              <w:spacing w:line="240" w:lineRule="auto"/>
              <w:jc w:val="left"/>
            </w:pPr>
            <w:r/>
            <w:r>
              <w:rPr>
                <w:rFonts w:ascii="Times New Roman" w:hAnsi="Times New Roman" w:eastAsia="Times New Roman"/>
                <w:b w:val="0"/>
                <w:i w:val="0"/>
                <w:sz w:val="20"/>
              </w:rPr>
              <w:t>Pack-down, evaluation and project closure</w:t>
            </w:r>
          </w:p>
        </w:tc>
        <w:tc>
          <w:tcPr>
            <w:tcW w:type="dxa" w:w="3135"/>
          </w:tcPr>
          <w:p>
            <w:pPr>
              <w:spacing w:line="240" w:lineRule="auto"/>
              <w:jc w:val="center"/>
            </w:pPr>
            <w:r/>
            <w:r>
              <w:rPr>
                <w:rFonts w:ascii="Times New Roman" w:hAnsi="Times New Roman" w:eastAsia="Times New Roman"/>
                <w:b w:val="0"/>
                <w:i w:val="0"/>
                <w:sz w:val="20"/>
              </w:rPr>
              <w:t>7</w:t>
            </w:r>
          </w:p>
        </w:tc>
      </w:tr>
    </w:tbl>
    <w:p>
      <w:pPr>
        <w:spacing w:line="240" w:lineRule="auto" w:after="0" w:before="0"/>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val="0"/>
          <w:i/>
          <w:sz w:val="20"/>
        </w:rPr>
        <w:t>Source: Workshop slides, Learning Community 2, Week 2.</w:t>
      </w:r>
    </w:p>
    <w:p>
      <w:pPr>
        <w:spacing w:line="240" w:lineRule="auto" w:after="0" w:before="0"/>
      </w:pPr>
      <w:r>
        <w:rPr>
          <w:rFonts w:ascii="Times New Roman" w:hAnsi="Times New Roman" w:eastAsia="Times New Roman"/>
          <w:b/>
          <w:i w:val="0"/>
          <w:sz w:val="20"/>
        </w:rPr>
        <w:t>Figure 1: Node template used for the network diagram</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jc w:val="center"/>
            </w:pPr>
            <w:r/>
            <w:r>
              <w:rPr>
                <w:rFonts w:ascii="Times New Roman" w:hAnsi="Times New Roman" w:eastAsia="Times New Roman"/>
                <w:b/>
                <w:i w:val="0"/>
                <w:sz w:val="20"/>
              </w:rPr>
              <w:t>ES</w:t>
            </w:r>
          </w:p>
        </w:tc>
        <w:tc>
          <w:tcPr>
            <w:tcW w:type="dxa" w:w="3135"/>
          </w:tcPr>
          <w:p>
            <w:pPr>
              <w:spacing w:line="240" w:lineRule="auto"/>
              <w:jc w:val="center"/>
            </w:pPr>
            <w:r/>
            <w:r>
              <w:rPr>
                <w:rFonts w:ascii="Times New Roman" w:hAnsi="Times New Roman" w:eastAsia="Times New Roman"/>
                <w:b w:val="0"/>
                <w:i w:val="0"/>
                <w:sz w:val="20"/>
              </w:rPr>
              <w:t>ID</w:t>
            </w:r>
          </w:p>
        </w:tc>
        <w:tc>
          <w:tcPr>
            <w:tcW w:type="dxa" w:w="3135"/>
          </w:tcPr>
          <w:p>
            <w:pPr>
              <w:spacing w:line="240" w:lineRule="auto"/>
              <w:jc w:val="center"/>
            </w:pPr>
            <w:r/>
            <w:r>
              <w:rPr>
                <w:rFonts w:ascii="Times New Roman" w:hAnsi="Times New Roman" w:eastAsia="Times New Roman"/>
                <w:b/>
                <w:i w:val="0"/>
                <w:sz w:val="20"/>
              </w:rPr>
              <w:t>EF</w:t>
            </w:r>
          </w:p>
        </w:tc>
      </w:tr>
      <w:tr>
        <w:tc>
          <w:tcPr>
            <w:tcW w:type="dxa" w:w="3135"/>
          </w:tcPr>
          <w:p>
            <w:pPr>
              <w:spacing w:line="240" w:lineRule="auto"/>
              <w:jc w:val="center"/>
            </w:pPr>
            <w:r/>
            <w:r>
              <w:rPr>
                <w:rFonts w:ascii="Times New Roman" w:hAnsi="Times New Roman" w:eastAsia="Times New Roman"/>
                <w:b w:val="0"/>
                <w:i w:val="0"/>
                <w:sz w:val="20"/>
              </w:rPr>
              <w:t>Float</w:t>
            </w:r>
          </w:p>
        </w:tc>
        <w:tc>
          <w:tcPr>
            <w:tcW w:type="dxa" w:w="3135"/>
          </w:tcPr>
          <w:p>
            <w:pPr>
              <w:spacing w:line="240" w:lineRule="auto"/>
              <w:jc w:val="center"/>
            </w:pPr>
            <w:r/>
            <w:r>
              <w:rPr>
                <w:rFonts w:ascii="Times New Roman" w:hAnsi="Times New Roman" w:eastAsia="Times New Roman"/>
                <w:b w:val="0"/>
                <w:i w:val="0"/>
                <w:sz w:val="20"/>
              </w:rPr>
              <w:t>Description</w:t>
            </w:r>
          </w:p>
        </w:tc>
        <w:tc>
          <w:tcPr>
            <w:tcW w:type="dxa" w:w="3135"/>
          </w:tcPr>
          <w:p>
            <w:pPr>
              <w:spacing w:line="240" w:lineRule="auto"/>
              <w:jc w:val="center"/>
            </w:pPr>
            <w:r/>
            <w:r>
              <w:rPr>
                <w:rFonts w:ascii="Times New Roman" w:hAnsi="Times New Roman" w:eastAsia="Times New Roman"/>
                <w:b w:val="0"/>
                <w:i w:val="0"/>
                <w:sz w:val="20"/>
              </w:rPr>
            </w:r>
          </w:p>
        </w:tc>
      </w:tr>
      <w:tr>
        <w:tc>
          <w:tcPr>
            <w:tcW w:type="dxa" w:w="3135"/>
          </w:tcPr>
          <w:p>
            <w:pPr>
              <w:spacing w:line="240" w:lineRule="auto"/>
              <w:jc w:val="center"/>
            </w:pPr>
            <w:r/>
            <w:r>
              <w:rPr>
                <w:rFonts w:ascii="Times New Roman" w:hAnsi="Times New Roman" w:eastAsia="Times New Roman"/>
                <w:b/>
                <w:i w:val="0"/>
                <w:sz w:val="20"/>
              </w:rPr>
              <w:t>LS</w:t>
            </w:r>
          </w:p>
        </w:tc>
        <w:tc>
          <w:tcPr>
            <w:tcW w:type="dxa" w:w="3135"/>
          </w:tcPr>
          <w:p>
            <w:pPr>
              <w:spacing w:line="240" w:lineRule="auto"/>
              <w:jc w:val="center"/>
            </w:pPr>
            <w:r/>
            <w:r>
              <w:rPr>
                <w:rFonts w:ascii="Times New Roman" w:hAnsi="Times New Roman" w:eastAsia="Times New Roman"/>
                <w:b w:val="0"/>
                <w:i w:val="0"/>
                <w:sz w:val="20"/>
              </w:rPr>
              <w:t>Duration</w:t>
            </w:r>
          </w:p>
        </w:tc>
        <w:tc>
          <w:tcPr>
            <w:tcW w:type="dxa" w:w="3135"/>
          </w:tcPr>
          <w:p>
            <w:pPr>
              <w:spacing w:line="240" w:lineRule="auto"/>
              <w:jc w:val="center"/>
            </w:pPr>
            <w:r/>
            <w:r>
              <w:rPr>
                <w:rFonts w:ascii="Times New Roman" w:hAnsi="Times New Roman" w:eastAsia="Times New Roman"/>
                <w:b/>
                <w:i w:val="0"/>
                <w:sz w:val="20"/>
              </w:rPr>
              <w:t>LF</w:t>
            </w:r>
          </w:p>
        </w:tc>
      </w:tr>
    </w:tbl>
    <w:p>
      <w:pPr>
        <w:spacing w:line="240" w:lineRule="auto" w:after="0" w:before="0"/>
      </w:pPr>
      <w:r>
        <w:rPr>
          <w:rFonts w:ascii="Times New Roman" w:hAnsi="Times New Roman" w:eastAsia="Times New Roman"/>
          <w:b w:val="0"/>
          <w:i w:val="0"/>
          <w:sz w:val="24"/>
        </w:rPr>
      </w:r>
    </w:p>
    <w:p>
      <w:pPr>
        <w:spacing w:line="240" w:lineRule="auto" w:after="0" w:before="0"/>
      </w:pPr>
      <w:r>
        <w:rPr>
          <w:rFonts w:ascii="Times New Roman" w:hAnsi="Times New Roman" w:eastAsia="Times New Roman"/>
          <w:b/>
          <w:i w:val="0"/>
          <w:sz w:val="20"/>
        </w:rPr>
        <w:t>Figure 2: Network diagram and critical path (thick arrows) of the Riverside Sounds project</w:t>
      </w:r>
    </w:p>
    <w:p>
      <w:pPr>
        <w:jc w:val="center"/>
      </w:pPr>
      <w:r>
        <w:drawing>
          <wp:inline xmlns:a="http://schemas.openxmlformats.org/drawingml/2006/main" xmlns:pic="http://schemas.openxmlformats.org/drawingml/2006/picture">
            <wp:extent cx="5580000" cy="2508440"/>
            <wp:docPr id="1" name="Picture 1"/>
            <wp:cNvGraphicFramePr>
              <a:graphicFrameLocks noChangeAspect="1"/>
            </wp:cNvGraphicFramePr>
            <a:graphic>
              <a:graphicData uri="http://schemas.openxmlformats.org/drawingml/2006/picture">
                <pic:pic>
                  <pic:nvPicPr>
                    <pic:cNvPr id="0" name="network.png"/>
                    <pic:cNvPicPr/>
                  </pic:nvPicPr>
                  <pic:blipFill>
                    <a:blip r:embed="rId9"/>
                    <a:stretch>
                      <a:fillRect/>
                    </a:stretch>
                  </pic:blipFill>
                  <pic:spPr>
                    <a:xfrm>
                      <a:off x="0" y="0"/>
                      <a:ext cx="5580000" cy="2508440"/>
                    </a:xfrm>
                    <a:prstGeom prst="rect"/>
                  </pic:spPr>
                </pic:pic>
              </a:graphicData>
            </a:graphic>
          </wp:inline>
        </w:drawing>
      </w:r>
    </w:p>
    <w:p>
      <w:pPr>
        <w:spacing w:line="240" w:lineRule="auto" w:after="0" w:before="0"/>
      </w:pPr>
      <w:r>
        <w:rPr>
          <w:rFonts w:ascii="Times New Roman" w:hAnsi="Times New Roman" w:eastAsia="Times New Roman"/>
          <w:b w:val="0"/>
          <w:i w:val="0"/>
          <w:sz w:val="24"/>
        </w:rPr>
      </w:r>
    </w:p>
    <w:p>
      <w:r>
        <w:br w:type="page"/>
      </w:r>
    </w:p>
    <w:p>
      <w:pPr>
        <w:spacing w:line="240" w:lineRule="auto" w:after="240" w:before="0"/>
      </w:pPr>
      <w:r>
        <w:rPr>
          <w:rFonts w:ascii="Times New Roman" w:hAnsi="Times New Roman" w:eastAsia="Times New Roman"/>
          <w:b/>
          <w:i w:val="0"/>
          <w:sz w:val="28"/>
        </w:rPr>
        <w:t>Reference List</w:t>
      </w:r>
    </w:p>
    <w:p>
      <w:pPr>
        <w:spacing w:line="240" w:lineRule="auto" w:after="160" w:before="0"/>
        <w:ind w:left="425" w:hanging="425"/>
      </w:pPr>
      <w:r>
        <w:rPr>
          <w:rFonts w:ascii="Times New Roman" w:hAnsi="Times New Roman" w:eastAsia="Times New Roman"/>
          <w:b w:val="0"/>
          <w:i w:val="0"/>
          <w:sz w:val="24"/>
        </w:rPr>
      </w:r>
      <w:r>
        <w:rPr>
          <w:rFonts w:ascii="Times New Roman" w:hAnsi="Times New Roman" w:eastAsia="Times New Roman"/>
          <w:b w:val="0"/>
          <w:i w:val="0"/>
          <w:sz w:val="20"/>
        </w:rPr>
        <w:t>Kerzner, H. (2017) Project Management: A Systems Approach to Planning, Scheduling, and Controlling. 12th edn. Hoboken, NJ: John Wiley &amp; Sons.</w:t>
      </w:r>
    </w:p>
    <w:p>
      <w:pPr>
        <w:spacing w:line="240" w:lineRule="auto" w:after="160" w:before="0"/>
        <w:ind w:left="425" w:hanging="425"/>
      </w:pPr>
      <w:r>
        <w:rPr>
          <w:rFonts w:ascii="Times New Roman" w:hAnsi="Times New Roman" w:eastAsia="Times New Roman"/>
          <w:b w:val="0"/>
          <w:i w:val="0"/>
          <w:sz w:val="24"/>
        </w:rPr>
      </w:r>
      <w:r>
        <w:rPr>
          <w:rFonts w:ascii="Times New Roman" w:hAnsi="Times New Roman" w:eastAsia="Times New Roman"/>
          <w:b w:val="0"/>
          <w:i w:val="0"/>
          <w:sz w:val="20"/>
        </w:rPr>
        <w:t>Project Management Institute (2021) A Guide to the Project Management Body of Knowledge (PMBOK Guide). 7th edn. Newtown Square, PA: Project Management Institute.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