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09</w:t>
      </w:r>
    </w:p>
    <w:p>
      <w:pPr>
        <w:spacing w:before="240" w:after="80" w:line="312" w:lineRule="auto"/>
      </w:pPr>
      <w:r>
        <w:rPr>
          <w:rFonts w:ascii="Calibri" w:hAnsi="Calibri" w:cs="Calibri" w:eastAsia="PingFang SC"/>
          <w:b/>
          <w:color w:val="33302A"/>
          <w:sz w:val="32"/>
          <w:szCs w:val="32"/>
        </w:rPr>
        <w:t xml:space="preserve">BUSS1020 Week 9 — Independent Two-Sample Inference and Pooled Variance</w:t>
      </w:r>
    </w:p>
    <w:p>
      <w:pPr>
        <w:spacing w:before="240" w:after="80" w:line="312" w:lineRule="auto"/>
      </w:pPr>
      <w:r>
        <w:rPr>
          <w:rFonts w:ascii="Calibri" w:hAnsi="Calibri" w:cs="Calibri" w:eastAsia="PingFang SC"/>
          <w:b/>
          <w:color w:val="9E3D34"/>
          <w:sz w:val="26"/>
          <w:szCs w:val="26"/>
        </w:rPr>
        <w:t xml:space="preserve">Comparing populations</w:t>
      </w:r>
    </w:p>
    <w:p>
      <w:pPr>
        <w:spacing w:before="0" w:after="160" w:line="312" w:lineRule="auto"/>
      </w:pPr>
      <w:r>
        <w:rPr>
          <w:rFonts w:ascii="Calibri" w:hAnsi="Calibri" w:cs="Calibri" w:eastAsia="PingFang SC"/>
          <w:color w:val="3D3A33"/>
          <w:sz w:val="22"/>
          <w:szCs w:val="22"/>
        </w:rPr>
        <w:t xml:space="preserve">Two-sample inference compares population characteristics using samples from two groups. The main designs are independent-sample comparisons of means, related-sample comparisons of means, and comparisons of proportions. Comparing two population variances is a distinct problem from comparing means; a regression overall F test is also a different procedure.</w:t>
      </w:r>
    </w:p>
    <w:p>
      <w:pPr>
        <w:spacing w:before="0" w:after="160" w:line="312" w:lineRule="auto"/>
      </w:pPr>
      <w:r>
        <w:rPr>
          <w:rFonts w:ascii="Calibri" w:hAnsi="Calibri" w:cs="Calibri" w:eastAsia="PingFang SC"/>
          <w:color w:val="3D3A33"/>
          <w:sz w:val="22"/>
          <w:szCs w:val="22"/>
        </w:rPr>
        <w:t xml:space="preserve">Independent samples arise when observations in one sample are not paired with or statistically dependent on observations in the other. Related samples arise from repeated observations on the same units or deliberately matched units. Choosing a method begins with the sampling design, not merely the fact that there are two columns of numbers.</w:t>
      </w:r>
    </w:p>
    <w:p>
      <w:pPr>
        <w:spacing w:before="0" w:after="160" w:line="312" w:lineRule="auto"/>
      </w:pPr>
      <w:r>
        <w:rPr>
          <w:rFonts w:ascii="Calibri" w:hAnsi="Calibri" w:cs="Calibri" w:eastAsia="PingFang SC"/>
          <w:color w:val="3D3A33"/>
          <w:sz w:val="22"/>
          <w:szCs w:val="22"/>
        </w:rPr>
        <w:t xml:space="preserve">For population means μ₁ and μ₂, the parameter of interest is </w:t>
      </w:r>
      <w:r>
        <w:rPr>
          <w:rFonts w:ascii="Calibri" w:hAnsi="Calibri" w:cs="Calibri" w:eastAsia="PingFang SC"/>
          <w:b/>
          <w:color w:val="3D3A33"/>
          <w:sz w:val="22"/>
          <w:szCs w:val="22"/>
        </w:rPr>
        <w:t xml:space="preserve">μ₁ − μ₂</w:t>
      </w:r>
      <w:r>
        <w:rPr>
          <w:rFonts w:ascii="Calibri" w:hAnsi="Calibri" w:cs="Calibri" w:eastAsia="PingFang SC"/>
          <w:color w:val="3D3A33"/>
          <w:sz w:val="22"/>
          <w:szCs w:val="22"/>
        </w:rPr>
        <w:t xml:space="preserve">. Subscripts 1 and 2 identify the groups. The estimator is X̄₁ − X̄₂, where X̄ⱼ denotes the random sample mean for group j. Its expectation is μ₁ − μ₂, so it is unbiased.</w:t>
      </w:r>
    </w:p>
    <w:p>
      <w:pPr>
        <w:spacing w:before="0" w:after="160" w:line="312" w:lineRule="auto"/>
      </w:pPr>
      <w:r>
        <w:rPr>
          <w:rFonts w:ascii="Calibri" w:hAnsi="Calibri" w:cs="Calibri" w:eastAsia="PingFang SC"/>
          <w:color w:val="3D3A33"/>
          <w:sz w:val="22"/>
          <w:szCs w:val="22"/>
        </w:rPr>
        <w:t xml:space="preserve">For independent samples of sizes n₁ and n₂ with population variances σ₁² and σ₂²:</w:t>
      </w:r>
    </w:p>
    <w:p>
      <w:pPr>
        <w:spacing w:before="0" w:after="160" w:line="312" w:lineRule="auto"/>
      </w:pPr>
      <w:r>
        <w:rPr>
          <w:rFonts w:ascii="Calibri" w:hAnsi="Calibri" w:cs="Calibri" w:eastAsia="PingFang SC"/>
          <w:b/>
          <w:color w:val="3D3A33"/>
          <w:sz w:val="22"/>
          <w:szCs w:val="22"/>
        </w:rPr>
        <w:t xml:space="preserve">Var(X̄₁ − X̄₂) = σ₁²/n₁ + σ₂²/n₂.</w:t>
      </w:r>
    </w:p>
    <w:p>
      <w:pPr>
        <w:spacing w:before="0" w:after="160" w:line="312" w:lineRule="auto"/>
      </w:pPr>
      <w:r>
        <w:rPr>
          <w:rFonts w:ascii="Calibri" w:hAnsi="Calibri" w:cs="Calibri" w:eastAsia="PingFang SC"/>
          <w:color w:val="3D3A33"/>
          <w:sz w:val="22"/>
          <w:szCs w:val="22"/>
        </w:rPr>
        <w:t xml:space="preserve">The standard error is the square root of this variance. Uncertainty adds even though the means are subtracted: independence makes the covariance term zero, not the individual variances negative.</w:t>
      </w:r>
    </w:p>
    <w:p>
      <w:pPr>
        <w:spacing w:before="240" w:after="80" w:line="312" w:lineRule="auto"/>
      </w:pPr>
      <w:r>
        <w:rPr>
          <w:rFonts w:ascii="Calibri" w:hAnsi="Calibri" w:cs="Calibri" w:eastAsia="PingFang SC"/>
          <w:b/>
          <w:color w:val="9E3D34"/>
          <w:sz w:val="26"/>
          <w:szCs w:val="26"/>
        </w:rPr>
        <w:t xml:space="preserve">Hypotheses and decision rules</w:t>
      </w:r>
    </w:p>
    <w:p>
      <w:pPr>
        <w:spacing w:before="0" w:after="160" w:line="312" w:lineRule="auto"/>
      </w:pPr>
      <w:r>
        <w:rPr>
          <w:rFonts w:ascii="Calibri" w:hAnsi="Calibri" w:cs="Calibri" w:eastAsia="PingFang SC"/>
          <w:color w:val="3D3A33"/>
          <w:sz w:val="22"/>
          <w:szCs w:val="22"/>
        </w:rPr>
        <w:t xml:space="preserve">Let Δ₀ be the hypothesised difference. For equal means, Δ₀ = 0. The null is H₀: μ₁ − μ₂ = Δ₀; the alternative specifies a difference below, above or unequal to Δ₀.</w:t>
      </w:r>
    </w:p>
    <w:p>
      <w:pPr>
        <w:spacing w:before="0" w:after="160" w:line="312" w:lineRule="auto"/>
      </w:pPr>
      <w:r>
        <w:rPr>
          <w:rFonts w:ascii="Calibri" w:hAnsi="Calibri" w:cs="Calibri" w:eastAsia="PingFang SC"/>
          <w:color w:val="3D3A33"/>
          <w:sz w:val="22"/>
          <w:szCs w:val="22"/>
        </w:rPr>
        <w:t xml:space="preserve">Let t* denote a positive t critical magnitude for the specified degrees of freedom and significance level α. For a one-sided test it is the 1 − α percentile; for a two-sided test it is the 1 − α/2 percentile.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553"/>
        <w:gridCol w:w="3807"/>
      </w:tblGrid>
      <w:tr>
        <w:trPr>
          <w:tblHeader/>
        </w:trPr>
        <w:tc>
          <w:tcPr>
            <w:tcW w:w="5553" w:type="dxa"/>
            <w:shd w:val="clear" w:color="auto" w:fill="EAE7DD"/>
          </w:tcPr>
          <w:p>
            <w:pPr>
              <w:spacing w:before="0" w:after="0" w:line="312" w:lineRule="auto"/>
            </w:pPr>
            <w:r>
              <w:rPr>
                <w:rFonts w:ascii="Calibri" w:hAnsi="Calibri" w:cs="Calibri" w:eastAsia="PingFang SC"/>
                <w:b/>
                <w:color w:val="3D3A33"/>
                <w:sz w:val="22"/>
                <w:szCs w:val="22"/>
              </w:rPr>
              <w:t xml:space="preserve">Alternative</w:t>
            </w:r>
          </w:p>
        </w:tc>
        <w:tc>
          <w:tcPr>
            <w:tcW w:w="3807" w:type="dxa"/>
            <w:shd w:val="clear" w:color="auto" w:fill="EAE7DD"/>
          </w:tcPr>
          <w:p>
            <w:pPr>
              <w:spacing w:before="0" w:after="0" w:line="312" w:lineRule="auto"/>
            </w:pPr>
            <w:r>
              <w:rPr>
                <w:rFonts w:ascii="Calibri" w:hAnsi="Calibri" w:cs="Calibri" w:eastAsia="PingFang SC"/>
                <w:b/>
                <w:color w:val="3D3A33"/>
                <w:sz w:val="22"/>
                <w:szCs w:val="22"/>
              </w:rPr>
              <w:t xml:space="preserve">Rejection rule</w:t>
            </w:r>
          </w:p>
        </w:tc>
      </w:tr>
      <w:tr>
        <w:tc>
          <w:tcPr>
            <w:tcW w:w="5553" w:type="dxa"/>
          </w:tcPr>
          <w:p>
            <w:pPr>
              <w:spacing w:before="0" w:after="0" w:line="312" w:lineRule="auto"/>
            </w:pPr>
            <w:r>
              <w:rPr>
                <w:rFonts w:ascii="Calibri" w:hAnsi="Calibri" w:cs="Calibri" w:eastAsia="PingFang SC"/>
                <w:color w:val="3D3A33"/>
                <w:sz w:val="22"/>
                <w:szCs w:val="22"/>
              </w:rPr>
              <w:t xml:space="preserve">μ₁ − μ₂ &lt; Δ₀</w:t>
            </w:r>
          </w:p>
        </w:tc>
        <w:tc>
          <w:tcPr>
            <w:tcW w:w="3807" w:type="dxa"/>
          </w:tcPr>
          <w:p>
            <w:pPr>
              <w:spacing w:before="0" w:after="0" w:line="312" w:lineRule="auto"/>
            </w:pPr>
            <w:r>
              <w:rPr>
                <w:rFonts w:ascii="Calibri" w:hAnsi="Calibri" w:cs="Calibri" w:eastAsia="PingFang SC"/>
                <w:color w:val="3D3A33"/>
                <w:sz w:val="22"/>
                <w:szCs w:val="22"/>
              </w:rPr>
              <w:t xml:space="preserve">t &lt; −t*</w:t>
            </w:r>
          </w:p>
        </w:tc>
      </w:tr>
      <w:tr>
        <w:tc>
          <w:tcPr>
            <w:tcW w:w="5553" w:type="dxa"/>
          </w:tcPr>
          <w:p>
            <w:pPr>
              <w:spacing w:before="0" w:after="0" w:line="312" w:lineRule="auto"/>
            </w:pPr>
            <w:r>
              <w:rPr>
                <w:rFonts w:ascii="Calibri" w:hAnsi="Calibri" w:cs="Calibri" w:eastAsia="PingFang SC"/>
                <w:color w:val="3D3A33"/>
                <w:sz w:val="22"/>
                <w:szCs w:val="22"/>
              </w:rPr>
              <w:t xml:space="preserve">μ₁ − μ₂ &gt; Δ₀</w:t>
            </w:r>
          </w:p>
        </w:tc>
        <w:tc>
          <w:tcPr>
            <w:tcW w:w="3807" w:type="dxa"/>
          </w:tcPr>
          <w:p>
            <w:pPr>
              <w:spacing w:before="0" w:after="0" w:line="312" w:lineRule="auto"/>
            </w:pPr>
            <w:r>
              <w:rPr>
                <w:rFonts w:ascii="Calibri" w:hAnsi="Calibri" w:cs="Calibri" w:eastAsia="PingFang SC"/>
                <w:color w:val="3D3A33"/>
                <w:sz w:val="22"/>
                <w:szCs w:val="22"/>
              </w:rPr>
              <w:t xml:space="preserve">t &gt; t*</w:t>
            </w:r>
          </w:p>
        </w:tc>
      </w:tr>
      <w:tr>
        <w:tc>
          <w:tcPr>
            <w:tcW w:w="5553" w:type="dxa"/>
          </w:tcPr>
          <w:p>
            <w:pPr>
              <w:spacing w:before="0" w:after="0" w:line="312" w:lineRule="auto"/>
            </w:pPr>
            <w:r>
              <w:rPr>
                <w:rFonts w:ascii="Calibri" w:hAnsi="Calibri" w:cs="Calibri" w:eastAsia="PingFang SC"/>
                <w:color w:val="3D3A33"/>
                <w:sz w:val="22"/>
                <w:szCs w:val="22"/>
              </w:rPr>
              <w:t xml:space="preserve">μ₁ − μ₂ ≠ Δ₀</w:t>
            </w:r>
          </w:p>
        </w:tc>
        <w:tc>
          <w:tcPr>
            <w:tcW w:w="3807" w:type="dxa"/>
          </w:tcPr>
          <w:p>
            <w:pPr>
              <w:spacing w:before="0" w:after="0" w:line="312" w:lineRule="auto"/>
            </w:pPr>
            <w:r>
              <w:rPr>
                <w:rFonts w:ascii="Calibri" w:hAnsi="Calibri" w:cs="Calibri" w:eastAsia="PingFang SC"/>
                <w:color w:val="3D3A33"/>
                <w:sz w:val="22"/>
                <w:szCs w:val="22"/>
              </w:rPr>
              <w:t xml:space="preserve"/>
            </w:r>
          </w:p>
        </w:tc>
      </w:tr>
    </w:tbl>
    <w:p>
      <w:pPr>
        <w:spacing w:before="0" w:after="160" w:line="312" w:lineRule="auto"/>
      </w:pPr>
      <w:r>
        <w:rPr>
          <w:rFonts w:ascii="Calibri" w:hAnsi="Calibri" w:cs="Calibri" w:eastAsia="PingFang SC"/>
          <w:color w:val="3D3A33"/>
          <w:sz w:val="22"/>
          <w:szCs w:val="22"/>
        </w:rPr>
        <w:t xml:space="preserve">Writing μ₁ = μ₂ is equivalent to μ₁ − μ₂ = 0. The subtraction order must remain consistent in the hypotheses, estimate, statistic and interpretation.</w:t>
      </w:r>
    </w:p>
    <w:p>
      <w:pPr>
        <w:spacing w:before="240" w:after="80" w:line="312" w:lineRule="auto"/>
      </w:pPr>
      <w:r>
        <w:rPr>
          <w:rFonts w:ascii="Calibri" w:hAnsi="Calibri" w:cs="Calibri" w:eastAsia="PingFang SC"/>
          <w:b/>
          <w:color w:val="9E3D34"/>
          <w:sz w:val="26"/>
          <w:szCs w:val="26"/>
        </w:rPr>
        <w:t xml:space="preserve">Choosing between pooled and separate variance</w:t>
      </w:r>
    </w:p>
    <w:p>
      <w:pPr>
        <w:spacing w:before="0" w:after="160" w:line="312" w:lineRule="auto"/>
      </w:pPr>
      <w:r>
        <w:rPr>
          <w:rFonts w:ascii="Calibri" w:hAnsi="Calibri" w:cs="Calibri" w:eastAsia="PingFang SC"/>
          <w:color w:val="3D3A33"/>
          <w:sz w:val="22"/>
          <w:szCs w:val="22"/>
        </w:rPr>
        <w:t xml:space="preserve">When both population standard deviations are unknown, sample standard deviations s₁ and s₂ estimate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population variances can reasonably be assumed equal, pool the sample variances to estimate one common variance.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equal variances are not assumed, keep the variance estimates separate and use Welch's method.</w:t>
      </w:r>
    </w:p>
    <w:p>
      <w:pPr>
        <w:spacing w:before="0" w:after="160" w:line="312" w:lineRule="auto"/>
      </w:pPr>
      <w:r>
        <w:rPr>
          <w:rFonts w:ascii="Calibri" w:hAnsi="Calibri" w:cs="Calibri" w:eastAsia="PingFang SC"/>
          <w:color w:val="3D3A33"/>
          <w:sz w:val="22"/>
          <w:szCs w:val="22"/>
        </w:rPr>
        <w:t xml:space="preserve">The pooled procedure requires random independent samples and equal population variances. Exact small-sample t inference assumes normal populations. With appropriate non-normal populations, large samples can support an approximation. Practical guidelines are both samples at least 30, or both at least 15 for reasonably symmetric populations. These thresholds are not universal protection against severe skewness or influential observations.</w:t>
      </w:r>
    </w:p>
    <w:p>
      <w:pPr>
        <w:spacing w:before="240" w:after="80" w:line="312" w:lineRule="auto"/>
      </w:pPr>
      <w:r>
        <w:rPr>
          <w:rFonts w:ascii="Calibri" w:hAnsi="Calibri" w:cs="Calibri" w:eastAsia="PingFang SC"/>
          <w:b/>
          <w:color w:val="9E3D34"/>
          <w:sz w:val="26"/>
          <w:szCs w:val="26"/>
        </w:rPr>
        <w:t xml:space="preserve">Pooled variance and test statistic</w:t>
      </w:r>
    </w:p>
    <w:p>
      <w:pPr>
        <w:spacing w:before="0" w:after="160" w:line="312" w:lineRule="auto"/>
      </w:pPr>
      <w:r>
        <w:rPr>
          <w:rFonts w:ascii="Calibri" w:hAnsi="Calibri" w:cs="Calibri" w:eastAsia="PingFang SC"/>
          <w:color w:val="3D3A33"/>
          <w:sz w:val="22"/>
          <w:szCs w:val="22"/>
        </w:rPr>
        <w:t xml:space="preserve">The sample variance sⱼ² measures variation within group j. Each contributes nⱼ − 1 degrees of freedom. Their degrees-of-freedom-weighted average is:</w:t>
      </w:r>
    </w:p>
    <w:p>
      <w:pPr>
        <w:spacing w:before="0" w:after="160" w:line="312" w:lineRule="auto"/>
      </w:pPr>
      <w:r>
        <w:rPr>
          <w:rFonts w:ascii="Calibri" w:hAnsi="Calibri" w:cs="Calibri" w:eastAsia="PingFang SC"/>
          <w:b/>
          <w:color w:val="3D3A33"/>
          <w:sz w:val="22"/>
          <w:szCs w:val="22"/>
        </w:rPr>
        <w:t xml:space="preserve">sₚ² = [(n₁ − 1)s₁² + (n₂ − 1)s₂²]/(n₁ + n₂ − 2).</w:t>
      </w:r>
    </w:p>
    <w:p>
      <w:pPr>
        <w:spacing w:before="0" w:after="160" w:line="312" w:lineRule="auto"/>
      </w:pPr>
      <w:r>
        <w:rPr>
          <w:rFonts w:ascii="Calibri" w:hAnsi="Calibri" w:cs="Calibri" w:eastAsia="PingFang SC"/>
          <w:color w:val="3D3A33"/>
          <w:sz w:val="22"/>
          <w:szCs w:val="22"/>
        </w:rPr>
        <w:t xml:space="preserve">The subscript p denotes pooling. The pooled standard deviation is sₚ = √sₚ². The estimated standard error of the mean difference is:</w:t>
      </w:r>
    </w:p>
    <w:p>
      <w:pPr>
        <w:spacing w:before="0" w:after="160" w:line="312" w:lineRule="auto"/>
      </w:pPr>
      <w:r>
        <w:rPr>
          <w:rFonts w:ascii="Calibri" w:hAnsi="Calibri" w:cs="Calibri" w:eastAsia="PingFang SC"/>
          <w:b/>
          <w:color w:val="3D3A33"/>
          <w:sz w:val="22"/>
          <w:szCs w:val="22"/>
        </w:rPr>
        <w:t xml:space="preserve">SE = √[sₚ²(1/n₁ + 1/n₂)].</w:t>
      </w:r>
    </w:p>
    <w:p>
      <w:pPr>
        <w:spacing w:before="0" w:after="160" w:line="312" w:lineRule="auto"/>
      </w:pPr>
      <w:r>
        <w:rPr>
          <w:rFonts w:ascii="Calibri" w:hAnsi="Calibri" w:cs="Calibri" w:eastAsia="PingFang SC"/>
          <w:color w:val="3D3A33"/>
          <w:sz w:val="22"/>
          <w:szCs w:val="22"/>
        </w:rPr>
        <w:t xml:space="preserve">The test statistic is:</w:t>
      </w:r>
    </w:p>
    <w:p>
      <w:pPr>
        <w:spacing w:before="0" w:after="160" w:line="312" w:lineRule="auto"/>
      </w:pPr>
      <w:r>
        <w:rPr>
          <w:rFonts w:ascii="Calibri" w:hAnsi="Calibri" w:cs="Calibri" w:eastAsia="PingFang SC"/>
          <w:b/>
          <w:color w:val="3D3A33"/>
          <w:sz w:val="22"/>
          <w:szCs w:val="22"/>
        </w:rPr>
        <w:t xml:space="preserve">t = [(x̄₁ − x̄₂) − Δ₀]/SE</w:t>
      </w:r>
      <w:r>
        <w:rPr>
          <w:rFonts w:ascii="Calibri" w:hAnsi="Calibri" w:cs="Calibri" w:eastAsia="PingFang SC"/>
          <w:color w:val="3D3A33"/>
          <w:sz w:val="22"/>
          <w:szCs w:val="22"/>
        </w:rPr>
        <w:t xml:space="preserve">, with </w:t>
      </w:r>
      <w:r>
        <w:rPr>
          <w:rFonts w:ascii="Calibri" w:hAnsi="Calibri" w:cs="Calibri" w:eastAsia="PingFang SC"/>
          <w:b/>
          <w:color w:val="3D3A33"/>
          <w:sz w:val="22"/>
          <w:szCs w:val="22"/>
        </w:rPr>
        <w:t xml:space="preserve">df = n₁ + n₂ − 2</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Lowercase x̄₁ and x̄₂ are the observed sample means. Under the equal-means null, Δ₀ = 0. The degrees of freedom add because the two within-group variance estimates contribute n₁ − 1 and n₂ − 1 independent degrees of freedom under the model.</w:t>
      </w:r>
    </w:p>
    <w:p>
      <w:pPr>
        <w:spacing w:before="0" w:after="160" w:line="312" w:lineRule="auto"/>
      </w:pPr>
      <w:r>
        <w:rPr>
          <w:rFonts w:ascii="Calibri" w:hAnsi="Calibri" w:cs="Calibri" w:eastAsia="PingFang SC"/>
          <w:color w:val="3D3A33"/>
          <w:sz w:val="22"/>
          <w:szCs w:val="22"/>
        </w:rPr>
        <w:t xml:space="preserve">For a two-sided test, the p-value is 2P(T ≥ |t|), where T has the specified null t distribution. Reject if it is below α; otherwise fail to reject.</w:t>
      </w:r>
    </w:p>
    <w:p>
      <w:pPr>
        <w:spacing w:before="240" w:after="80" w:line="312" w:lineRule="auto"/>
      </w:pPr>
      <w:r>
        <w:rPr>
          <w:rFonts w:ascii="Calibri" w:hAnsi="Calibri" w:cs="Calibri" w:eastAsia="PingFang SC"/>
          <w:b/>
          <w:color w:val="9E3D34"/>
          <w:sz w:val="26"/>
          <w:szCs w:val="26"/>
        </w:rPr>
        <w:t xml:space="preserve">Confidence interval for the difference</w:t>
      </w:r>
    </w:p>
    <w:p>
      <w:pPr>
        <w:spacing w:before="0" w:after="160" w:line="312" w:lineRule="auto"/>
      </w:pPr>
      <w:r>
        <w:rPr>
          <w:rFonts w:ascii="Calibri" w:hAnsi="Calibri" w:cs="Calibri" w:eastAsia="PingFang SC"/>
          <w:color w:val="3D3A33"/>
          <w:sz w:val="22"/>
          <w:szCs w:val="22"/>
        </w:rPr>
        <w:t xml:space="preserve">The matching two-sided 1 − α confidence interval is:</w:t>
      </w:r>
    </w:p>
    <w:p>
      <w:pPr>
        <w:spacing w:before="0" w:after="160" w:line="312" w:lineRule="auto"/>
      </w:pPr>
      <w:r>
        <w:rPr>
          <w:rFonts w:ascii="Calibri" w:hAnsi="Calibri" w:cs="Calibri" w:eastAsia="PingFang SC"/>
          <w:i/>
          <w:color w:val="3D3A33"/>
          <w:sz w:val="22"/>
          <w:szCs w:val="22"/>
        </w:rPr>
        <w:t xml:space="preserve">(x̄₁ − x̄₂) ± t</w:t>
      </w:r>
      <w:r>
        <w:rPr>
          <w:rFonts w:ascii="Calibri" w:hAnsi="Calibri" w:cs="Calibri" w:eastAsia="PingFang SC"/>
          <w:i/>
          <w:color w:val="3D3A33"/>
          <w:sz w:val="22"/>
          <w:szCs w:val="22"/>
        </w:rPr>
        <w:t xml:space="preserve">√[sₚ²(1/n₁ + 1/n₂)].</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Here t* is the 1 − α/2 percentile with n₁ + n₂ − 2 degrees of freedom. The interval estimates a population mean difference, not an individual observation. In repeated sampling, the procedure covers the true fixed difference with probability 1 − α.</w:t>
      </w:r>
    </w:p>
    <w:p>
      <w:pPr>
        <w:spacing w:before="0" w:after="160" w:line="312" w:lineRule="auto"/>
      </w:pPr>
      <w:r>
        <w:rPr>
          <w:rFonts w:ascii="Calibri" w:hAnsi="Calibri" w:cs="Calibri" w:eastAsia="PingFang SC"/>
          <w:color w:val="3D3A33"/>
          <w:sz w:val="22"/>
          <w:szCs w:val="22"/>
        </w:rPr>
        <w:t xml:space="preserve">If the interval excludes zero, the matching two-sided equal-means test rejects. A wholly positive interval supports a positive population difference; a wholly negative interval supports a negative difference. A two-sided test is formulated as evidence of a difference, while its sign and interval supply the direction and size of the estimated association.</w:t>
      </w:r>
    </w:p>
    <w:p>
      <w:pPr>
        <w:spacing w:before="240" w:after="80" w:line="312" w:lineRule="auto"/>
      </w:pPr>
      <w:r>
        <w:rPr>
          <w:rFonts w:ascii="Calibri" w:hAnsi="Calibri" w:cs="Calibri" w:eastAsia="PingFang SC"/>
          <w:b/>
          <w:color w:val="9E3D34"/>
          <w:sz w:val="26"/>
          <w:szCs w:val="26"/>
        </w:rPr>
        <w:t xml:space="preserve">Worked example — NYSE and NASDAQ dividend yields</w:t>
      </w:r>
    </w:p>
    <w:p>
      <w:pPr>
        <w:spacing w:before="0" w:after="160" w:line="312" w:lineRule="auto"/>
      </w:pPr>
      <w:r>
        <w:rPr>
          <w:rFonts w:ascii="Calibri" w:hAnsi="Calibri" w:cs="Calibri" w:eastAsia="PingFang SC"/>
          <w:color w:val="3D3A33"/>
          <w:sz w:val="22"/>
          <w:szCs w:val="22"/>
        </w:rPr>
        <w:t xml:space="preserve">Compare mean dividend yields with the equal-variance assumption: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Group</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Sample size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Sample mean yield</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Sample standard deviation</w:t>
            </w:r>
          </w:p>
        </w:tc>
      </w:tr>
      <w:tr>
        <w:tc>
          <w:tcPr>
            <w:tcW w:w="2340" w:type="dxa"/>
          </w:tcPr>
          <w:p>
            <w:pPr>
              <w:spacing w:before="0" w:after="0" w:line="312" w:lineRule="auto"/>
            </w:pPr>
            <w:r>
              <w:rPr>
                <w:rFonts w:ascii="Calibri" w:hAnsi="Calibri" w:cs="Calibri" w:eastAsia="PingFang SC"/>
                <w:color w:val="3D3A33"/>
                <w:sz w:val="22"/>
                <w:szCs w:val="22"/>
              </w:rPr>
              <w:t xml:space="preserve">NYSE, group 1</w:t>
            </w:r>
          </w:p>
        </w:tc>
        <w:tc>
          <w:tcPr>
            <w:tcW w:w="2340" w:type="dxa"/>
          </w:tcPr>
          <w:p>
            <w:pPr>
              <w:spacing w:before="0" w:after="0" w:line="312" w:lineRule="auto"/>
            </w:pPr>
            <w:r>
              <w:rPr>
                <w:rFonts w:ascii="Calibri" w:hAnsi="Calibri" w:cs="Calibri" w:eastAsia="PingFang SC"/>
                <w:color w:val="3D3A33"/>
                <w:sz w:val="22"/>
                <w:szCs w:val="22"/>
              </w:rPr>
              <w:t xml:space="preserve">21</w:t>
            </w:r>
          </w:p>
        </w:tc>
        <w:tc>
          <w:tcPr>
            <w:tcW w:w="2340" w:type="dxa"/>
          </w:tcPr>
          <w:p>
            <w:pPr>
              <w:spacing w:before="0" w:after="0" w:line="312" w:lineRule="auto"/>
            </w:pPr>
            <w:r>
              <w:rPr>
                <w:rFonts w:ascii="Calibri" w:hAnsi="Calibri" w:cs="Calibri" w:eastAsia="PingFang SC"/>
                <w:color w:val="3D3A33"/>
                <w:sz w:val="22"/>
                <w:szCs w:val="22"/>
              </w:rPr>
              <w:t xml:space="preserve">3.27%</w:t>
            </w:r>
          </w:p>
        </w:tc>
        <w:tc>
          <w:tcPr>
            <w:tcW w:w="2340" w:type="dxa"/>
          </w:tcPr>
          <w:p>
            <w:pPr>
              <w:spacing w:before="0" w:after="0" w:line="312" w:lineRule="auto"/>
            </w:pPr>
            <w:r>
              <w:rPr>
                <w:rFonts w:ascii="Calibri" w:hAnsi="Calibri" w:cs="Calibri" w:eastAsia="PingFang SC"/>
                <w:color w:val="3D3A33"/>
                <w:sz w:val="22"/>
                <w:szCs w:val="22"/>
              </w:rPr>
              <w:t xml:space="preserve">1.30 percentage points</w:t>
            </w:r>
          </w:p>
        </w:tc>
      </w:tr>
      <w:tr>
        <w:tc>
          <w:tcPr>
            <w:tcW w:w="2340" w:type="dxa"/>
          </w:tcPr>
          <w:p>
            <w:pPr>
              <w:spacing w:before="0" w:after="0" w:line="312" w:lineRule="auto"/>
            </w:pPr>
            <w:r>
              <w:rPr>
                <w:rFonts w:ascii="Calibri" w:hAnsi="Calibri" w:cs="Calibri" w:eastAsia="PingFang SC"/>
                <w:color w:val="3D3A33"/>
                <w:sz w:val="22"/>
                <w:szCs w:val="22"/>
              </w:rPr>
              <w:t xml:space="preserve">NASDAQ, group 2</w:t>
            </w:r>
          </w:p>
        </w:tc>
        <w:tc>
          <w:tcPr>
            <w:tcW w:w="2340" w:type="dxa"/>
          </w:tcPr>
          <w:p>
            <w:pPr>
              <w:spacing w:before="0" w:after="0" w:line="312" w:lineRule="auto"/>
            </w:pPr>
            <w:r>
              <w:rPr>
                <w:rFonts w:ascii="Calibri" w:hAnsi="Calibri" w:cs="Calibri" w:eastAsia="PingFang SC"/>
                <w:color w:val="3D3A33"/>
                <w:sz w:val="22"/>
                <w:szCs w:val="22"/>
              </w:rPr>
              <w:t xml:space="preserve">25</w:t>
            </w:r>
          </w:p>
        </w:tc>
        <w:tc>
          <w:tcPr>
            <w:tcW w:w="2340" w:type="dxa"/>
          </w:tcPr>
          <w:p>
            <w:pPr>
              <w:spacing w:before="0" w:after="0" w:line="312" w:lineRule="auto"/>
            </w:pPr>
            <w:r>
              <w:rPr>
                <w:rFonts w:ascii="Calibri" w:hAnsi="Calibri" w:cs="Calibri" w:eastAsia="PingFang SC"/>
                <w:color w:val="3D3A33"/>
                <w:sz w:val="22"/>
                <w:szCs w:val="22"/>
              </w:rPr>
              <w:t xml:space="preserve">2.53%</w:t>
            </w:r>
          </w:p>
        </w:tc>
        <w:tc>
          <w:tcPr>
            <w:tcW w:w="2340" w:type="dxa"/>
          </w:tcPr>
          <w:p>
            <w:pPr>
              <w:spacing w:before="0" w:after="0" w:line="312" w:lineRule="auto"/>
            </w:pPr>
            <w:r>
              <w:rPr>
                <w:rFonts w:ascii="Calibri" w:hAnsi="Calibri" w:cs="Calibri" w:eastAsia="PingFang SC"/>
                <w:color w:val="3D3A33"/>
                <w:sz w:val="22"/>
                <w:szCs w:val="22"/>
              </w:rPr>
              <w:t xml:space="preserve">1.16 percentage points</w:t>
            </w:r>
          </w:p>
        </w:tc>
      </w:tr>
    </w:tbl>
    <w:p>
      <w:pPr>
        <w:spacing w:before="0" w:after="160" w:line="312" w:lineRule="auto"/>
      </w:pPr>
      <w:r>
        <w:rPr>
          <w:rFonts w:ascii="Calibri" w:hAnsi="Calibri" w:cs="Calibri" w:eastAsia="PingFang SC"/>
          <w:color w:val="3D3A33"/>
          <w:sz w:val="22"/>
          <w:szCs w:val="22"/>
        </w:rPr>
        <w:t xml:space="preserve">Test H₀: μ₁ − μ₂ = 0 against H₁: μ₁ − μ₂ ≠ 0 at α = 0.05. Calculations use percentage-point units, so the estimate is 3.27 − 2.53 = 0.74 percentage points.</w:t>
      </w:r>
    </w:p>
    <w:p>
      <w:pPr>
        <w:numPr>
          <w:ilvl w:val="0"/>
          <w:numId w:val="101"/>
        </w:numPr>
        <w:spacing w:after="80" w:line="312" w:lineRule="auto"/>
      </w:pP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Compute the pooled variance: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sₚ² = [20(1.30²) + 24(1.16²)]/44 = (33.80 + 32.2944)/44 = </w:t>
      </w:r>
      <w:r>
        <w:rPr>
          <w:rFonts w:ascii="Calibri" w:hAnsi="Calibri" w:cs="Calibri" w:eastAsia="PingFang SC"/>
          <w:b/>
          <w:color w:val="3D3A33"/>
          <w:sz w:val="22"/>
          <w:szCs w:val="22"/>
        </w:rPr>
        <w:t xml:space="preserve">1.502145</w:t>
      </w:r>
      <w:r>
        <w:rPr>
          <w:rFonts w:ascii="Calibri" w:hAnsi="Calibri" w:cs="Calibri" w:eastAsia="PingFang SC"/>
          <w:color w:val="3D3A33"/>
          <w:sz w:val="22"/>
          <w:szCs w:val="22"/>
        </w:rPr>
        <w:t xml:space="preserve">, approximately 1.5021.</w:t>
      </w:r>
      <w:r>
        <w:rPr>
          <w:rFonts w:ascii="Calibri" w:hAnsi="Calibri" w:cs="Calibri" w:eastAsia="PingFang SC"/>
          <w:color w:val="3D3A33"/>
          <w:sz w:val="22"/>
          <w:szCs w:val="22"/>
        </w:rPr>
        <w:t xml:space="preserve">
</w:t>
      </w:r>
    </w:p>
    <w:p>
      <w:pPr>
        <w:numPr>
          <w:ilvl w:val="0"/>
          <w:numId w:val="101"/>
        </w:numPr>
        <w:spacing w:after="80" w:line="312" w:lineRule="auto"/>
      </w:pP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Compute the standard error:</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SE = √[1.502145(1/21 + 1/25)] ≈ </w:t>
      </w:r>
      <w:r>
        <w:rPr>
          <w:rFonts w:ascii="Calibri" w:hAnsi="Calibri" w:cs="Calibri" w:eastAsia="PingFang SC"/>
          <w:b/>
          <w:color w:val="3D3A33"/>
          <w:sz w:val="22"/>
          <w:szCs w:val="22"/>
        </w:rPr>
        <w:t xml:space="preserve">0.3628 percentage points</w:t>
      </w: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w:t>
      </w:r>
    </w:p>
    <w:p>
      <w:pPr>
        <w:numPr>
          <w:ilvl w:val="0"/>
          <w:numId w:val="101"/>
        </w:numPr>
        <w:spacing w:after="80" w:line="312" w:lineRule="auto"/>
      </w:pP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Compute the statistic:</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t = 0.74/0.3628 ≈ </w:t>
      </w:r>
      <w:r>
        <w:rPr>
          <w:rFonts w:ascii="Calibri" w:hAnsi="Calibri" w:cs="Calibri" w:eastAsia="PingFang SC"/>
          <w:b/>
          <w:color w:val="3D3A33"/>
          <w:sz w:val="22"/>
          <w:szCs w:val="22"/>
        </w:rPr>
        <w:t xml:space="preserve">2.040</w:t>
      </w: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w:t>
      </w:r>
    </w:p>
    <w:p>
      <w:pPr>
        <w:numPr>
          <w:ilvl w:val="0"/>
          <w:numId w:val="101"/>
        </w:numPr>
        <w:spacing w:after="80" w:line="312" w:lineRule="auto"/>
      </w:pP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Degrees of freedom are 21 + 25 − 2 = </w:t>
      </w:r>
      <w:r>
        <w:rPr>
          <w:rFonts w:ascii="Calibri" w:hAnsi="Calibri" w:cs="Calibri" w:eastAsia="PingFang SC"/>
          <w:b/>
          <w:color w:val="3D3A33"/>
          <w:sz w:val="22"/>
          <w:szCs w:val="22"/>
        </w:rPr>
        <w:t xml:space="preserve">44</w:t>
      </w:r>
      <w:r>
        <w:rPr>
          <w:rFonts w:ascii="Calibri" w:hAnsi="Calibri" w:cs="Calibri" w:eastAsia="PingFang SC"/>
          <w:color w:val="3D3A33"/>
          <w:sz w:val="22"/>
          <w:szCs w:val="22"/>
        </w:rPr>
        <w:t xml:space="preserve">. The two-sided 5% critical values are </w:t>
      </w:r>
      <w:r>
        <w:rPr>
          <w:rFonts w:ascii="Calibri" w:hAnsi="Calibri" w:cs="Calibri" w:eastAsia="PingFang SC"/>
          <w:b/>
          <w:color w:val="3D3A33"/>
          <w:sz w:val="22"/>
          <w:szCs w:val="22"/>
        </w:rPr>
        <w:t xml:space="preserve">±2.0154</w:t>
      </w: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w:t>
      </w:r>
    </w:p>
    <w:p>
      <w:pPr>
        <w:numPr>
          <w:ilvl w:val="0"/>
          <w:numId w:val="101"/>
        </w:numPr>
        <w:spacing w:after="80" w:line="312" w:lineRule="auto"/>
      </w:pP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Because 2.040 &gt; 2.0154, reject H₀. The two-sided p-value is approximately </w:t>
      </w:r>
      <w:r>
        <w:rPr>
          <w:rFonts w:ascii="Calibri" w:hAnsi="Calibri" w:cs="Calibri" w:eastAsia="PingFang SC"/>
          <w:b/>
          <w:color w:val="3D3A33"/>
          <w:sz w:val="22"/>
          <w:szCs w:val="22"/>
        </w:rPr>
        <w:t xml:space="preserve">0.047</w:t>
      </w:r>
      <w:r>
        <w:rPr>
          <w:rFonts w:ascii="Calibri" w:hAnsi="Calibri" w:cs="Calibri" w:eastAsia="PingFang SC"/>
          <w:color w:val="3D3A33"/>
          <w:sz w:val="22"/>
          <w:szCs w:val="22"/>
        </w:rPr>
        <w:t xml:space="preserve">, just below 0.05.</w:t>
      </w:r>
      <w:r>
        <w:rPr>
          <w:rFonts w:ascii="Calibri" w:hAnsi="Calibri" w:cs="Calibri" w:eastAsia="PingFang SC"/>
          <w:color w:val="3D3A33"/>
          <w:sz w:val="22"/>
          <w:szCs w:val="22"/>
        </w:rPr>
        <w:t xml:space="preserve">
</w:t>
      </w:r>
    </w:p>
    <w:p>
      <w:pPr>
        <w:spacing w:before="0" w:after="160" w:line="312" w:lineRule="auto"/>
      </w:pPr>
      <w:r>
        <w:rPr>
          <w:rFonts w:ascii="Calibri" w:hAnsi="Calibri" w:cs="Calibri" w:eastAsia="PingFang SC"/>
          <w:color w:val="3D3A33"/>
          <w:sz w:val="22"/>
          <w:szCs w:val="22"/>
        </w:rPr>
        <w:t xml:space="preserve">The matching 95% interval is:</w:t>
      </w:r>
    </w:p>
    <w:p>
      <w:pPr>
        <w:spacing w:before="0" w:after="160" w:line="312" w:lineRule="auto"/>
      </w:pPr>
      <w:r>
        <w:rPr>
          <w:rFonts w:ascii="Calibri" w:hAnsi="Calibri" w:cs="Calibri" w:eastAsia="PingFang SC"/>
          <w:color w:val="3D3A33"/>
          <w:sz w:val="22"/>
          <w:szCs w:val="22"/>
        </w:rPr>
        <w:t xml:space="preserve">0.74 ± 2.0154(0.3628) ≈ </w:t>
      </w:r>
      <w:r>
        <w:rPr>
          <w:rFonts w:ascii="Calibri" w:hAnsi="Calibri" w:cs="Calibri" w:eastAsia="PingFang SC"/>
          <w:b/>
          <w:color w:val="3D3A33"/>
          <w:sz w:val="22"/>
          <w:szCs w:val="22"/>
        </w:rPr>
        <w:t xml:space="preserve">0.009 to 1.471 percentage points</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It is narrowly above zero, indicating evidence of a larger mean NYSE yield under the pooled model. It is a close decision, so retain precision until after comparison with α.</w:t>
      </w:r>
    </w:p>
    <w:p>
      <w:pPr>
        <w:spacing w:before="0" w:after="160" w:line="312" w:lineRule="auto"/>
      </w:pPr>
      <w:r>
        <w:rPr>
          <w:rFonts w:ascii="Calibri" w:hAnsi="Calibri" w:cs="Calibri" w:eastAsia="PingFang SC"/>
          <w:color w:val="3D3A33"/>
          <w:sz w:val="22"/>
          <w:szCs w:val="22"/>
        </w:rPr>
        <w:t xml:space="preserve">Both samples are below 30, making approximate inference particularly dependent on a reasonable population-shape assumption such as symmetry. Using Welch's method on these same summaries instead gives t ≈ 2.0193, df ≈ 40.5744 and a two-sided p-value near </w:t>
      </w:r>
      <w:r>
        <w:rPr>
          <w:rFonts w:ascii="Calibri" w:hAnsi="Calibri" w:cs="Calibri" w:eastAsia="PingFang SC"/>
          <w:b/>
          <w:color w:val="3D3A33"/>
          <w:sz w:val="22"/>
          <w:szCs w:val="22"/>
        </w:rPr>
        <w:t xml:space="preserve">0.0501</w:t>
      </w:r>
      <w:r>
        <w:rPr>
          <w:rFonts w:ascii="Calibri" w:hAnsi="Calibri" w:cs="Calibri" w:eastAsia="PingFang SC"/>
          <w:color w:val="3D3A33"/>
          <w:sz w:val="22"/>
          <w:szCs w:val="22"/>
        </w:rPr>
        <w:t xml:space="preserve">, resulting in non-rejection at 5%. This difference is a consequence of the model and standard-error calculation; the pooled conclusion must not be substituted for the unequal-variance conclusion.</w:t>
      </w:r>
    </w:p>
    <w:p>
      <w:pPr>
        <w:spacing w:before="240" w:after="80" w:line="312" w:lineRule="auto"/>
      </w:pPr>
      <w:r>
        <w:rPr>
          <w:rFonts w:ascii="Calibri" w:hAnsi="Calibri" w:cs="Calibri" w:eastAsia="PingFang SC"/>
          <w:b/>
          <w:color w:val="9E3D34"/>
          <w:sz w:val="26"/>
          <w:szCs w:val="26"/>
        </w:rPr>
        <w:t xml:space="preserve">Excel implementation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T.TEST(array1,array2,tails,2)</w:t>
      </w:r>
      <w:r>
        <w:rPr>
          <w:rFonts w:ascii="Calibri" w:hAnsi="Calibri" w:cs="Calibri" w:eastAsia="PingFang SC"/>
          <w:color w:val="3D3A33"/>
          <w:sz w:val="22"/>
          <w:szCs w:val="22"/>
        </w:rPr>
        <w:t xml:space="preserve"> implements an equal-variance two-sample test; </w:t>
      </w:r>
      <w:r>
        <w:rPr>
          <w:rFonts w:ascii="Calibri" w:hAnsi="Calibri" w:cs="Calibri" w:eastAsia="PingFang SC"/>
          <w:color w:val="3D3A33"/>
          <w:sz w:val="22"/>
          <w:szCs w:val="22"/>
        </w:rPr>
        <w:t xml:space="preserve">tails=2</w:t>
      </w:r>
      <w:r>
        <w:rPr>
          <w:rFonts w:ascii="Calibri" w:hAnsi="Calibri" w:cs="Calibri" w:eastAsia="PingFang SC"/>
          <w:color w:val="3D3A33"/>
          <w:sz w:val="22"/>
          <w:szCs w:val="22"/>
        </w:rPr>
        <w:t xml:space="preserve"> requests a two-sided p-value.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T.INV.2T(alpha,df)</w:t>
      </w:r>
      <w:r>
        <w:rPr>
          <w:rFonts w:ascii="Calibri" w:hAnsi="Calibri" w:cs="Calibri" w:eastAsia="PingFang SC"/>
          <w:color w:val="3D3A33"/>
          <w:sz w:val="22"/>
          <w:szCs w:val="22"/>
        </w:rPr>
        <w:t xml:space="preserve"> gives the positive two-sided critical magnitude; </w:t>
      </w:r>
      <w:r>
        <w:rPr>
          <w:rFonts w:ascii="Calibri" w:hAnsi="Calibri" w:cs="Calibri" w:eastAsia="PingFang SC"/>
          <w:color w:val="3D3A33"/>
          <w:sz w:val="22"/>
          <w:szCs w:val="22"/>
        </w:rPr>
        <w:t xml:space="preserve">T.INV(1-alpha/2,df)</w:t>
      </w:r>
      <w:r>
        <w:rPr>
          <w:rFonts w:ascii="Calibri" w:hAnsi="Calibri" w:cs="Calibri" w:eastAsia="PingFang SC"/>
          <w:color w:val="3D3A33"/>
          <w:sz w:val="22"/>
          <w:szCs w:val="22"/>
        </w:rPr>
        <w:t xml:space="preserve"> is equivalent.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T.DIST.2T(ABS(t),df)</w:t>
      </w:r>
      <w:r>
        <w:rPr>
          <w:rFonts w:ascii="Calibri" w:hAnsi="Calibri" w:cs="Calibri" w:eastAsia="PingFang SC"/>
          <w:color w:val="3D3A33"/>
          <w:sz w:val="22"/>
          <w:szCs w:val="22"/>
        </w:rPr>
        <w:t xml:space="preserve"> gives the two-sided p-value from a calculated statistic.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Data Analysis, choose </w:t>
      </w:r>
      <w:r>
        <w:rPr>
          <w:rFonts w:ascii="Calibri" w:hAnsi="Calibri" w:cs="Calibri" w:eastAsia="PingFang SC"/>
          <w:b/>
          <w:color w:val="3D3A33"/>
          <w:sz w:val="22"/>
          <w:szCs w:val="22"/>
        </w:rPr>
        <w:t xml:space="preserve">t-Test: Two-Sample Assuming Equal Variances</w:t>
      </w:r>
      <w:r>
        <w:rPr>
          <w:rFonts w:ascii="Calibri" w:hAnsi="Calibri" w:cs="Calibri" w:eastAsia="PingFang SC"/>
          <w:color w:val="3D3A33"/>
          <w:sz w:val="22"/>
          <w:szCs w:val="22"/>
        </w:rPr>
        <w:t xml:space="preserve"> and specify the two ranges, null difference and α.</w:t>
      </w:r>
    </w:p>
    <w:p>
      <w:pPr>
        <w:spacing w:before="0" w:after="160" w:line="312" w:lineRule="auto"/>
      </w:pPr>
      <w:r>
        <w:rPr>
          <w:rFonts w:ascii="Calibri" w:hAnsi="Calibri" w:cs="Calibri" w:eastAsia="PingFang SC"/>
          <w:color w:val="3D3A33"/>
          <w:sz w:val="22"/>
          <w:szCs w:val="22"/>
        </w:rPr>
        <w:t xml:space="preserve">A one-sided directional question requires retaining the statistic's sign and selecting the appropriate tail; an absolute difference alone does not establish the desired direction.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