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02-Mood-Disorders</w:t>
      </w:r>
    </w:p>
    <w:p>
      <w:pPr>
        <w:spacing w:before="240" w:after="80" w:line="312" w:lineRule="auto"/>
      </w:pPr>
      <w:r>
        <w:rPr>
          <w:rFonts w:ascii="Calibri" w:hAnsi="Calibri" w:cs="Calibri" w:eastAsia="PingFang SC"/>
          <w:b/>
          <w:color w:val="33302A"/>
          <w:sz w:val="32"/>
          <w:szCs w:val="32"/>
        </w:rPr>
        <w:t xml:space="preserve">Mood Disorders: Depression and Bipolar Disorder</w:t>
      </w:r>
    </w:p>
    <w:p>
      <w:pPr>
        <w:pBdr>
          <w:left w:val="single" w:sz="18" w:space="8" w:color="C96442"/>
        </w:pBdr>
        <w:spacing w:before="0" w:after="160" w:line="312" w:lineRule="auto"/>
        <w:ind w:left="360"/>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Covers depression (unipolar) and bipolar disorder from historical concepts, clinical features, ICD-10/DSM-5 classification, epidemiology and aetiology through assessment, treatment and prognosis, detailing key doses, monitoring schedules, toxicity and teratogenic risks of antidepressants and four mood stabilisers.</w:t>
      </w:r>
    </w:p>
    <w:p>
      <w:pPr>
        <w:spacing w:before="240" w:after="80" w:line="312" w:lineRule="auto"/>
      </w:pPr>
      <w:r>
        <w:rPr>
          <w:rFonts w:ascii="Calibri" w:hAnsi="Calibri" w:cs="Calibri" w:eastAsia="PingFang SC"/>
          <w:b/>
          <w:color w:val="9E3D34"/>
          <w:sz w:val="26"/>
          <w:szCs w:val="26"/>
        </w:rPr>
        <w:t xml:space="preserve">Key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Mood disorders are also called affective disorders</w:t>
      </w:r>
      <w:r>
        <w:rPr>
          <w:rFonts w:ascii="Calibri" w:hAnsi="Calibri" w:cs="Calibri" w:eastAsia="PingFang SC"/>
          <w:color w:val="3D3A33"/>
          <w:sz w:val="22"/>
          <w:szCs w:val="22"/>
        </w:rPr>
        <w:t xml:space="preserve">, principally depression and bipolar disorder. Depression involves one or more episodes of low mood, hence “unipolar disorder”; bipolar disorder involves low and abnormally elevated mood (hypomania or mania), or more than two elevated episodes without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distinctions separate mania and hypomania</w:t>
      </w:r>
      <w:r>
        <w:rPr>
          <w:rFonts w:ascii="Calibri" w:hAnsi="Calibri" w:cs="Calibri" w:eastAsia="PingFang SC"/>
          <w:color w:val="3D3A33"/>
          <w:sz w:val="22"/>
          <w:szCs w:val="22"/>
        </w:rPr>
        <w:t xml:space="preserve">: Mania is more severe abnormal mood elevation; hypomanic patients have insight whereas manic patients usually do not; hypomania never includes psychotic symptoms—these automatically change the diagnosis to mania, which may occur with or without psychotic symptoms.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Remain alert to bipolarity in a first depressive episode</w:t>
      </w:r>
      <w:r>
        <w:rPr>
          <w:rFonts w:ascii="Calibri" w:hAnsi="Calibri" w:cs="Calibri" w:eastAsia="PingFang SC"/>
          <w:color w:val="3D3A33"/>
          <w:sz w:val="22"/>
          <w:szCs w:val="22"/>
        </w:rPr>
        <w:t xml:space="preserve">: Bipolar and unipolar depression are usually clinically indistinguishable, and 40% of patients eventually diagnosed with bipolar disorder are initially misdiagnosed with unipolar depression. Seek collateral history from relatives or friends who have known the patient for years.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Duration requirements for five diagnoses (presented as identical in ICD-10 and DSM-5 in this lecture)</w:t>
      </w:r>
      <w:r>
        <w:rPr>
          <w:rFonts w:ascii="Calibri" w:hAnsi="Calibri" w:cs="Calibri" w:eastAsia="PingFang SC"/>
          <w:color w:val="3D3A33"/>
          <w:sz w:val="22"/>
          <w:szCs w:val="22"/>
        </w:rPr>
        <w:t xml:space="preserve">: Depressive episode at least two weeks; mania one week; hypomania four days; dysthymia two years; cyclothymia two years. Diagnosis can still apply when severity requires admission before two weeks (depression) or one week (mania).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Epidemiology</w:t>
      </w:r>
      <w:r>
        <w:rPr>
          <w:rFonts w:ascii="Calibri" w:hAnsi="Calibri" w:cs="Calibri" w:eastAsia="PingFang SC"/>
          <w:color w:val="3D3A33"/>
          <w:sz w:val="22"/>
          <w:szCs w:val="22"/>
        </w:rPr>
        <w:t xml:space="preserve">: Unipolar depression has about 15% lifetime prevalence and 5% annual incidence, is twice as common in women, with mean onset at 30 and peaks at 30–44 and 18–29. Bipolar I lifetime prevalence is about 1%; the spectrum including I, II and cyclothymia may exceed 5%, with mean onset at 25 and peak at 20–40.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Suicide risk is central to assessment</w:t>
      </w:r>
      <w:r>
        <w:rPr>
          <w:rFonts w:ascii="Calibri" w:hAnsi="Calibri" w:cs="Calibri" w:eastAsia="PingFang SC"/>
          <w:color w:val="3D3A33"/>
          <w:sz w:val="22"/>
          <w:szCs w:val="22"/>
        </w:rPr>
        <w:t xml:space="preserve">: The lecture states that about 5–10% with untreated/inadequately treated unipolar depression and 10–15% with bipolar disorder eventually die by suicide. Risk may paradoxically rise as severe depression initially improves. Patients may deny suicidal ideas even when asked directly; also check risk factors.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 main treatments for depression are antidepressants and psychotherapy (usually CBT)</w:t>
      </w:r>
      <w:r>
        <w:rPr>
          <w:rFonts w:ascii="Calibri" w:hAnsi="Calibri" w:cs="Calibri" w:eastAsia="PingFang SC"/>
          <w:color w:val="3D3A33"/>
          <w:sz w:val="22"/>
          <w:szCs w:val="22"/>
        </w:rPr>
        <w:t xml:space="preserve">, with medication still most common. Antidepressant effects take at least 2–3 weeks to appear and another 2–3 weeks to peak; “start low and go slow.”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four main mood stabilisers are lithium, divalproex sodium, carbamazepine and lamotrigine</w:t>
      </w:r>
      <w:r>
        <w:rPr>
          <w:rFonts w:ascii="Calibri" w:hAnsi="Calibri" w:cs="Calibri" w:eastAsia="PingFang SC"/>
          <w:color w:val="3D3A33"/>
          <w:sz w:val="22"/>
          <w:szCs w:val="22"/>
        </w:rPr>
        <w:t xml:space="preserve">. Atypical antipsychotics (aripiprazole, olanzapine, quetiapine, risperidone) are also common in bipolar disorder. The lecture gives a lithium target of 0.6–1.0 mmol/L; toxicity usually appears above 1.5 mmol/L.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Medication treats mania much better than depression</w:t>
      </w:r>
      <w:r>
        <w:rPr>
          <w:rFonts w:ascii="Calibri" w:hAnsi="Calibri" w:cs="Calibri" w:eastAsia="PingFang SC"/>
          <w:color w:val="3D3A33"/>
          <w:sz w:val="22"/>
          <w:szCs w:val="22"/>
        </w:rPr>
        <w:t xml:space="preserve">, but depression accounts for much long-term bipolar disability—paralleling schizophrenia, where medication treats positive symptoms better than negative symptoms, while negative symptoms cause most disability.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Prognosis</w:t>
      </w:r>
      <w:r>
        <w:rPr>
          <w:rFonts w:ascii="Calibri" w:hAnsi="Calibri" w:cs="Calibri" w:eastAsia="PingFang SC"/>
          <w:color w:val="3D3A33"/>
          <w:sz w:val="22"/>
          <w:szCs w:val="22"/>
        </w:rPr>
        <w:t xml:space="preserve">: At least 50% relapse after a first depressive episode, averaging three episodes per decade; about 20% develop chronic depression. Bipolar patients average about ten lifetime episodes, roughly equal numbers of depressive and manic episodes; euthymic intervals shorten with illness duration.</w:t>
      </w:r>
    </w:p>
    <w:p>
      <w:pPr>
        <w:spacing w:before="240" w:after="80" w:line="312" w:lineRule="auto"/>
      </w:pPr>
      <w:r>
        <w:rPr>
          <w:rFonts w:ascii="Calibri" w:hAnsi="Calibri" w:cs="Calibri" w:eastAsia="PingFang SC"/>
          <w:b/>
          <w:color w:val="9E3D34"/>
          <w:sz w:val="26"/>
          <w:szCs w:val="26"/>
        </w:rPr>
        <w:t xml:space="preserve">Detailed Notes</w:t>
      </w:r>
    </w:p>
    <w:p>
      <w:pPr>
        <w:spacing w:before="240" w:after="80" w:line="312" w:lineRule="auto"/>
      </w:pPr>
      <w:r>
        <w:rPr>
          <w:rFonts w:ascii="Calibri" w:hAnsi="Calibri" w:cs="Calibri" w:eastAsia="PingFang SC"/>
          <w:b/>
          <w:color w:val="175244"/>
          <w:sz w:val="22"/>
          <w:szCs w:val="22"/>
        </w:rPr>
        <w:t xml:space="preserve">Historical Development: From “Black Bile” to DSM-III</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Hippocrates used “melancholia,” Greek for “black bile”; today's “depression” derives from Latin.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1854 two French physicians independently described the illness almost simultaneously (not named aloud). Emil Kraepelin used “depressive states,” including bipolar disorder and severe recurrent depression within “manic depressive psychosis,” distinguishing it from dementia praecox.</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Henry Maudsley coined “affective disorders”; Kurt Schneider—the psychiatrist who listed schizophrenia's first-rank symptoms—divided depression into endogenous and reactive subtypes.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Depression evolved diagnostically through multiple DSM and ICD editions; “bipolar disorder” was formally introduced in DSM-III.</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Ancient Greek physicians recognised the illness: one described patients laughing, playing and dancing day and night, sometimes openly entering the marketplace wearing garlands as though victorious in a contest of skill, but at other times being sluggish, dull and sad—a striking account of both manic and depressive phases. Chinese and Persian physicians also recognised it.</w:t>
      </w:r>
    </w:p>
    <w:p>
      <w:pPr>
        <w:spacing w:before="240" w:after="80" w:line="312" w:lineRule="auto"/>
      </w:pPr>
      <w:r>
        <w:rPr>
          <w:rFonts w:ascii="Calibri" w:hAnsi="Calibri" w:cs="Calibri" w:eastAsia="PingFang SC"/>
          <w:b/>
          <w:color w:val="175244"/>
          <w:sz w:val="22"/>
          <w:szCs w:val="22"/>
        </w:rPr>
        <w:t xml:space="preserve">Definition and Two Main Types of Mood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Mood disorders, also called affective disorders, mainly comprise depression and bipolar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Depression: one or more episodes of low mood; also called unipolar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Bipolar disorder: episodes of low mood/depression and abnormal elevation, either hypomania or mania; alternatively two or more purely elevated episodes without any depression also qualify.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lecture's bipolar affective disorder criteria are at least one manic/hypomanic episode plus at least one depressive episode, or at least two manic/hypomanic episodes without depression. Specify the current episode if present; if stable, write “bipolar affective disorder, currently in remission.”</w:t>
      </w:r>
    </w:p>
    <w:p>
      <w:pPr>
        <w:spacing w:before="240" w:after="80" w:line="312" w:lineRule="auto"/>
      </w:pPr>
      <w:r>
        <w:rPr>
          <w:rFonts w:ascii="Calibri" w:hAnsi="Calibri" w:cs="Calibri" w:eastAsia="PingFang SC"/>
          <w:b/>
          <w:color w:val="175244"/>
          <w:sz w:val="22"/>
          <w:szCs w:val="22"/>
        </w:rPr>
        <w:t xml:space="preserve">The Boundary Between Mania and Hypomania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Mania is more severe abnormal elevation than hypomania, representing different severities along one spectrum.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Insight is the first distinction: present in hypomania, usually absent in mania.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Psychotic symptoms are the second: never present in hypomania; if they appear, diagnosis automatically becomes mania. Mania may occur with or without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slides “clinical features of depression,” “clinical features of hypomania” and “clinical features of mania” are left for viewers to pause and copy. Their items are not read aloud, so these notes do not supply them.</w:t>
      </w:r>
    </w:p>
    <w:p>
      <w:pPr>
        <w:spacing w:before="240" w:after="80" w:line="312" w:lineRule="auto"/>
      </w:pPr>
      <w:r>
        <w:rPr>
          <w:rFonts w:ascii="Calibri" w:hAnsi="Calibri" w:cs="Calibri" w:eastAsia="PingFang SC"/>
          <w:b/>
          <w:color w:val="175244"/>
          <w:sz w:val="22"/>
          <w:szCs w:val="22"/>
        </w:rPr>
        <w:t xml:space="preserve">Psychotic Symptoms in Depression and Mania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Severe depression may include delusions and hallucinations, classified as mood-congruent or mood-incongruent.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Mood-congruent depressive psychosis: delusions of guilt, worthlessness, hypochondriasis and nihilism, and accusatory or condemnatory voices.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Mood-incongruent depressive psychosis: referential or persecutory delusions and voices discussing emotionally neutral subjects.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Mania may also include both: congruent symptoms include grandiose delusions or voices announcing superhuman powers; incongruent symptoms include referential/persecutory delusions and emotionally neutral voices.</w:t>
      </w:r>
    </w:p>
    <w:p>
      <w:pPr>
        <w:spacing w:before="240" w:after="80" w:line="312" w:lineRule="auto"/>
      </w:pPr>
      <w:r>
        <w:rPr>
          <w:rFonts w:ascii="Calibri" w:hAnsi="Calibri" w:cs="Calibri" w:eastAsia="PingFang SC"/>
          <w:b/>
          <w:color w:val="175244"/>
          <w:sz w:val="22"/>
          <w:szCs w:val="22"/>
        </w:rPr>
        <w:t xml:space="preserve">Distinguishing Bipolar From Unipolar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Bipolar depressive episodes are usually clinically indistinguishable from unipolar depression, so consider latent bipolar disorder in every first depressive presentation.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Severe depression may prevent recall of happy memories, including previous hypomania or mania. Collateral information from longstanding friends or relatives is always useful.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Forty percent eventually diagnosed with bipolar disorder are initially misdiagnosed as unipolar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Clues favouring bipolar depression: atypical features (hypersomnia, increased appetite), psychomotor retardation, more frequent episodes, bipolar family history, younger onset, male sex (unipolar depression is commoner in women, bipolar equally common in both sexes) and more abrupt onset.</w:t>
      </w:r>
    </w:p>
    <w:p>
      <w:pPr>
        <w:spacing w:before="240" w:after="80" w:line="312" w:lineRule="auto"/>
      </w:pPr>
      <w:r>
        <w:rPr>
          <w:rFonts w:ascii="Calibri" w:hAnsi="Calibri" w:cs="Calibri" w:eastAsia="PingFang SC"/>
          <w:b/>
          <w:color w:val="175244"/>
          <w:sz w:val="22"/>
          <w:szCs w:val="22"/>
        </w:rPr>
        <w:t xml:space="preserve">Atypical Features and Seasonal Affective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Typical depression involves reduced sleep, appetite and weight.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Atypical depression involves hypersomnia, increased appetite and weight; also heavy limbs (“leaden paralysis”) and excessive sensitivity to interpersonal difficulties (“interpersonal rejection sensitivity”).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Atypical features are commoner in bipolar than unipolar depression; they also characterise seasonal affective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Atypical depression may respond better to MAOIs than TCAs or SSRIs.</w:t>
      </w:r>
    </w:p>
    <w:p>
      <w:pPr>
        <w:spacing w:before="240" w:after="80" w:line="312" w:lineRule="auto"/>
      </w:pPr>
      <w:r>
        <w:rPr>
          <w:rFonts w:ascii="Calibri" w:hAnsi="Calibri" w:cs="Calibri" w:eastAsia="PingFang SC"/>
          <w:b/>
          <w:color w:val="175244"/>
          <w:sz w:val="22"/>
          <w:szCs w:val="22"/>
        </w:rPr>
        <w:t xml:space="preserve">Severity and Course Specification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ICD-10 grades depression as mild, moderate or severe, the last with or without psychotic symptoms, further specified as mood-congruent or incongruent.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first episode is diagnosed as a “depressive episode”; two or more as “recurrent depressive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recurrent depression specify current severity or current remission.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bipolar disorder specify hypomania or mania; in mania specify psychotic symptoms and congruence. State the current episode or remission if stable.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Depressive and manic/hypomanic features within one episode constitute a mixed episode.</w:t>
      </w:r>
    </w:p>
    <w:p>
      <w:pPr>
        <w:spacing w:before="240" w:after="80" w:line="312" w:lineRule="auto"/>
      </w:pPr>
      <w:r>
        <w:rPr>
          <w:rFonts w:ascii="Calibri" w:hAnsi="Calibri" w:cs="Calibri" w:eastAsia="PingFang SC"/>
          <w:b/>
          <w:color w:val="175244"/>
          <w:sz w:val="22"/>
          <w:szCs w:val="22"/>
        </w:rPr>
        <w:t xml:space="preserve">Rapid Cycling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 some period in bipolar illness, at least four mood episodes within twelve months, whether manic, hypomanic or depressive.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Episodes are separated by remission or switch directly to opposite polarity (depression to mania/hypomania) or mixed polarity.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Risk factors include alcohol misuse, thyroid dysfunction and life stress.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Rapid cycling responds less well to treatment and carries greater suicide risk.</w:t>
      </w:r>
    </w:p>
    <w:p>
      <w:pPr>
        <w:spacing w:before="240" w:after="80" w:line="312" w:lineRule="auto"/>
      </w:pPr>
      <w:r>
        <w:rPr>
          <w:rFonts w:ascii="Calibri" w:hAnsi="Calibri" w:cs="Calibri" w:eastAsia="PingFang SC"/>
          <w:b/>
          <w:color w:val="175244"/>
          <w:sz w:val="22"/>
          <w:szCs w:val="22"/>
        </w:rPr>
        <w:t xml:space="preserve">DSM-5 Classification Changes and Bipolar Subtypes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DSM-5 gives depressive and bipolar disorders separate chapters, unlike their shared chapter in DSM-IV.</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Bipolar and related disorders include bipolar I, bipolar II and cyclothymic disorder; depressive disorders include major depressive disorder and persistent depressive disorder (dysthymia).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Bipolar I is classical bipolar disorder with recurrent mania and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Bipolar II involves one or more depressive and one or more hypomanic episodes, with no mania; mania changes the diagnosis to bipolar I.</w:t>
      </w:r>
    </w:p>
    <w:p>
      <w:pPr>
        <w:spacing w:before="240" w:after="80" w:line="312" w:lineRule="auto"/>
      </w:pPr>
      <w:r>
        <w:rPr>
          <w:rFonts w:ascii="Calibri" w:hAnsi="Calibri" w:cs="Calibri" w:eastAsia="PingFang SC"/>
          <w:b/>
          <w:color w:val="175244"/>
          <w:sz w:val="22"/>
          <w:szCs w:val="22"/>
        </w:rPr>
        <w:t xml:space="preserve">Cyclothymia, Dysthymia and Double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Cyclothymia: cyclical mood fluctuations, with lows neither severe nor sustained enough for depression, and highs insufficiently severe or sustained for hypomania.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Dysthymia: chronic low mood, with symptoms insufficiently severe or sustained for a depressive episode.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experts consider these personality traits rather than affective disorders; many regard them as mood disorders that may benefit respectively from low-dose mood stabilisers or antidepressants.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Bipolar disorder may develop in cyclothymia; depression superimposed on dysthymia is “double depression.”</w:t>
      </w:r>
    </w:p>
    <w:p>
      <w:pPr>
        <w:spacing w:before="240" w:after="80" w:line="312" w:lineRule="auto"/>
      </w:pPr>
      <w:r>
        <w:rPr>
          <w:rFonts w:ascii="Calibri" w:hAnsi="Calibri" w:cs="Calibri" w:eastAsia="PingFang SC"/>
          <w:b/>
          <w:color w:val="175244"/>
          <w:sz w:val="22"/>
          <w:szCs w:val="22"/>
        </w:rPr>
        <w:t xml:space="preserve">Required Duration for Diagnoses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presents ICD-10 and DSM-5 duration criteria as identical: depressive episode at least two weeks, mania one week, hypomania four days, dysthymia two years and cyclothymia two years.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gives exceptions when severity requires admission before two weeks of depression or one week of mania, allowing diagnosis before those durations.</w:t>
      </w:r>
    </w:p>
    <w:p>
      <w:pPr>
        <w:spacing w:before="240" w:after="80" w:line="312" w:lineRule="auto"/>
      </w:pPr>
      <w:r>
        <w:rPr>
          <w:rFonts w:ascii="Calibri" w:hAnsi="Calibri" w:cs="Calibri" w:eastAsia="PingFang SC"/>
          <w:b/>
          <w:color w:val="175244"/>
          <w:sz w:val="22"/>
          <w:szCs w:val="22"/>
        </w:rPr>
        <w:t xml:space="preserve">Endogenous and Reactive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Endogenous depression arises spontaneously without external stressors; also called melancholic depression. Biological/somatic symptoms are prominent, illness is more severe and may be psychotic. It may respond better to TCAs than SSRIs and more often require antipsychotics or 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Reactive depression follows a clear external stressor such as bereavement; also called neurotic depression. It is milder, with more affective symptoms such as irritability, anxiety and guilt, substantial overlap with adjustment disorder and more frequent spontaneous remission.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Neither subtype is retained in ICD-10 or DSM-5.</w:t>
      </w:r>
    </w:p>
    <w:p>
      <w:pPr>
        <w:spacing w:before="240" w:after="80" w:line="312" w:lineRule="auto"/>
      </w:pPr>
      <w:r>
        <w:rPr>
          <w:rFonts w:ascii="Calibri" w:hAnsi="Calibri" w:cs="Calibri" w:eastAsia="PingFang SC"/>
          <w:b/>
          <w:color w:val="175244"/>
          <w:sz w:val="22"/>
          <w:szCs w:val="22"/>
        </w:rPr>
        <w:t xml:space="preserve">Epidemiology of Unipolar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Lifetime prevalence about 15%; annual incidence about 5%.</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Approximately twice as common in women.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Mean onset about 30; two peak age bands, 30–44 and 18–29.</w:t>
      </w:r>
    </w:p>
    <w:p>
      <w:pPr>
        <w:spacing w:before="240" w:after="80" w:line="312" w:lineRule="auto"/>
      </w:pPr>
      <w:r>
        <w:rPr>
          <w:rFonts w:ascii="Calibri" w:hAnsi="Calibri" w:cs="Calibri" w:eastAsia="PingFang SC"/>
          <w:b/>
          <w:color w:val="175244"/>
          <w:sz w:val="22"/>
          <w:szCs w:val="22"/>
        </w:rPr>
        <w:t xml:space="preserve">Epidemiology of Bipolar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Bipolar I lifetime prevalence about 1%; including I, II and cyclothymia, the spectrum may exceed 5%.</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Bipolar I is similarly prevalent in both sexes; bipolar II and rapid cycling are commoner in women.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Mean onset 25, peak 20–40; about 20% begin before 20 and 10% after 60.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 depression is commoner in women; first mania in men.</w:t>
      </w:r>
    </w:p>
    <w:p>
      <w:pPr>
        <w:spacing w:before="240" w:after="80" w:line="312" w:lineRule="auto"/>
      </w:pPr>
      <w:r>
        <w:rPr>
          <w:rFonts w:ascii="Calibri" w:hAnsi="Calibri" w:cs="Calibri" w:eastAsia="PingFang SC"/>
          <w:b/>
          <w:color w:val="175244"/>
          <w:sz w:val="22"/>
          <w:szCs w:val="22"/>
        </w:rPr>
        <w:t xml:space="preserve">Genetics of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First-degree relatives have threefold risk; genetics seems less important in late-onset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susceptibility loci, MDD1 and MDD2, are identified; other candidate genes have been found in research.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serotonin transporter gene on chromosome 17 has the 5-HTTLPR (5-HT transporter length polymorphism): short-allele homozygotes or heterozygotes have greater depression risk after stressful life events than long-allele homozygotes.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landmark study illustrates environment–genetic vulnerability interaction; subsequent studies have both replicated and failed to support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Genetics may also mediate medication response or adverse effects.</w:t>
      </w:r>
    </w:p>
    <w:p>
      <w:pPr>
        <w:spacing w:before="240" w:after="80" w:line="312" w:lineRule="auto"/>
      </w:pPr>
      <w:r>
        <w:rPr>
          <w:rFonts w:ascii="Calibri" w:hAnsi="Calibri" w:cs="Calibri" w:eastAsia="PingFang SC"/>
          <w:b/>
          <w:color w:val="175244"/>
          <w:sz w:val="22"/>
          <w:szCs w:val="22"/>
        </w:rPr>
        <w:t xml:space="preserve">Psychosocial and Physical Factors in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Recent stressful events, especially losses; parental loss before ten; living alone; poor social support; chronic pain; alcohol/substance misuse.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Drugs such as steroids or antihypertensives.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Vascular disease such as stroke and coronary disease increases depression risk; depression also increases vascular disease risk—a bidirectional relationship.</w:t>
      </w:r>
    </w:p>
    <w:p>
      <w:pPr>
        <w:spacing w:before="240" w:after="80" w:line="312" w:lineRule="auto"/>
      </w:pPr>
      <w:r>
        <w:rPr>
          <w:rFonts w:ascii="Calibri" w:hAnsi="Calibri" w:cs="Calibri" w:eastAsia="PingFang SC"/>
          <w:b/>
          <w:color w:val="175244"/>
          <w:sz w:val="22"/>
          <w:szCs w:val="22"/>
        </w:rPr>
        <w:t xml:space="preserve">Genetics and Precipitants of Bipolar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Heritability exceeds unipolar disorder: risk about 1% in the population, 10% with one affected first-degree relative such as a parent, and up to 50% with both parents affected—very similar to schizophrenia's genetic risk.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 single causal gene identified; many candidates studied.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Psychosocial factors also contribute but may matter less than in unipolar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precipitants include disturbed sleep—some experts view bipolar disorder as fundamentally circadian—alcohol/substance misuse, steroids, antidepressants and thyroxine.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women, pregnancy and postpartum are bipolar risk periods; menopause is a depression risk period.</w:t>
      </w:r>
    </w:p>
    <w:p>
      <w:pPr>
        <w:spacing w:before="240" w:after="80" w:line="312" w:lineRule="auto"/>
      </w:pPr>
      <w:r>
        <w:rPr>
          <w:rFonts w:ascii="Calibri" w:hAnsi="Calibri" w:cs="Calibri" w:eastAsia="PingFang SC"/>
          <w:b/>
          <w:color w:val="175244"/>
          <w:sz w:val="22"/>
          <w:szCs w:val="22"/>
        </w:rPr>
        <w:t xml:space="preserve">Neurobiological Findings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Depression studies show reduced hippocampal volume, reduced dorsolateral prefrontal activity and increased amygdala activity.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Bipolar hippocampal-volume findings are inconsistent.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potentially involved systems: endocrine (HPA-axis dysregulation, oestrogen), immune, abnormal emotional processing and neurotrophic factors such as BDNF.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Depression is much better studied, understandably because it is much commoner, yet its precise neurobiology remains unclear.</w:t>
      </w:r>
    </w:p>
    <w:p>
      <w:pPr>
        <w:spacing w:before="240" w:after="80" w:line="312" w:lineRule="auto"/>
      </w:pPr>
      <w:r>
        <w:rPr>
          <w:rFonts w:ascii="Calibri" w:hAnsi="Calibri" w:cs="Calibri" w:eastAsia="PingFang SC"/>
          <w:b/>
          <w:color w:val="175244"/>
          <w:sz w:val="22"/>
          <w:szCs w:val="22"/>
        </w:rPr>
        <w:t xml:space="preserve">Assessment, Risk and Comorbidity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Complete psychiatric assessment, comprehensive medical history and proper risk assessment are required.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Suicide risk rises in unipolar/bipolar depression and bipolar mixed states; severe mania can endanger self or others through recklessness.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states eventual suicide deaths in about 5–10% of untreated/inadequately treated unipolar depression and 10–15% of bipolar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Risk factors: male sex; previous attempts (though for many the first is fatal); comorbid alcohol/substance misuse; impulsive traits; hopelessness; anxiety, agitation and severe insomnia; mixed episodes; rapid cycling.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Risk may paradoxically rise with early improvement in severe depression as energy returns to enact a plan. A history of violence favours violent suicide methods.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Patients may falsely deny ideas despite direct questioning; seek the above risk factors and manage accordingly.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Common psychiatric comorbidities: anxiety disorders, alcohol/substance misuse, personality disorders, eating disorders and ADHD. Physical comorbidities include thyroid dysfunction beyond lithium effects, migraine and metabolic syndrome beyond antipsychotic effects.</w:t>
      </w:r>
    </w:p>
    <w:p>
      <w:pPr>
        <w:spacing w:before="240" w:after="80" w:line="312" w:lineRule="auto"/>
      </w:pPr>
      <w:r>
        <w:rPr>
          <w:rFonts w:ascii="Calibri" w:hAnsi="Calibri" w:cs="Calibri" w:eastAsia="PingFang SC"/>
          <w:b/>
          <w:color w:val="175244"/>
          <w:sz w:val="22"/>
          <w:szCs w:val="22"/>
        </w:rPr>
        <w:t xml:space="preserve">Laboratory and Other Investigations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 routine CT, MRI, EEG, psychometrics, neuropsychological tests or personality questionnaires without specific indications.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Routine blood tests: CBC, liver, renal and thyroid function, glucose and lipids.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Hypothyroidism mimics depression; if confirmed, correcting it may itself treat depressive symptoms.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Obtain baseline ECG as well.</w:t>
      </w:r>
    </w:p>
    <w:p>
      <w:pPr>
        <w:spacing w:before="240" w:after="80" w:line="312" w:lineRule="auto"/>
      </w:pPr>
      <w:r>
        <w:rPr>
          <w:rFonts w:ascii="Calibri" w:hAnsi="Calibri" w:cs="Calibri" w:eastAsia="PingFang SC"/>
          <w:b/>
          <w:color w:val="175244"/>
          <w:sz w:val="22"/>
          <w:szCs w:val="22"/>
        </w:rPr>
        <w:t xml:space="preserve">Rating Scales: BDI, HAMD and YMRS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Several depression and mania severity scales exist, mainly for research, not required routinely in practice.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two commonest depression scales are Beck Depression Inventory (BDI) and Hamilton Rating Scale for Depression (HAMD).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Young Mania Rating Scale (YMRS) is commonest for mania.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BDI is self-rated: 21 items, each 0–3, total 0–63. Severity bands vary by study; the lecture gives one example but its numerical bands are not read aloud.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YMRS is observer-rated: 11 items, four scored 0–8, weighted twice the other seven scored 0–4.</w:t>
      </w:r>
    </w:p>
    <w:p>
      <w:pPr>
        <w:spacing w:before="240" w:after="80" w:line="312" w:lineRule="auto"/>
      </w:pPr>
      <w:r>
        <w:rPr>
          <w:rFonts w:ascii="Calibri" w:hAnsi="Calibri" w:cs="Calibri" w:eastAsia="PingFang SC"/>
          <w:b/>
          <w:color w:val="175244"/>
          <w:sz w:val="22"/>
          <w:szCs w:val="22"/>
        </w:rPr>
        <w:t xml:space="preserve">Depression Pharmacotherapy: Monoamine Hypothesis and Classes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main approaches are antidepressants and psychotherapy (usually CBT), separately or together; antidepressants remain by far the commonest treatment.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monoamine hypothesis proposes inadequate brain serotonin and/or noradrenaline, corrected by increasing either or both. It has many flaws, but most available antidepressants do alter monoamines.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Like antipsychotics, antidepressants divide into older/first-generation TCAs and MAOIs, and newer/second-generation SSRIs, SNRIs and several other classes.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SSRIs are commonest, followed by SNRIs and mirtazapine. Bupropion, a noradrenaline–dopamine reuptake inhibitor, is widely used in the USA and for smoking cessation.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slide listing classes and examples is not read item by item; only these groups and examples are transcribed.</w:t>
      </w:r>
    </w:p>
    <w:p>
      <w:pPr>
        <w:spacing w:before="240" w:after="80" w:line="312" w:lineRule="auto"/>
      </w:pPr>
      <w:r>
        <w:rPr>
          <w:rFonts w:ascii="Calibri" w:hAnsi="Calibri" w:cs="Calibri" w:eastAsia="PingFang SC"/>
          <w:b/>
          <w:color w:val="175244"/>
          <w:sz w:val="22"/>
          <w:szCs w:val="22"/>
        </w:rPr>
        <w:t xml:space="preserve">Adverse Effects of Antidepressant Classes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TCAs and MAOIs are generally no longer first-line, though potentially useful in resistant or atypical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TCA anticholinergic effects include dry mouth, blurred vision, constipation, sweating and urinary retention; overdose is cardiotoxic.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MAOIs cause hypertensive crisis, the “cheese reaction”: normally MAO metabolises tyramine; inhibition prevents metabolism, permitting intestinal tyramine to enter systemic circulation and release noradrenaline from sympathetic endings, causing severe hypertension.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Patients taking MAOIs must therefore avoid tyramine-containing foods such as cheese, certain alcohols and meats.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Mirtazapine causes sedation, increased appetite and weight, potentially beneficial where biological depressive symptoms—insomnia, appetite loss, weight loss—predominate.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Main SSRI/SNRI adverse effects are on a slide but not read aloud.</w:t>
      </w:r>
    </w:p>
    <w:p>
      <w:pPr>
        <w:spacing w:before="240" w:after="80" w:line="312" w:lineRule="auto"/>
      </w:pPr>
      <w:r>
        <w:rPr>
          <w:rFonts w:ascii="Calibri" w:hAnsi="Calibri" w:cs="Calibri" w:eastAsia="PingFang SC"/>
          <w:b/>
          <w:color w:val="175244"/>
          <w:sz w:val="22"/>
          <w:szCs w:val="22"/>
        </w:rPr>
        <w:t xml:space="preserve">Discontinuation Syndrome and Serotonin Syndrome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Discontinuation syndrome is increasingly recognised, generally worse with shorter half-life drugs; symptoms include insomnia, nausea, anxiety and dizziness.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Gradual rather than abrupt withdrawal reduces risk. Common with relatively short-half-life venlafaxine and paroxetine, less with long-half-life fluoxetine.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Serotonin syndrome can follow combining an SSRI with other drugs increasing serotonin/5-HT availability; presentation may resemble neuroleptic malignant syndrome.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Treatment includes supportive care, benzodiazepines and cyproheptadine.</w:t>
      </w:r>
    </w:p>
    <w:p>
      <w:pPr>
        <w:spacing w:before="240" w:after="80" w:line="312" w:lineRule="auto"/>
      </w:pPr>
      <w:r>
        <w:rPr>
          <w:rFonts w:ascii="Calibri" w:hAnsi="Calibri" w:cs="Calibri" w:eastAsia="PingFang SC"/>
          <w:b/>
          <w:color w:val="175244"/>
          <w:sz w:val="22"/>
          <w:szCs w:val="22"/>
        </w:rPr>
        <w:t xml:space="preserve">Newer Antidepressants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Agomelatine is a melatonin-receptor agonist; pineal melatonin matters for sleep.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Another newer antidepressant, more SSRI-like, is mentioned as "vacone/vosone" in subtitles; its name cannot be confirmed and no further explanation is given.</w:t>
      </w:r>
    </w:p>
    <w:p>
      <w:pPr>
        <w:spacing w:before="240" w:after="80" w:line="312" w:lineRule="auto"/>
      </w:pPr>
      <w:r>
        <w:rPr>
          <w:rFonts w:ascii="Calibri" w:hAnsi="Calibri" w:cs="Calibri" w:eastAsia="PingFang SC"/>
          <w:b/>
          <w:color w:val="175244"/>
          <w:sz w:val="22"/>
          <w:szCs w:val="22"/>
        </w:rPr>
        <w:t xml:space="preserve">Antidepressant Principles and Treatment Duration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“Start low and go slow”: increase gradually if needed, review mental state regularly and monitor adverse effects.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Avoid antidepressant polypharmacy except in treatment-resistant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Effects generally take at least 2–3 weeks to appear, another 2–3 to peak.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After improvement, continue for several months after recovery; once stable, taper to avoid rebound relapse.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no improvement, gradually switch antidepressants; consider long-term maintenance after recurrent relapses.</w:t>
      </w:r>
    </w:p>
    <w:p>
      <w:pPr>
        <w:spacing w:before="240" w:after="80" w:line="312" w:lineRule="auto"/>
      </w:pPr>
      <w:r>
        <w:rPr>
          <w:rFonts w:ascii="Calibri" w:hAnsi="Calibri" w:cs="Calibri" w:eastAsia="PingFang SC"/>
          <w:b/>
          <w:color w:val="175244"/>
          <w:sz w:val="22"/>
          <w:szCs w:val="22"/>
        </w:rPr>
        <w:t xml:space="preserve">Psychotherapy and ECT Indications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CBT is based on cognition and behaviour influencing feelings; negative cognitions and maladaptive behaviour can cause depression. Cognitive/behavioural strategies correct the negative cognitions and unhelpful behaviours maintaining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ECT indications in the lecture: severe life-threatening depression (e.g. neither eating nor drinking), depressive stupor, severe psychotic depression (e.g. postpartum psychosis), and resistance to multiple antidepressants and psychotherapies such as CBT.</w:t>
      </w:r>
    </w:p>
    <w:p>
      <w:pPr>
        <w:spacing w:before="240" w:after="80" w:line="312" w:lineRule="auto"/>
      </w:pPr>
      <w:r>
        <w:rPr>
          <w:rFonts w:ascii="Calibri" w:hAnsi="Calibri" w:cs="Calibri" w:eastAsia="PingFang SC"/>
          <w:b/>
          <w:color w:val="175244"/>
          <w:sz w:val="22"/>
          <w:szCs w:val="22"/>
        </w:rPr>
        <w:t xml:space="preserve">Defining and Managing Treatment-Resistant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 response to at least two antidepressants of different classes, at adequate doses and durations (usually at least 4–6 weeks).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Before diagnosing resistance assess adherence, alcohol/drug misuse, interactions (e.g. enzyme inducers for physical illness reducing antidepressant availability), physical illness such as poorly controlled pain, and psychosocial stress.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Common strategies are combination or augmentation, routine in outpatient psychiatry. Combination means two different antidepressants (e.g. venlafaxine + mirtazapine) or an antidepressant + CBT; augmentation adds a non-antidepressant such as lithium, triiodothyronine (T3) or an atypical antipsychotic.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Less commonly ECT, mainly inpatient and especially geriatric depression; rare biological options at specialist mood-disorder/neurology centres include transcranial magnetic stimulation, direct-current stimulation, deep-brain stimulation and vagus-nerve stimulation.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Psychosurgery/neurosurgery for mental disorder is exceptionally rare, available at only a handful of centres worldwide; use has fallen greatly and continues to decline.</w:t>
      </w:r>
    </w:p>
    <w:p>
      <w:pPr>
        <w:spacing w:before="240" w:after="80" w:line="312" w:lineRule="auto"/>
      </w:pPr>
      <w:r>
        <w:rPr>
          <w:rFonts w:ascii="Calibri" w:hAnsi="Calibri" w:cs="Calibri" w:eastAsia="PingFang SC"/>
          <w:b/>
          <w:color w:val="175244"/>
          <w:sz w:val="22"/>
          <w:szCs w:val="22"/>
        </w:rPr>
        <w:t xml:space="preserve">Mood Stabilisers and Common Atypical Antipsychotics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Four commonest: lithium, divalproex sodium, carbamazepine and lamotrigine.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Atypical antipsychotics commonly stabilising bipolar mood: aripiprazole, olanzapine, quetiapine and risperidone.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mechanisms slide is not read item by item. Other drugs also serve as stabilisers; this lecture covers these four main ones.</w:t>
      </w:r>
    </w:p>
    <w:p>
      <w:pPr>
        <w:spacing w:before="240" w:after="80" w:line="312" w:lineRule="auto"/>
      </w:pPr>
      <w:r>
        <w:rPr>
          <w:rFonts w:ascii="Calibri" w:hAnsi="Calibri" w:cs="Calibri" w:eastAsia="PingFang SC"/>
          <w:b/>
          <w:color w:val="175244"/>
          <w:sz w:val="22"/>
          <w:szCs w:val="22"/>
        </w:rPr>
        <w:t xml:space="preserve">Adverse Effects of Mood Stabilisers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Lithium: hypothyroidism, nephrogenic diabetes insipidus, therapeutic-range fine tremor controllable with beta-blockers, leucocytosis, ECG changes and exacerbation of acne/psoriasis.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Divalproex/sodium valproate: hair loss, hyperammonaemia, pancreatitis, thrombocytopenia; inhibits some liver enzymes.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Carbamazepine: ataxia, SIADH-related hyponatraemia, rare Stevens–Johnson syndrome/toxic epidermal necrolysis and agranulocytosis. Do not combine with clozapine because both cause agranulocytosis.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Carbamazepine induces hepatic enzymes, accelerating other drugs' metabolism and its own (autoinduction), potentially requiring later dose increases.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Lamotrigine, a newer stabiliser, mainly causes relatively benign maculopapular eruptions but rarely Stevens–Johnson syndrome/toxic epidermal necrolysis.</w:t>
      </w:r>
    </w:p>
    <w:p>
      <w:pPr>
        <w:spacing w:before="240" w:after="80" w:line="312" w:lineRule="auto"/>
      </w:pPr>
      <w:r>
        <w:rPr>
          <w:rFonts w:ascii="Calibri" w:hAnsi="Calibri" w:cs="Calibri" w:eastAsia="PingFang SC"/>
          <w:b/>
          <w:color w:val="175244"/>
          <w:sz w:val="22"/>
          <w:szCs w:val="22"/>
        </w:rPr>
        <w:t xml:space="preserve">Lithium: Toxicity, Monitoring and Anti-Suicide Effects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Toxicity risk factors: dehydration, NSAIDs, diuretics (especially thiazides) and ACE inhibitors.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Toxicity: coarse tremor, diarrhoea, vomiting, ataxia, dysarthria, confusion, convulsions, renal failure, coma and untreated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Lecture target: 0.6–1.0 mmol/L; toxicity usually above 1.5 mmol/L.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Monitor levels at least every 3–6 months on a stable dose, more frequently at initiation or dose changes.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Check thyroid and renal function at least every 6–12 months.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Abrupt cessation risks rebound mania; taper over at least several weeks if stopping.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Lithium has demonstrated anti-suicide effects; clozapine is another psychotropic with such effects.</w:t>
      </w:r>
    </w:p>
    <w:p>
      <w:pPr>
        <w:spacing w:before="240" w:after="80" w:line="312" w:lineRule="auto"/>
      </w:pPr>
      <w:r>
        <w:rPr>
          <w:rFonts w:ascii="Calibri" w:hAnsi="Calibri" w:cs="Calibri" w:eastAsia="PingFang SC"/>
          <w:b/>
          <w:color w:val="175244"/>
          <w:sz w:val="22"/>
          <w:szCs w:val="22"/>
        </w:rPr>
        <w:t xml:space="preserve">Pregnancy and Teratogenic Risks of Mood Stabilisers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Valproate is the most teratogenic; lithium, carbamazepine and lamotrigine also have potential risks.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recommends avoiding these where possible in pregnancy, especially the first trimester, and avoiding their combination in pregnancy.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associates valproate/carbamazepine with neural-tube defects such as spina bifida, lithium with Ebstein's anomaly and lamotrigine with cleft palate.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recommends high-dose folic acid, e.g. 5 mg daily, for pregnant women taking valproate or carbamazepine.</w:t>
      </w:r>
    </w:p>
    <w:p>
      <w:pPr>
        <w:spacing w:before="240" w:after="80" w:line="312" w:lineRule="auto"/>
      </w:pPr>
      <w:r>
        <w:rPr>
          <w:rFonts w:ascii="Calibri" w:hAnsi="Calibri" w:cs="Calibri" w:eastAsia="PingFang SC"/>
          <w:b/>
          <w:color w:val="175244"/>
          <w:sz w:val="22"/>
          <w:szCs w:val="22"/>
        </w:rPr>
        <w:t xml:space="preserve">Lamotrigine Dose and Titration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specifies very slow titration: 25 mg daily for the first two weeks, increases every two weeks thereafter, maximum 200 mg daily.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With enzyme-inhibiting valproate, halve the dose or give alternate days; with enzyme-inducing carbamazepine, doubling may be needed.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Cautious titration reduces Stevens–Johnson syndrome/toxic epidermal necrolysis risk, apparently related to both escalation speed and actual dose.</w:t>
      </w:r>
    </w:p>
    <w:p>
      <w:pPr>
        <w:spacing w:before="240" w:after="80" w:line="312" w:lineRule="auto"/>
      </w:pPr>
      <w:r>
        <w:rPr>
          <w:rFonts w:ascii="Calibri" w:hAnsi="Calibri" w:cs="Calibri" w:eastAsia="PingFang SC"/>
          <w:b/>
          <w:color w:val="175244"/>
          <w:sz w:val="22"/>
          <w:szCs w:val="22"/>
        </w:rPr>
        <w:t xml:space="preserve">Managing Mania / Hypomania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treating depression, first stop antidepressants; typically a patient diagnosed unipolar develops a first manic episode after antidepressants.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lecture's usual first-line choices: an oral atypical antipsychotic, divalproex sodium, lithium or carbamazepine; add short-term oral/IM benzodiazepines or hypnotics if needed.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Continue successful first-line monotherapy for maintenance; switch if ineffective or significantly adverse.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Add a second first-line drug for partial response; ECT is an option for severe resistant mania.</w:t>
      </w:r>
    </w:p>
    <w:p>
      <w:pPr>
        <w:spacing w:before="240" w:after="80" w:line="312" w:lineRule="auto"/>
      </w:pPr>
      <w:r>
        <w:rPr>
          <w:rFonts w:ascii="Calibri" w:hAnsi="Calibri" w:cs="Calibri" w:eastAsia="PingFang SC"/>
          <w:b/>
          <w:color w:val="175244"/>
          <w:sz w:val="22"/>
          <w:szCs w:val="22"/>
        </w:rPr>
        <w:t xml:space="preserve">Managing Bipolar Depression and Rapid Cycling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Bipolar depression: quetiapine may be the atypical of choice, lamotrigine the anticonvulsant of choice.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need added antidepressants (usually SSRIs), with great caution about switching to mania/hypomania.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ECT may help severe resistant bipolar depression but also risks switching.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lecture's rapid-cycling approach: withdraw antidepressants; combine lithium and valproate; add atypicals, preferably quetiapine, alternatively olanzapine/risperidone/aripiprazole; add lamotrigine; add thyroxine; consider clozapine.</w:t>
      </w:r>
    </w:p>
    <w:p>
      <w:pPr>
        <w:spacing w:before="240" w:after="80" w:line="312" w:lineRule="auto"/>
      </w:pPr>
      <w:r>
        <w:rPr>
          <w:rFonts w:ascii="Calibri" w:hAnsi="Calibri" w:cs="Calibri" w:eastAsia="PingFang SC"/>
          <w:b/>
          <w:color w:val="175244"/>
          <w:sz w:val="22"/>
          <w:szCs w:val="22"/>
        </w:rPr>
        <w:t xml:space="preserve">Maintenance and General Management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Medication treats mania better than depression, but depression causes most long-term bipolar disability—parallel to schizophrenia's better response of positive symptoms and greater disability from negative symptoms.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Mania-predominant maintenance: first-line atypical antipsychotic or mood stabiliser, second-line carbamazepine. Depression-predominant: first-line quetiapine or lamotrigine, second-line lithium. Some require combinations.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Assess suicide risk in depression/mixed episodes and safety to self/others in mania; individualise to adverse effects, teratogenic risks and other needs.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Identify/address precipitants such as non-adherence, home/work stress, physical illness and alcohol misuse; educate patients about illness and treatment rationale.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Teach sleep hygiene: sleep disturbance is important in relapse and switching from depression to mania.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Another slide lists adjunctive mood-disorder options but is not read aloud.</w:t>
      </w:r>
    </w:p>
    <w:p>
      <w:pPr>
        <w:spacing w:before="240" w:after="80" w:line="312" w:lineRule="auto"/>
      </w:pPr>
      <w:r>
        <w:rPr>
          <w:rFonts w:ascii="Calibri" w:hAnsi="Calibri" w:cs="Calibri" w:eastAsia="PingFang SC"/>
          <w:b/>
          <w:color w:val="175244"/>
          <w:sz w:val="22"/>
          <w:szCs w:val="22"/>
        </w:rPr>
        <w:t xml:space="preserve">Depression Prognosis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 least 50% relapse after a first episode; average three episodes per ten years.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Relapse risk increases with each episode and decreases with longer remission.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20% develop chronic low-grade depression for years, never returning to prior euthymia.</w:t>
      </w:r>
    </w:p>
    <w:p>
      <w:pPr>
        <w:spacing w:before="240" w:after="80" w:line="312" w:lineRule="auto"/>
      </w:pPr>
      <w:r>
        <w:rPr>
          <w:rFonts w:ascii="Calibri" w:hAnsi="Calibri" w:cs="Calibri" w:eastAsia="PingFang SC"/>
          <w:b/>
          <w:color w:val="175244"/>
          <w:sz w:val="22"/>
          <w:szCs w:val="22"/>
        </w:rPr>
        <w:t xml:space="preserve">Long-Term Bipolar Course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Depressive episodes average six months, longer than mania's three months.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Patients with mania only and no depression fare best; women may have more depressive episodes than men.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Bipolar patients tend to have more and longer depressive episodes than unipolar patients; average ten lifetime episodes, roughly equal numbers of depression and mania.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studies suggest more mania with increasing age in some patients/groups.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Euthymic intervals shorten as illness continues, particularly with depressive episodes.</w:t>
      </w:r>
    </w:p>
    <w:p>
      <w:pPr>
        <w:spacing w:before="240" w:after="80" w:line="312" w:lineRule="auto"/>
      </w:pPr>
      <w:r>
        <w:rPr>
          <w:rFonts w:ascii="Calibri" w:hAnsi="Calibri" w:cs="Calibri" w:eastAsia="PingFang SC"/>
          <w:b/>
          <w:color w:val="175244"/>
          <w:sz w:val="22"/>
          <w:szCs w:val="22"/>
        </w:rPr>
        <w:t xml:space="preserve">Prognostic Factors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Poor prognosis in both: earlier onset; longer/severer episodes; poor initial response/resistance; interepisode subsyndromal depression; suicidal behaviour; comorbid anxiety, personality or physical illness; alcohol/substance misuse; poor social support/integration.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Bipolar-specific: delayed diagnosis/treatment; increasing frequency; mixed episodes; psychosis; rapid cycling; polyphasic index episode (direct polarity switch without remission); first depression rather than mania; family factors such as high expressed emotion.</w:t>
      </w:r>
    </w:p>
    <w:p>
      <w:pPr>
        <w:spacing w:before="240" w:after="80" w:line="312" w:lineRule="auto"/>
      </w:pPr>
      <w:r>
        <w:rPr>
          <w:rFonts w:ascii="Calibri" w:hAnsi="Calibri" w:cs="Calibri" w:eastAsia="PingFang SC"/>
          <w:b/>
          <w:color w:val="175244"/>
          <w:sz w:val="22"/>
          <w:szCs w:val="22"/>
        </w:rPr>
        <w:t xml:space="preserve">Five Self-Test MCQs and Answers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Q1, rapid cycling: thyroid dysfunction is a risk factor; other options are wrong about suicide risk, twelve-month episode frequency and treatment response.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Q2, lithium adverse effects: nephrogenic diabetes insipidus; diabetes mellitus belongs to atypical antipsychotics, SIADH and agranulocytosis to carbamazepine.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Q3, antidepressant with sedation and weight gain: mirtazapine.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Q4, what does NOT suggest bipolar depression: later onset; earlier onset is the clue.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Q5, mood scales: BDI is self-rated depression; PANSS is for schizophrenia, YMRS/HAMD observer-rated.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Only answers and exclusion reasons are spoken, not full options; see “Self-Test MCQs and Answers” below for full explanation.</w:t>
      </w:r>
    </w:p>
    <w:p>
      <w:pPr>
        <w:spacing w:before="240" w:after="80" w:line="312" w:lineRule="auto"/>
      </w:pPr>
      <w:r>
        <w:rPr>
          <w:rFonts w:ascii="Calibri" w:hAnsi="Calibri" w:cs="Calibri" w:eastAsia="PingFang SC"/>
          <w:b/>
          <w:color w:val="9E3D34"/>
          <w:sz w:val="26"/>
          <w:szCs w:val="26"/>
        </w:rPr>
        <w:t xml:space="preserve">Scales and Assessment Tools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Beck Depression Inventory (BDI)</w:t>
      </w:r>
      <w:r>
        <w:rPr>
          <w:rFonts w:ascii="Calibri" w:hAnsi="Calibri" w:cs="Calibri" w:eastAsia="PingFang SC"/>
          <w:color w:val="3D3A33"/>
          <w:sz w:val="22"/>
          <w:szCs w:val="22"/>
        </w:rPr>
        <w:t xml:space="preserve">: Self-rated, 21 items, each 0–3, total 0–63; severity bands vary, and the lecture's example numerical bands are not read aloud.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Hamilton Rating Scale for Depression (HAMD)</w:t>
      </w:r>
      <w:r>
        <w:rPr>
          <w:rFonts w:ascii="Calibri" w:hAnsi="Calibri" w:cs="Calibri" w:eastAsia="PingFang SC"/>
          <w:color w:val="3D3A33"/>
          <w:sz w:val="22"/>
          <w:szCs w:val="22"/>
        </w:rPr>
        <w:t xml:space="preserve">: Observer-rated; one of the two commonest depression scales. Item count/cut-offs not supplied.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Young Mania Rating Scale (YMRS)</w:t>
      </w:r>
      <w:r>
        <w:rPr>
          <w:rFonts w:ascii="Calibri" w:hAnsi="Calibri" w:cs="Calibri" w:eastAsia="PingFang SC"/>
          <w:color w:val="3D3A33"/>
          <w:sz w:val="22"/>
          <w:szCs w:val="22"/>
        </w:rPr>
        <w:t xml:space="preserve">: Commonest observer-rated mania scale; 11 items, four 0–8 (double weight), seven 0–4; no cut-off supplied.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PANSS</w:t>
      </w:r>
      <w:r>
        <w:rPr>
          <w:rFonts w:ascii="Calibri" w:hAnsi="Calibri" w:cs="Calibri" w:eastAsia="PingFang SC"/>
          <w:color w:val="3D3A33"/>
          <w:sz w:val="22"/>
          <w:szCs w:val="22"/>
        </w:rPr>
        <w:t xml:space="preserve">: Mentioned in MCQs, a schizophrenia rather than mood scale—a common distractor.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Role</w:t>
      </w:r>
      <w:r>
        <w:rPr>
          <w:rFonts w:ascii="Calibri" w:hAnsi="Calibri" w:cs="Calibri" w:eastAsia="PingFang SC"/>
          <w:color w:val="3D3A33"/>
          <w:sz w:val="22"/>
          <w:szCs w:val="22"/>
        </w:rPr>
        <w:t xml:space="preserve">: Primarily clinical research, not routinely necessary in practice.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 structured interviews such as SCID/MINI or other screening scales mentioned.</w:t>
      </w:r>
    </w:p>
    <w:p>
      <w:pPr>
        <w:spacing w:before="240" w:after="80" w:line="312" w:lineRule="auto"/>
      </w:pPr>
      <w:r>
        <w:rPr>
          <w:rFonts w:ascii="Calibri" w:hAnsi="Calibri" w:cs="Calibri" w:eastAsia="PingFang SC"/>
          <w:b/>
          <w:color w:val="9E3D34"/>
          <w:sz w:val="26"/>
          <w:szCs w:val="26"/>
        </w:rPr>
        <w:t xml:space="preserve">Medication and Treatment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SSRIs (selective serotonin reuptake inhibitors)</w:t>
      </w:r>
      <w:r>
        <w:rPr>
          <w:rFonts w:ascii="Calibri" w:hAnsi="Calibri" w:cs="Calibri" w:eastAsia="PingFang SC"/>
          <w:color w:val="3D3A33"/>
          <w:sz w:val="22"/>
          <w:szCs w:val="22"/>
        </w:rPr>
        <w:t xml:space="preserve">: Commonest first-line depression drugs, second-generation; no doses, main adverse effects on an unread slide. Long-half-life fluoxetine has less discontinuation syndrome.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SNRIs (serotonin–noradrenaline reuptake inhibitors)</w:t>
      </w:r>
      <w:r>
        <w:rPr>
          <w:rFonts w:ascii="Calibri" w:hAnsi="Calibri" w:cs="Calibri" w:eastAsia="PingFang SC"/>
          <w:color w:val="3D3A33"/>
          <w:sz w:val="22"/>
          <w:szCs w:val="22"/>
        </w:rPr>
        <w:t xml:space="preserve">: Next most used; shorter-half-life venlafaxine commonly causes discontinuation syndrome; no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Mirtazapine</w:t>
      </w:r>
      <w:r>
        <w:rPr>
          <w:rFonts w:ascii="Calibri" w:hAnsi="Calibri" w:cs="Calibri" w:eastAsia="PingFang SC"/>
          <w:color w:val="3D3A33"/>
          <w:sz w:val="22"/>
          <w:szCs w:val="22"/>
        </w:rPr>
        <w:t xml:space="preserve">: Sedation, appetite/weight gain, potentially useful with prominent insomnia/appetite/weight loss; no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Bupropion</w:t>
      </w:r>
      <w:r>
        <w:rPr>
          <w:rFonts w:ascii="Calibri" w:hAnsi="Calibri" w:cs="Calibri" w:eastAsia="PingFang SC"/>
          <w:color w:val="3D3A33"/>
          <w:sz w:val="22"/>
          <w:szCs w:val="22"/>
        </w:rPr>
        <w:t xml:space="preserve">: NDRI, widely used in USA and smoking cessation; no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TCAs</w:t>
      </w:r>
      <w:r>
        <w:rPr>
          <w:rFonts w:ascii="Calibri" w:hAnsi="Calibri" w:cs="Calibri" w:eastAsia="PingFang SC"/>
          <w:color w:val="3D3A33"/>
          <w:sz w:val="22"/>
          <w:szCs w:val="22"/>
        </w:rPr>
        <w:t xml:space="preserve">: First-generation, generally no longer first-line, potential role in resistant/atypical depression. Anticholinergic dry mouth, blurred vision, constipation, sweating, urinary retention; cardiotoxic overdose. Endogenous depression may respond better than to SSRIs; no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MAOIs</w:t>
      </w:r>
      <w:r>
        <w:rPr>
          <w:rFonts w:ascii="Calibri" w:hAnsi="Calibri" w:cs="Calibri" w:eastAsia="PingFang SC"/>
          <w:color w:val="3D3A33"/>
          <w:sz w:val="22"/>
          <w:szCs w:val="22"/>
        </w:rPr>
        <w:t xml:space="preserve">: First-generation, generally no longer first-line; hypertensive “cheese reaction” through inhibited tyramine metabolism, systemic absorption and sympathetic noradrenaline release. Avoid tyramine-containing cheese, some alcohols/meats. Atypical depression may respond better than to TCAs/SSRIs; no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Agomelatine</w:t>
      </w:r>
      <w:r>
        <w:rPr>
          <w:rFonts w:ascii="Calibri" w:hAnsi="Calibri" w:cs="Calibri" w:eastAsia="PingFang SC"/>
          <w:color w:val="3D3A33"/>
          <w:sz w:val="22"/>
          <w:szCs w:val="22"/>
        </w:rPr>
        <w:t xml:space="preserve">: Newer melatonin-receptor agonist; no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Another newer antidepressant</w:t>
      </w:r>
      <w:r>
        <w:rPr>
          <w:rFonts w:ascii="Calibri" w:hAnsi="Calibri" w:cs="Calibri" w:eastAsia="PingFang SC"/>
          <w:color w:val="3D3A33"/>
          <w:sz w:val="22"/>
          <w:szCs w:val="22"/>
        </w:rPr>
        <w:t xml:space="preserve">: SSRI-like, subtitled "vacone/vosone"; name unconfirmed, no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Lithium</w:t>
      </w:r>
      <w:r>
        <w:rPr>
          <w:rFonts w:ascii="Calibri" w:hAnsi="Calibri" w:cs="Calibri" w:eastAsia="PingFang SC"/>
          <w:color w:val="3D3A33"/>
          <w:sz w:val="22"/>
          <w:szCs w:val="22"/>
        </w:rPr>
        <w:t xml:space="preserve">: One of four main stabilisers; target 0.6–1.0 mmol/L, toxicity usually &gt;1.5. Levels every 3–6 months when stable, more often initially/after changes; thyroid/renal tests every 6–12 months. Hypothyroidism, nephrogenic diabetes insipidus, fine therapeutic tremor (beta-blocker-responsive), leucocytosis, ECG changes, acne/psoriasis worsening. Toxicity: coarse tremor, diarrhoea, vomiting, ataxia, dysarthria, confusion, seizures, renal failure, coma/death; risks dehydration, NSAIDs, diuretics especially thiazides, ACE inhibitors. Anti-suicide effect; taper over weeks to prevent rebound mania; teratogenic association with Ebstein's anomaly.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Divalproex sodium / sodium valproate</w:t>
      </w:r>
      <w:r>
        <w:rPr>
          <w:rFonts w:ascii="Calibri" w:hAnsi="Calibri" w:cs="Calibri" w:eastAsia="PingFang SC"/>
          <w:color w:val="3D3A33"/>
          <w:sz w:val="22"/>
          <w:szCs w:val="22"/>
        </w:rPr>
        <w:t xml:space="preserve">: Main stabiliser, most teratogenic, linked to neural-tube defects/spina bifida. Hair loss, hyperammonaemia, pancreatitis, thrombocytopenia; inhibits some liver enzymes, requiring halved/alternate-day lamotrigine. First-line mania option; combined with lithium in rapid cycling; no doses supplied.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Carbamazepine</w:t>
      </w:r>
      <w:r>
        <w:rPr>
          <w:rFonts w:ascii="Calibri" w:hAnsi="Calibri" w:cs="Calibri" w:eastAsia="PingFang SC"/>
          <w:color w:val="3D3A33"/>
          <w:sz w:val="22"/>
          <w:szCs w:val="22"/>
        </w:rPr>
        <w:t xml:space="preserve">: Main stabiliser, neural-tube defect association; ataxia, SIADH hyponatraemia, rare severe Stevens–Johnson/toxic epidermal necrolysis, agranulocytosis (avoid clozapine combination). Enzyme inducer/autoinducer, potentially requiring later increases and doubled lamotrigine. First-line mania option, second-line mania-predominant maintenance; no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Lamotrigine</w:t>
      </w:r>
      <w:r>
        <w:rPr>
          <w:rFonts w:ascii="Calibri" w:hAnsi="Calibri" w:cs="Calibri" w:eastAsia="PingFang SC"/>
          <w:color w:val="3D3A33"/>
          <w:sz w:val="22"/>
          <w:szCs w:val="22"/>
        </w:rPr>
        <w:t xml:space="preserve">: Newer stabiliser, preferred anticonvulsant in bipolar depression; benign maculopapular rash, rare Stevens–Johnson/toxic epidermal necrolysis related to dose/escalation. </w:t>
      </w:r>
      <w:r>
        <w:rPr>
          <w:rFonts w:ascii="Calibri" w:hAnsi="Calibri" w:cs="Calibri" w:eastAsia="PingFang SC"/>
          <w:b/>
          <w:color w:val="3D3A33"/>
          <w:sz w:val="22"/>
          <w:szCs w:val="22"/>
        </w:rPr>
        <w:t xml:space="preserve">Lecture dose: 25 mg daily first two weeks, increase every two weeks, maximum 200 mg daily; halve/alternate days with valproate, potentially double with carbamazepine</w:t>
      </w:r>
      <w:r>
        <w:rPr>
          <w:rFonts w:ascii="Calibri" w:hAnsi="Calibri" w:cs="Calibri" w:eastAsia="PingFang SC"/>
          <w:color w:val="3D3A33"/>
          <w:sz w:val="22"/>
          <w:szCs w:val="22"/>
        </w:rPr>
        <w:t xml:space="preserve">; associated with cleft palate.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Atypicals (aripiprazole, olanzapine, quetiapine, risperidone)</w:t>
      </w:r>
      <w:r>
        <w:rPr>
          <w:rFonts w:ascii="Calibri" w:hAnsi="Calibri" w:cs="Calibri" w:eastAsia="PingFang SC"/>
          <w:color w:val="3D3A33"/>
          <w:sz w:val="22"/>
          <w:szCs w:val="22"/>
        </w:rPr>
        <w:t xml:space="preserve">: Bipolar stabilisation; quetiapine preferred for bipolar depression/rapid cycling, others alternatives in rapid cycling. Oral atypicals first-line in mania and mania-predominant maintenance; no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Clozapine</w:t>
      </w:r>
      <w:r>
        <w:rPr>
          <w:rFonts w:ascii="Calibri" w:hAnsi="Calibri" w:cs="Calibri" w:eastAsia="PingFang SC"/>
          <w:color w:val="3D3A33"/>
          <w:sz w:val="22"/>
          <w:szCs w:val="22"/>
        </w:rPr>
        <w:t xml:space="preserve">: Anti-suicide effect alongside lithium; consider in rapid cycling; avoid carbamazepine because both cause agranulocytosis; no doses.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Augmentation drugs</w:t>
      </w:r>
      <w:r>
        <w:rPr>
          <w:rFonts w:ascii="Calibri" w:hAnsi="Calibri" w:cs="Calibri" w:eastAsia="PingFang SC"/>
          <w:color w:val="3D3A33"/>
          <w:sz w:val="22"/>
          <w:szCs w:val="22"/>
        </w:rPr>
        <w:t xml:space="preserve">: Lithium, triiodothyronine (T3) or atypicals added to antidepressants for resistant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Thyroxine</w:t>
      </w:r>
      <w:r>
        <w:rPr>
          <w:rFonts w:ascii="Calibri" w:hAnsi="Calibri" w:cs="Calibri" w:eastAsia="PingFang SC"/>
          <w:color w:val="3D3A33"/>
          <w:sz w:val="22"/>
          <w:szCs w:val="22"/>
        </w:rPr>
        <w:t xml:space="preserve">: Possible rapid-cycling adjunct; itself also a bipolar precipitant.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Benzodiazepines (oral/IM) and short-term hypnotics</w:t>
      </w:r>
      <w:r>
        <w:rPr>
          <w:rFonts w:ascii="Calibri" w:hAnsi="Calibri" w:cs="Calibri" w:eastAsia="PingFang SC"/>
          <w:color w:val="3D3A33"/>
          <w:sz w:val="22"/>
          <w:szCs w:val="22"/>
        </w:rPr>
        <w:t xml:space="preserve">: Brief use if needed in mania/hypomania; benzodiazepines also used in serotonin-syndrome supportive treatment.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Cyproheptadine</w:t>
      </w:r>
      <w:r>
        <w:rPr>
          <w:rFonts w:ascii="Calibri" w:hAnsi="Calibri" w:cs="Calibri" w:eastAsia="PingFang SC"/>
          <w:color w:val="3D3A33"/>
          <w:sz w:val="22"/>
          <w:szCs w:val="22"/>
        </w:rPr>
        <w:t xml:space="preserve">: A serotonin-syndrome treatment.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Folic acid</w:t>
      </w:r>
      <w:r>
        <w:rPr>
          <w:rFonts w:ascii="Calibri" w:hAnsi="Calibri" w:cs="Calibri" w:eastAsia="PingFang SC"/>
          <w:color w:val="3D3A33"/>
          <w:sz w:val="22"/>
          <w:szCs w:val="22"/>
        </w:rPr>
        <w:t xml:space="preserve">: The lecture recommends high-dose supplementation, e.g. 5 mg daily, in pregnant women taking valproate/carbamazepine.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ECT</w:t>
      </w:r>
      <w:r>
        <w:rPr>
          <w:rFonts w:ascii="Calibri" w:hAnsi="Calibri" w:cs="Calibri" w:eastAsia="PingFang SC"/>
          <w:color w:val="3D3A33"/>
          <w:sz w:val="22"/>
          <w:szCs w:val="22"/>
        </w:rPr>
        <w:t xml:space="preserve">: Severe life-threatening depression (not eating/drinking), depressive stupor, severe psychotic depression (e.g. postpartum psychosis), resistant depression; severe resistant mania and bipolar depression (switch risk in the latter). Less common, mainly inpatient geriatric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Psychotherapy</w:t>
      </w:r>
      <w:r>
        <w:rPr>
          <w:rFonts w:ascii="Calibri" w:hAnsi="Calibri" w:cs="Calibri" w:eastAsia="PingFang SC"/>
          <w:color w:val="3D3A33"/>
          <w:sz w:val="22"/>
          <w:szCs w:val="22"/>
        </w:rPr>
        <w:t xml:space="preserve">: Mainly CBT, alone/with drugs, including combination strategy in resistant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Other biological treatments</w:t>
      </w:r>
      <w:r>
        <w:rPr>
          <w:rFonts w:ascii="Calibri" w:hAnsi="Calibri" w:cs="Calibri" w:eastAsia="PingFang SC"/>
          <w:color w:val="3D3A33"/>
          <w:sz w:val="22"/>
          <w:szCs w:val="22"/>
        </w:rPr>
        <w:t xml:space="preserve">: TMS, direct-current stimulation, deep-brain and vagus-nerve stimulation in specialist mood/neurology centres.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Psychosurgery</w:t>
      </w:r>
      <w:r>
        <w:rPr>
          <w:rFonts w:ascii="Calibri" w:hAnsi="Calibri" w:cs="Calibri" w:eastAsia="PingFang SC"/>
          <w:color w:val="3D3A33"/>
          <w:sz w:val="22"/>
          <w:szCs w:val="22"/>
        </w:rPr>
        <w:t xml:space="preserve">: Only very few neurosurgical centres; greatly reduced and declining use.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General prescribing principles</w:t>
      </w:r>
      <w:r>
        <w:rPr>
          <w:rFonts w:ascii="Calibri" w:hAnsi="Calibri" w:cs="Calibri" w:eastAsia="PingFang SC"/>
          <w:color w:val="3D3A33"/>
          <w:sz w:val="22"/>
          <w:szCs w:val="22"/>
        </w:rPr>
        <w:t xml:space="preserve">: “Start low and go slow”; regular mental-state/adverse-effect review; avoid antidepressant polypharmacy except resistant cases; onset 2–3 weeks, peak another 2–3; continue months after recovery then taper; consider long-term maintenance for recurrent relapse.</w:t>
      </w:r>
    </w:p>
    <w:p>
      <w:pPr>
        <w:spacing w:before="240" w:after="80" w:line="312" w:lineRule="auto"/>
      </w:pPr>
      <w:r>
        <w:rPr>
          <w:rFonts w:ascii="Calibri" w:hAnsi="Calibri" w:cs="Calibri" w:eastAsia="PingFang SC"/>
          <w:b/>
          <w:color w:val="9E3D34"/>
          <w:sz w:val="26"/>
          <w:szCs w:val="26"/>
        </w:rPr>
        <w:t xml:space="preserve">Self-Test MCQs and Answers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Q1 (rapid-cycling bipolar disorder)</w:t>
      </w:r>
      <w:r>
        <w:rPr>
          <w:rFonts w:ascii="Calibri" w:hAnsi="Calibri" w:cs="Calibri" w:eastAsia="PingFang SC"/>
          <w:color w:val="3D3A33"/>
          <w:sz w:val="22"/>
          <w:szCs w:val="22"/>
        </w:rPr>
        <w:t xml:space="preserve">: Correct: thyroid dysfunction is a risk factor. Full options are not read (incomplete question information). A false: suicide risk is high; B false: at least four mood episodes in twelve months; C false: response is poorer than ordinary bipolar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Q2 (lithium adverse effects)</w:t>
      </w:r>
      <w:r>
        <w:rPr>
          <w:rFonts w:ascii="Calibri" w:hAnsi="Calibri" w:cs="Calibri" w:eastAsia="PingFang SC"/>
          <w:color w:val="3D3A33"/>
          <w:sz w:val="22"/>
          <w:szCs w:val="22"/>
        </w:rPr>
        <w:t xml:space="preserve">: Nephrogenic diabetes insipidus. Distractors: diabetes mellitus from atypicals; SIADH/agranulocytosis from carbamazepine.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Q3 (sedation/weight gain)</w:t>
      </w:r>
      <w:r>
        <w:rPr>
          <w:rFonts w:ascii="Calibri" w:hAnsi="Calibri" w:cs="Calibri" w:eastAsia="PingFang SC"/>
          <w:color w:val="3D3A33"/>
          <w:sz w:val="22"/>
          <w:szCs w:val="22"/>
        </w:rPr>
        <w:t xml:space="preserve">: C, mirtazapine, characteristic effects; other options unread.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Q4 (not suggesting bipolar depression)</w:t>
      </w:r>
      <w:r>
        <w:rPr>
          <w:rFonts w:ascii="Calibri" w:hAnsi="Calibri" w:cs="Calibri" w:eastAsia="PingFang SC"/>
          <w:color w:val="3D3A33"/>
          <w:sz w:val="22"/>
          <w:szCs w:val="22"/>
        </w:rPr>
        <w:t xml:space="preserve">: Later age of onset. A is false because earlier onset suggests bipolarity; other three options (hypersomnia, increased appetite, bipolar family history etc.) favour bipolar over unipolar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Q5 (mood rating scales)</w:t>
      </w:r>
      <w:r>
        <w:rPr>
          <w:rFonts w:ascii="Calibri" w:hAnsi="Calibri" w:cs="Calibri" w:eastAsia="PingFang SC"/>
          <w:color w:val="3D3A33"/>
          <w:sz w:val="22"/>
          <w:szCs w:val="22"/>
        </w:rPr>
        <w:t xml:space="preserve">: BDI is a depression self-rating scale. B false: PANSS schizophrenia; C false: YMRS observer-rated; D false: HAMD observer-rated depression.</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"Patients with hypomania have insight into their illness. Patients with mania tend not to have insight. Patients with hypomania never have psychotic symptoms — the diagnosis would automatically become mania."</w:t>
      </w:r>
    </w:p>
    <w:p>
      <w:pPr>
        <w:spacing w:before="0" w:after="160" w:line="312" w:lineRule="auto"/>
      </w:pPr>
      <w:r>
        <w:rPr>
          <w:rFonts w:ascii="Calibri" w:hAnsi="Calibri" w:cs="Calibri" w:eastAsia="PingFang SC"/>
          <w:color w:val="3D3A33"/>
          <w:sz w:val="22"/>
          <w:szCs w:val="22"/>
        </w:rPr>
        <w:t xml:space="preserve">Hypomanic patients have insight, manic patients usually do not; psychotic symptoms automatically change hypomania to mania.</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"40% of patients who are eventually diagnosed with bipolar disorder are initially erroneously diagnosed as unipolar depression."</w:t>
      </w:r>
    </w:p>
    <w:p>
      <w:pPr>
        <w:spacing w:before="0" w:after="160" w:line="312" w:lineRule="auto"/>
      </w:pPr>
      <w:r>
        <w:rPr>
          <w:rFonts w:ascii="Calibri" w:hAnsi="Calibri" w:cs="Calibri" w:eastAsia="PingFang SC"/>
          <w:color w:val="3D3A33"/>
          <w:sz w:val="22"/>
          <w:szCs w:val="22"/>
        </w:rPr>
        <w:t xml:space="preserve">Forty percent eventually diagnosed bipolar are initially misdiagnosed as unipolar depression.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patient with significant depression may not be able to recall any happy memories, including hypomanic or manic episodes, so it is always useful to get collateral information from a family member or friend who has known the patient for many years."</w:t>
      </w:r>
    </w:p>
    <w:p>
      <w:pPr>
        <w:spacing w:before="0" w:after="160" w:line="312" w:lineRule="auto"/>
      </w:pPr>
      <w:r>
        <w:rPr>
          <w:rFonts w:ascii="Calibri" w:hAnsi="Calibri" w:cs="Calibri" w:eastAsia="PingFang SC"/>
          <w:color w:val="3D3A33"/>
          <w:sz w:val="22"/>
          <w:szCs w:val="22"/>
        </w:rPr>
        <w:t xml:space="preserve">Severely depressed patients may recall no happy memories, including past hypomania/mania; longstanding relatives/friends provide useful collateral history.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"Suicide risk may paradoxically increase as the severely depressed patient just starts to improve, as he or she may now have the energy to be able to act out their plan."</w:t>
      </w:r>
    </w:p>
    <w:p>
      <w:pPr>
        <w:spacing w:before="0" w:after="160" w:line="312" w:lineRule="auto"/>
      </w:pPr>
      <w:r>
        <w:rPr>
          <w:rFonts w:ascii="Calibri" w:hAnsi="Calibri" w:cs="Calibri" w:eastAsia="PingFang SC"/>
          <w:color w:val="3D3A33"/>
          <w:sz w:val="22"/>
          <w:szCs w:val="22"/>
        </w:rPr>
        <w:t xml:space="preserve">Suicide risk may paradoxically rise at initial improvement because energy returns to carry out plans.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"Medication is much better at treating mania than at treating depression, but it is depression that accounts for much of the long-term disability in bipolar — this is very similar to what we see in schizophrenia."</w:t>
      </w:r>
    </w:p>
    <w:p>
      <w:pPr>
        <w:spacing w:before="0" w:after="160" w:line="312" w:lineRule="auto"/>
      </w:pPr>
      <w:r>
        <w:rPr>
          <w:rFonts w:ascii="Calibri" w:hAnsi="Calibri" w:cs="Calibri" w:eastAsia="PingFang SC"/>
          <w:color w:val="3D3A33"/>
          <w:sz w:val="22"/>
          <w:szCs w:val="22"/>
        </w:rPr>
        <w:t xml:space="preserve">Medication treats mania much better, but depression causes much long-term bipolar disability, paralleling schizophrenia.</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general principle when using anti-depressants is: start low and go slow."</w:t>
      </w:r>
    </w:p>
    <w:p>
      <w:pPr>
        <w:spacing w:before="0" w:after="160" w:line="312" w:lineRule="auto"/>
      </w:pPr>
      <w:r>
        <w:rPr>
          <w:rFonts w:ascii="Calibri" w:hAnsi="Calibri" w:cs="Calibri" w:eastAsia="PingFang SC"/>
          <w:color w:val="3D3A33"/>
          <w:sz w:val="22"/>
          <w:szCs w:val="22"/>
        </w:rPr>
        <w:t xml:space="preserve">The general antidepressant principle is a low starting dose and slow increases.</w:t>
      </w:r>
    </w:p>
    <w:p>
      <w:pPr>
        <w:spacing w:before="240" w:after="80" w:line="312" w:lineRule="auto"/>
      </w:pPr>
      <w:r>
        <w:rPr>
          <w:rFonts w:ascii="Calibri" w:hAnsi="Calibri" w:cs="Calibri" w:eastAsia="PingFang SC"/>
          <w:b/>
          <w:color w:val="9E3D34"/>
          <w:sz w:val="26"/>
          <w:szCs w:val="26"/>
        </w:rPr>
        <w:t xml:space="preserve">Commonly Confused Concepts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Mania vs hypomania</w:t>
      </w:r>
      <w:r>
        <w:rPr>
          <w:rFonts w:ascii="Calibri" w:hAnsi="Calibri" w:cs="Calibri" w:eastAsia="PingFang SC"/>
          <w:color w:val="3D3A33"/>
          <w:sz w:val="22"/>
          <w:szCs w:val="22"/>
        </w:rPr>
        <w:t xml:space="preserve">: Distinguish severity, insight and psychosis. Hypomania retains insight and never psychosis; mania usually lacks insight and may/may not include psychosis. Psychosis automatically means mania.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Bipolar vs unipolar depression</w:t>
      </w:r>
      <w:r>
        <w:rPr>
          <w:rFonts w:ascii="Calibri" w:hAnsi="Calibri" w:cs="Calibri" w:eastAsia="PingFang SC"/>
          <w:color w:val="3D3A33"/>
          <w:sz w:val="22"/>
          <w:szCs w:val="22"/>
        </w:rPr>
        <w:t xml:space="preserve">: Usually clinically indistinguishable; atypical features (more sleep/appetite), retardation, frequent episodes, bipolar family history, earlier onset, male sex and abrupt onset favour bipolarity. Unipolar is commoner in women; bipolar similarly prevalent in both sexes.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Bipolar I vs II</w:t>
      </w:r>
      <w:r>
        <w:rPr>
          <w:rFonts w:ascii="Calibri" w:hAnsi="Calibri" w:cs="Calibri" w:eastAsia="PingFang SC"/>
          <w:color w:val="3D3A33"/>
          <w:sz w:val="22"/>
          <w:szCs w:val="22"/>
        </w:rPr>
        <w:t xml:space="preserve">: I has recurrent mania + depression; II depression + hypomania and </w:t>
      </w:r>
      <w:r>
        <w:rPr>
          <w:rFonts w:ascii="Calibri" w:hAnsi="Calibri" w:cs="Calibri" w:eastAsia="PingFang SC"/>
          <w:b/>
          <w:color w:val="3D3A33"/>
          <w:sz w:val="22"/>
          <w:szCs w:val="22"/>
        </w:rPr>
        <w:t xml:space="preserve">never mania</w:t>
      </w:r>
      <w:r>
        <w:rPr>
          <w:rFonts w:ascii="Calibri" w:hAnsi="Calibri" w:cs="Calibri" w:eastAsia="PingFang SC"/>
          <w:color w:val="3D3A33"/>
          <w:sz w:val="22"/>
          <w:szCs w:val="22"/>
        </w:rPr>
        <w:t xml:space="preserve">. Any manic episode makes it I regardless of prior diagnosis.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Dysthymia vs cyclothymia vs double depression</w:t>
      </w:r>
      <w:r>
        <w:rPr>
          <w:rFonts w:ascii="Calibri" w:hAnsi="Calibri" w:cs="Calibri" w:eastAsia="PingFang SC"/>
          <w:color w:val="3D3A33"/>
          <w:sz w:val="22"/>
          <w:szCs w:val="22"/>
        </w:rPr>
        <w:t xml:space="preserve">: Dysthymia is chronic subthreshold low mood (≥2 years); cyclothymia subthreshold lows/highs (≥2 years); depression superimposed on dysthymia is double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Endogenous vs reactive depression</w:t>
      </w:r>
      <w:r>
        <w:rPr>
          <w:rFonts w:ascii="Calibri" w:hAnsi="Calibri" w:cs="Calibri" w:eastAsia="PingFang SC"/>
          <w:color w:val="3D3A33"/>
          <w:sz w:val="22"/>
          <w:szCs w:val="22"/>
        </w:rPr>
        <w:t xml:space="preserve">: Endogenous is spontaneous without external stress, biologically prominent, severer, possibly psychotic, potentially more TCA-responsive than SSRI and more likely to need antipsychotics/ECT. Reactive follows clear stress such as bereavement, milder with irritability/anxiety/guilt, overlaps adjustment disorder, more spontaneous remission. Neither retained in ICD-10/DSM-5.</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Discontinuation vs serotonin syndrome</w:t>
      </w:r>
      <w:r>
        <w:rPr>
          <w:rFonts w:ascii="Calibri" w:hAnsi="Calibri" w:cs="Calibri" w:eastAsia="PingFang SC"/>
          <w:color w:val="3D3A33"/>
          <w:sz w:val="22"/>
          <w:szCs w:val="22"/>
        </w:rPr>
        <w:t xml:space="preserve">: The former follows antidepressant reduction/cessation, worse with short half-life (venlafaxine/paroxetine common, fluoxetine less), causing insomnia/nausea/anxiety/dizziness. The latter follows SSRI + other 5-HT-increasing drugs, can resemble NMS, treated with supportive care + benzodiazepines + cyproheptadine.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Lithium fine vs toxic coarse tremor</w:t>
      </w:r>
      <w:r>
        <w:rPr>
          <w:rFonts w:ascii="Calibri" w:hAnsi="Calibri" w:cs="Calibri" w:eastAsia="PingFang SC"/>
          <w:color w:val="3D3A33"/>
          <w:sz w:val="22"/>
          <w:szCs w:val="22"/>
        </w:rPr>
        <w:t xml:space="preserve">: Therapeutic fine tremor may respond to beta-blockers; coarse tremor with diarrhoea, vomiting, ataxia, dysarthria, confusion or seizures suggests toxicity (often &gt;1.5 mmol/L).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Interaction direction for carbamazepine and lamotrigine</w:t>
      </w:r>
      <w:r>
        <w:rPr>
          <w:rFonts w:ascii="Calibri" w:hAnsi="Calibri" w:cs="Calibri" w:eastAsia="PingFang SC"/>
          <w:color w:val="3D3A33"/>
          <w:sz w:val="22"/>
          <w:szCs w:val="22"/>
        </w:rPr>
        <w:t xml:space="preserve">: Enzyme-inducing carbamazepine may require </w:t>
      </w:r>
      <w:r>
        <w:rPr>
          <w:rFonts w:ascii="Calibri" w:hAnsi="Calibri" w:cs="Calibri" w:eastAsia="PingFang SC"/>
          <w:b/>
          <w:color w:val="3D3A33"/>
          <w:sz w:val="22"/>
          <w:szCs w:val="22"/>
        </w:rPr>
        <w:t xml:space="preserve">doubling</w:t>
      </w:r>
      <w:r>
        <w:rPr>
          <w:rFonts w:ascii="Calibri" w:hAnsi="Calibri" w:cs="Calibri" w:eastAsia="PingFang SC"/>
          <w:color w:val="3D3A33"/>
          <w:sz w:val="22"/>
          <w:szCs w:val="22"/>
        </w:rPr>
        <w:t xml:space="preserve"> lamotrigine; enzyme-inhibiting valproate requires </w:t>
      </w:r>
      <w:r>
        <w:rPr>
          <w:rFonts w:ascii="Calibri" w:hAnsi="Calibri" w:cs="Calibri" w:eastAsia="PingFang SC"/>
          <w:b/>
          <w:color w:val="3D3A33"/>
          <w:sz w:val="22"/>
          <w:szCs w:val="22"/>
        </w:rPr>
        <w:t xml:space="preserve">halving or alternate-day</w:t>
      </w:r>
      <w:r>
        <w:rPr>
          <w:rFonts w:ascii="Calibri" w:hAnsi="Calibri" w:cs="Calibri" w:eastAsia="PingFang SC"/>
          <w:color w:val="3D3A33"/>
          <w:sz w:val="22"/>
          <w:szCs w:val="22"/>
        </w:rPr>
        <w:t xml:space="preserve"> dosing. Watch for Stevens–Johnson syndrome with both.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Combination vs augmentation</w:t>
      </w:r>
      <w:r>
        <w:rPr>
          <w:rFonts w:ascii="Calibri" w:hAnsi="Calibri" w:cs="Calibri" w:eastAsia="PingFang SC"/>
          <w:color w:val="3D3A33"/>
          <w:sz w:val="22"/>
          <w:szCs w:val="22"/>
        </w:rPr>
        <w:t xml:space="preserve">: Combination: two antidepressants (venlafaxine + mirtazapine) or antidepressant + CBT; augmentation adds a non-antidepressant (lithium, T3, atypical).</w:t>
      </w:r>
    </w:p>
    <w:p>
      <w:pPr>
        <w:spacing w:before="240" w:after="80" w:line="312" w:lineRule="auto"/>
      </w:pPr>
      <w:r>
        <w:rPr>
          <w:rFonts w:ascii="Calibri" w:hAnsi="Calibri" w:cs="Calibri" w:eastAsia="PingFang SC"/>
          <w:b/>
          <w:color w:val="9E3D34"/>
          <w:sz w:val="26"/>
          <w:szCs w:val="26"/>
        </w:rPr>
        <w:t xml:space="preserve">Clinical Application / Memory Anchors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Duration mnemonic “2 weeks – 1 week – 4 days – 2 years – 2 years”</w:t>
      </w:r>
      <w:r>
        <w:rPr>
          <w:rFonts w:ascii="Calibri" w:hAnsi="Calibri" w:cs="Calibri" w:eastAsia="PingFang SC"/>
          <w:color w:val="3D3A33"/>
          <w:sz w:val="22"/>
          <w:szCs w:val="22"/>
        </w:rPr>
        <w:t xml:space="preserve">: Depression, mania, hypomania, dysthymia, cyclothymia respectively, presented as matching ICD-10/DSM-5. Severe admission permits shorter depression/mania durations.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 antidepressant numbers</w:t>
      </w:r>
      <w:r>
        <w:rPr>
          <w:rFonts w:ascii="Calibri" w:hAnsi="Calibri" w:cs="Calibri" w:eastAsia="PingFang SC"/>
          <w:color w:val="3D3A33"/>
          <w:sz w:val="22"/>
          <w:szCs w:val="22"/>
        </w:rPr>
        <w:t xml:space="preserve">: At least 2–3 weeks to onset, another 2–3 to peak; resistance means two different classes at adequate dose/duration (4–6 weeks), after checking adherence, alcohol/drugs, interactions, physical illness and psychosocial stress.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Lithium monitoring rhythm</w:t>
      </w:r>
      <w:r>
        <w:rPr>
          <w:rFonts w:ascii="Calibri" w:hAnsi="Calibri" w:cs="Calibri" w:eastAsia="PingFang SC"/>
          <w:color w:val="3D3A33"/>
          <w:sz w:val="22"/>
          <w:szCs w:val="22"/>
        </w:rPr>
        <w:t xml:space="preserve">: Target 0.6–1.0 mmol/L, beware toxicity &gt;1.5; stable levels every 3–6 months, thyroid/renal function every 6–12. Taper over weeks against rebound mania; clozapine is the other psychotropic with anti-suicide effects.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Lamotrigine “25 → every 2 weeks → 200”</w:t>
      </w:r>
      <w:r>
        <w:rPr>
          <w:rFonts w:ascii="Calibri" w:hAnsi="Calibri" w:cs="Calibri" w:eastAsia="PingFang SC"/>
          <w:color w:val="3D3A33"/>
          <w:sz w:val="22"/>
          <w:szCs w:val="22"/>
        </w:rPr>
        <w:t xml:space="preserve">: Lecture regimen starts 25 mg daily for two weeks, increases fortnightly to 200 mg/day maximum; halve/alternate with valproate, double with carbamazepine.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Pregnancy risk associations</w:t>
      </w:r>
      <w:r>
        <w:rPr>
          <w:rFonts w:ascii="Calibri" w:hAnsi="Calibri" w:cs="Calibri" w:eastAsia="PingFang SC"/>
          <w:color w:val="3D3A33"/>
          <w:sz w:val="22"/>
          <w:szCs w:val="22"/>
        </w:rPr>
        <w:t xml:space="preserve">: Valproate/carbamazepine (transcript "valproate and carpine") → neural-tube defects/spina bifida; lithium → Ebstein's anomaly; lamotrigine ("loten") → cleft palate. Lecture recommends folate 5 mg/day with valproate/carbamazepine; valproate most teratogenic.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Maintenance by dominant polarity</w:t>
      </w:r>
      <w:r>
        <w:rPr>
          <w:rFonts w:ascii="Calibri" w:hAnsi="Calibri" w:cs="Calibri" w:eastAsia="PingFang SC"/>
          <w:color w:val="3D3A33"/>
          <w:sz w:val="22"/>
          <w:szCs w:val="22"/>
        </w:rPr>
        <w:t xml:space="preserve">: Mania → first-line atypical/stabiliser, second-line carbamazepine; depression → first-line quetiapine/lamotrigine, second-line lithium; resistant mania → ECT; bipolar depression → quetiapine/lamotrigine, beware switch with antidepressants.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Rapid-cycling sequence</w:t>
      </w:r>
      <w:r>
        <w:rPr>
          <w:rFonts w:ascii="Calibri" w:hAnsi="Calibri" w:cs="Calibri" w:eastAsia="PingFang SC"/>
          <w:color w:val="3D3A33"/>
          <w:sz w:val="22"/>
          <w:szCs w:val="22"/>
        </w:rPr>
        <w:t xml:space="preserve">: Withdraw antidepressants → lithium + valproate → add atypical (quetiapine preferred; olanzapine/risperidone/aripiprazole alternatives) → lamotrigine → thyroxine → consider clozapine.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Frequent examination points</w:t>
      </w:r>
      <w:r>
        <w:rPr>
          <w:rFonts w:ascii="Calibri" w:hAnsi="Calibri" w:cs="Calibri" w:eastAsia="PingFang SC"/>
          <w:color w:val="3D3A33"/>
          <w:sz w:val="22"/>
          <w:szCs w:val="22"/>
        </w:rPr>
        <w:t xml:space="preserve">: Suicide deaths (unipolar 5–10%, bipolar 10–15%); BDI self-rated, HAMD/YMRS observer-rated (YMRS 11 items, four 0–8 double-weighted); PANSS schizophrenia; 40% bipolar initially misdiagnosed unipolar; cyproheptadine for serotonin syndrome.</w:t>
      </w:r>
    </w:p>
    <w:p>
      <w:pPr>
        <w:spacing w:before="0" w:after="160" w:line="312" w:lineRule="auto"/>
      </w:pPr>
      <w:r>
        <w:rPr>
          <w:rFonts w:ascii="Calibri" w:hAnsi="Calibri" w:cs="Calibri" w:eastAsia="PingFang SC"/>
          <w:color w:val="3D3A33"/>
          <w:sz w:val="22"/>
          <w:szCs w:val="22"/>
        </w:rPr>
        <w:t xml:space="preserve">&lt;!-- END OF NOTE --&gt;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