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03-Schizophrenia</w:t>
      </w:r>
    </w:p>
    <w:p>
      <w:pPr>
        <w:spacing w:before="240" w:after="80" w:line="312" w:lineRule="auto"/>
      </w:pPr>
      <w:r>
        <w:rPr>
          <w:rFonts w:ascii="Calibri" w:hAnsi="Calibri" w:cs="Calibri" w:eastAsia="PingFang SC"/>
          <w:b/>
          <w:color w:val="33302A"/>
          <w:sz w:val="32"/>
          <w:szCs w:val="32"/>
        </w:rPr>
        <w:t xml:space="preserve">Schizophrenia</w:t>
      </w:r>
    </w:p>
    <w:p>
      <w:pPr>
        <w:pBdr>
          <w:left w:val="single" w:sz="18" w:space="8" w:color="C96442"/>
        </w:pBdr>
        <w:spacing w:before="0" w:after="160" w:line="312" w:lineRule="auto"/>
        <w:ind w:left="360"/>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A chronic severe mental disorder centred on psychotic symptoms such as hallucinations, delusions and thought disorder, with lifetime prevalence about 1% and peak male onset at 15–24; diagnosis uses ICD-10 subtypes or DSM-5 symptom criteria plus six months' duration, treatment centres firmly on antipsychotics (ECT for catatonia, clozapine for resistance), prognosis follows a “rule of quarters,” and cardiovascular disease rather than suicide is the leading contributor to mortality.</w:t>
      </w:r>
    </w:p>
    <w:p>
      <w:pPr>
        <w:spacing w:before="240" w:after="80" w:line="312" w:lineRule="auto"/>
      </w:pPr>
      <w:r>
        <w:rPr>
          <w:rFonts w:ascii="Calibri" w:hAnsi="Calibri" w:cs="Calibri" w:eastAsia="PingFang SC"/>
          <w:b/>
          <w:color w:val="9E3D34"/>
          <w:sz w:val="26"/>
          <w:szCs w:val="26"/>
        </w:rPr>
        <w:t xml:space="preserve">Key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Schizophrenia derives from Greek for “split mind,” referring to divided mental functions, not dissociative identity disorder, popularly called multiple personality. Swiss psychiatrist Eugen Bleuler coined it in 1908; Kraepelin previously called the illness dementia praecox.</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Psychosis means experiences/beliefs without a basis in reality. Its principal phenomena are hallucinations (sensory perceptions without corresponding stimuli, most commonly auditory in psychosis) and delusions (false fixed beliefs held absolutely, not shared by family/cultural group). Schizophrenic delusions are mainly persecutory, sometimes grandiose.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Schneider's eleven first-rank symptoms are no longer considered diagnostic because they occur in other psychotic disorders, but strongly suggest schizophrenia when present.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ICD-10 divides schizophrenia into paranoid, hebephrenic, catatonic and simple subtypes, with respective minimum durations of one month, one month, two weeks and one year. DSM-5 removes subtypes, renames the category “schizophrenia spectrum and other psychotic disorders,” and requires at least two of five symptoms, one from the first three, and at least six months' duration.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Lifetime prevalence is about 1%, annual incidence about 2/1000, male:female ratio about 1.4:1. Male onset peaks at 15–24; women begin about 5–10 years later and have a second peak.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 single causal gene exists; inheritance is probably polygenic, many genes each contributing small effects, shared with depression, bipolar disorder and autism. Genetic risk is neither necessary nor sufficient: population risk 1%, identical twins 50%, first-degree relatives 10%.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22q11.2 deletion syndrome (DiGeorge/velocardiofacial syndrome) is the only established genetic subtype, accounting for only 1% of cases.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Antipsychotics are the treatment mainstay: “start low, go slow,” adequate doses for at least 4–6 weeks. Onset generally takes 2–3 weeks, peak another 2–3. Continue at least one year after remission; maintenance by episode count is one/two/five years.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Clozapine is preferred for treatment resistance (at least two adequate antipsychotic trials unsuccessful, affecting about 20–30%). About 1% develop agranulocytosis, requiring regular white-cell/neutrophil monitoring; it also has anti-suicide effects. The lecture gives catatonic schizophrenia as the sole ECT indication in schizophrenia.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old “rule of thirds” becomes a “rule of quarters”: 25% fully recover without long-term treatment, 25% improve substantially and live independently, 25% improve somewhat but need substantial support, 25% do not improve. Positive symptoms dominate early disability, negative symptoms chronic disability. Life expectancy is markedly reduced versus age-matched controls; suicide accounts for about 10%, while cardiovascular causes contribute most to excess mortality. Patients are more often victims than perpetrators of violence.</w:t>
      </w:r>
    </w:p>
    <w:p>
      <w:pPr>
        <w:spacing w:before="240" w:after="80" w:line="312" w:lineRule="auto"/>
      </w:pPr>
      <w:r>
        <w:rPr>
          <w:rFonts w:ascii="Calibri" w:hAnsi="Calibri" w:cs="Calibri" w:eastAsia="PingFang SC"/>
          <w:b/>
          <w:color w:val="9E3D34"/>
          <w:sz w:val="26"/>
          <w:szCs w:val="26"/>
        </w:rPr>
        <w:t xml:space="preserve">Detailed Notes</w:t>
      </w:r>
    </w:p>
    <w:p>
      <w:pPr>
        <w:spacing w:before="240" w:after="80" w:line="312" w:lineRule="auto"/>
      </w:pPr>
      <w:r>
        <w:rPr>
          <w:rFonts w:ascii="Calibri" w:hAnsi="Calibri" w:cs="Calibri" w:eastAsia="PingFang SC"/>
          <w:b/>
          <w:color w:val="175244"/>
          <w:sz w:val="22"/>
          <w:szCs w:val="22"/>
        </w:rPr>
        <w:t xml:space="preserve">Opening and Lecturer's Background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consultant psychiatrist in Chennai, southern India, previously working many years in the UK; British training informs terminology and service approaches such as crisis intervention, home treatment and early intervention teams.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Coverage: clinical features, ICD-10/DSM-5 classification, at-risk mental states, epidemiology, aetiology, assessment/management, prognosis, then five multiple-choice questions.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52 minutes, a comprehensive single-disease overview. Slide lists such as eleven first-rank symptoms and antipsychotic side effects are not read item by item, leaving transcript gaps.</w:t>
      </w:r>
    </w:p>
    <w:p>
      <w:pPr>
        <w:spacing w:before="240" w:after="80" w:line="312" w:lineRule="auto"/>
      </w:pPr>
      <w:r>
        <w:rPr>
          <w:rFonts w:ascii="Calibri" w:hAnsi="Calibri" w:cs="Calibri" w:eastAsia="PingFang SC"/>
          <w:b/>
          <w:color w:val="175244"/>
          <w:sz w:val="22"/>
          <w:szCs w:val="22"/>
        </w:rPr>
        <w:t xml:space="preserve">Name and Historical Development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Greek roots mean “split mind,” referring to splitting of mental functions, entirely different from popular “split personality,” which is dissociative identity disorder (formerly multiple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Coined by Swiss psychiatrist Eugen Bleuler in 1908 (transcribed "Eugene Boiler," restored from psychiatric history).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Previously dementia praecox, popularised by Kraepelin ("ML Kreplin," meaning Emil Kraepelin), reflecting the view of early onset ending in deterioration.</w:t>
      </w:r>
    </w:p>
    <w:p>
      <w:pPr>
        <w:spacing w:before="240" w:after="80" w:line="312" w:lineRule="auto"/>
      </w:pPr>
      <w:r>
        <w:rPr>
          <w:rFonts w:ascii="Calibri" w:hAnsi="Calibri" w:cs="Calibri" w:eastAsia="PingFang SC"/>
          <w:b/>
          <w:color w:val="175244"/>
          <w:sz w:val="22"/>
          <w:szCs w:val="22"/>
        </w:rPr>
        <w:t xml:space="preserve">Clinical Features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Schizophrenia is a psychotic disorder. Psychosis means experiences and/or beliefs lacking a basis in reality, principally hallucinations and delusions.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Hallucination: sensory perception without corresponding stimulus, possible in all five modalities; auditory is commonest in psychosis (transcribed "audiary").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Typically voices outside the head, third-person discussing the patient or second-person directly addressing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Delusion: false fixed belief held with absolute conviction despite contrary evidence, not shared by family/cultural group—the last qualification distinguishes cultural/religious beliefs.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Usually persecutory themes, e.g. “my neighbour is trying to poison me” or “cameras monitor my every move wherever I go”; sometimes grandiose.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Eleven first-rank symptoms were enumerated by German psychiatrist Kurt Schneider, formerly considered diagnostic; no longer so because other psychoses show them, but they still strongly suggest schizophrenia.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They include both hallucinations and delusions (listed on slides, not individually read; the lecturer refers viewers to Descriptive Psychopathology).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Positive symptoms—hallucinations, delusions, thought disorder—occur acutely and respond relatively well to antipsychotics.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Negative symptoms—poor motivation, reduced speech, poor self-care—occur chronically and generally respond poorly.</w:t>
      </w:r>
    </w:p>
    <w:p>
      <w:pPr>
        <w:spacing w:before="240" w:after="80" w:line="312" w:lineRule="auto"/>
      </w:pPr>
      <w:r>
        <w:rPr>
          <w:rFonts w:ascii="Calibri" w:hAnsi="Calibri" w:cs="Calibri" w:eastAsia="PingFang SC"/>
          <w:b/>
          <w:color w:val="175244"/>
          <w:sz w:val="22"/>
          <w:szCs w:val="22"/>
        </w:rPr>
        <w:t xml:space="preserve">ICD-10 and DSM-5 Classification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ICD-10 subtypes: paranoid, hebephrenic ("hepophrenic"), catatonic and simple.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Paranoid is commonest clinically, with prominent delusions, hallucinations and thought disorder. Themes include persecution, reference, jealousy and grandeur; voices comment/discuss, threaten or command; somatic bodily-sensation or movement hallucinations also occur. Thought disorder produces incoherent, irrelevant speech or neologisms.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Hebephrenic features inappropriate/incongruous affect, incoherent fragmented rambling speech and aimless rather than goal-directed behaviour. Delusions/hallucinations are absent or inconspicuous—the most practical distinction from paranoid illness.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Catatonic stupor is most dramatic: mute and motionless. Other signs include posturing, waxy flexibility, negativism, automatic obedience and catatonic excitement. A photograph illustrates posturing; another lecture covers catatonia in detail.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Simple schizophrenia is predominantly negative: withdrawal, lost motivation, aimlessness, apathy, poverty of speech, marked social decline and absent positive symptoms.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Lecture ICD-10 minimum durations: paranoid/hebephrenic one month, catatonic two weeks, simple one year. The last avoids mistaking personality change or declining function for illness.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DSM-5 renames the category “schizophrenia spectrum and other psychotic disorders,” versus DSM-4's “schizophrenia and other psychotic disorders,” reflecting spectrum thinking.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DSM-5 removes subtypes and uses symptom counts: two of five specified symptoms, at least one from the first three, with at least six months' duration. The five are listed but not read aloud, so the transcript lacks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Symptoms lasting only 1–6 months belong to another category. Subtitles are missing except "schizophren..."; DSM-5 identifies this as schizophreniform disorder—explicitly a classification-based completion, not transcript wording.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Another category raising future psychosis risk is mentioned as still being revised with research. Fragmentary subtitles prevent confirming its exact name; only its risk-increasing nature is clear.</w:t>
      </w:r>
    </w:p>
    <w:p>
      <w:pPr>
        <w:spacing w:before="240" w:after="80" w:line="312" w:lineRule="auto"/>
      </w:pPr>
      <w:r>
        <w:rPr>
          <w:rFonts w:ascii="Calibri" w:hAnsi="Calibri" w:cs="Calibri" w:eastAsia="PingFang SC"/>
          <w:b/>
          <w:color w:val="175244"/>
          <w:sz w:val="22"/>
          <w:szCs w:val="22"/>
        </w:rPr>
        <w:t xml:space="preserve">At-Risk Mental State (ARMS)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ARMS means at-risk mental state; related terms include ultra high-risk, subthreshold psychosis, attenuated psychosis and prodrome.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ARMS and prodrome overlap but are distinct.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ARMS is prospective: identify the state, follow individuals and observe development; only about one in three develops psychosis.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psychosis develops, the previous ARMS period retrospectively forms part of the prodrome—the connection between concepts.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Prodrome is retrospective: after clear psychosis presents, look back for subtle changes preceding overt psychotic symptoms.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 all psychotic patients have a prodrome; its absence cannot exclude diagnosis.</w:t>
      </w:r>
    </w:p>
    <w:p>
      <w:pPr>
        <w:spacing w:before="240" w:after="80" w:line="312" w:lineRule="auto"/>
      </w:pPr>
      <w:r>
        <w:rPr>
          <w:rFonts w:ascii="Calibri" w:hAnsi="Calibri" w:cs="Calibri" w:eastAsia="PingFang SC"/>
          <w:b/>
          <w:color w:val="175244"/>
          <w:sz w:val="22"/>
          <w:szCs w:val="22"/>
        </w:rPr>
        <w:t xml:space="preserve">Epidemiology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Lifetime prevalence about 1%, annual incidence about 2/1000.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Incidence varies between countries, within countries and even within cities.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Male lifetime risk about 40% higher, ratio 1.4:1.</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Male onset peaks 15–24, women about 5–10 years later with a second peak (usually associated with perimenopause; the lecture states only that a second peak exists).</w:t>
      </w:r>
    </w:p>
    <w:p>
      <w:pPr>
        <w:spacing w:before="240" w:after="80" w:line="312" w:lineRule="auto"/>
      </w:pPr>
      <w:r>
        <w:rPr>
          <w:rFonts w:ascii="Calibri" w:hAnsi="Calibri" w:cs="Calibri" w:eastAsia="PingFang SC"/>
          <w:b/>
          <w:color w:val="175244"/>
          <w:sz w:val="22"/>
          <w:szCs w:val="22"/>
        </w:rPr>
        <w:t xml:space="preserve">Aetiology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Exact cause unknown; consensus favours interacting genetic/other biological, psychological and social factors.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Biological factors probably outweigh psychological ones, a key aetiological contrast with neurotic disorders.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genetic component is established by family through genome-wide association studies, but no single causal gene found.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Likely polygenic: many small-effect genes, shared with depression, bipolar disorder and developmental disorders such as autism.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Genetic risk is neither necessary nor sufficient: illness can occur without known family history/risk genes; an identical co-twin sharing all genes may remain unaffected.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Key risks: population 1%; monozygotic twin 50%; first-degree relatives 10%, tenfold population risk. More affected relatives means higher risk.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Advanced paternal age associates with risk, perhaps via de novo mutations ("DNO mutations").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22q11.2 deletion syndrome, also DiGeorge/velocardiofacial syndrome ("VOC cardioacial"), is the only established genetic subtype, only 1% of cases.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Neurodevelopmental model: abnormal brain development years earlier, perhaps particularly apt for childhood-onset illness. Evidence includes macrostructural, microscopic and connectivity abnormalities.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much is causal versus consequences of illness/antipsychotic treatment remains debated.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Obstetric complications during delivery and maternal pregnancy infections are commoner in patients' histories.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Even at first diagnosis intracranial volume is reduced versus healthy controls, suggesting a process beginning years earlier; both white and grey matter decrease.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With chronicity, white-matter loss stabilises but grey-matter loss progresses.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Increased dopamine synthesis is detectable during the prodrome.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NMDA receptor hypofunction ("hyperunction," context indicates hypofunction) seems earlier than dopamine abnormalities; “at least several years earlier” comes from the slide, with no years read explicitly.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Low-grade inflammation with gliosis ("gyosis") is seen.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Chronic illness shows reduced total brain volume and enlarged ventricles.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None are specific changes in every patient; these are group comparisons with controls—important when explaining investigations to families.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Childhood adversity is increasingly viewed as an important potential psychosocial risk.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Migration is a risk, especially becoming a lower-socioeconomic ethnic minority in an affluent 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Urban birth and major stressful life events also confer risk.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Dopamine-enhancing substances can cause schizophrenia-like psychotic symptoms, usually resolving after cessation.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Illicit drug use is commoner in schizophrenia; although drugs cause psychotic symptoms, they are unlikely truly to “cause” schizophrenia, but may bring onset forward in vulnerable individuals.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Illicit drugs interfere with antipsychotic efficacy and increase relapse frequency.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use is self-medication—illness causing drug use rather than vice versa; consider this causal direction.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Epigenetics means environmentally induced gene “switching on/off,” changing expression without changing DNA sequence.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Possible changes include methylation affecting GABA/BDNF genes and histone acetylation. These gene names are from the slide; the transcript's sentence begins incompletely with "…in genes in response to environmental".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Animal studies suggest epigenetic changes can even pass to offspring.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Psychoanalyst Frieda Fromm-Reichmann ("Freda from Reichman") proposed the “schizophrenogenic mother”: controlling, overprotective yet rejecting and insensitive treatment of children might cause schizophrenia.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Gregory Bateson ("Gregory Batesson") proposed the related double-bind hypothesis; mainstream psychiatry no longer accepts either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co-resident mother/close carer can nevertheless cause psychological harm through high expressed emotion. It does not cause schizophrenia but predisposes to relapse, revisited under prognosis.</w:t>
      </w:r>
    </w:p>
    <w:p>
      <w:pPr>
        <w:spacing w:before="240" w:after="80" w:line="312" w:lineRule="auto"/>
      </w:pPr>
      <w:r>
        <w:rPr>
          <w:rFonts w:ascii="Calibri" w:hAnsi="Calibri" w:cs="Calibri" w:eastAsia="PingFang SC"/>
          <w:b/>
          <w:color w:val="175244"/>
          <w:sz w:val="22"/>
          <w:szCs w:val="22"/>
        </w:rPr>
        <w:t xml:space="preserve">Assessment and Management I: Assessment, Investigations and Risk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 conduct thorough psychiatric examination and comprehensive medical history.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Without specific indications, functional psychotic illness such as paranoid schizophrenia can be diagnosed confidently without unnecessary investigations.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Supporting conditions: persistent, consistent psychotic symptoms for at least one month, especially after insomnia, irritability, suspiciousness and withdrawal as prodromal symptoms.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Exclude illicit drugs, psychosis-inducing medication such as steroids and evidence of organic brain disease.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 CT/MRI, EEG, psychometric/neuropsychological testing or structured personality questionnaires unless specifically indicated.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Before treatment, routine blood tests, baseline ECG and urine drug screening if needed.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Bloods/ECG matter because some atypicals increase glucose/lipids and prolong QTc; repeat at least every one to two years.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Risk assessment is mandatory. Acute schizophrenia, especially early illness, raises suicide risk.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Only a small minority poses risk to others, usually young men.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Concerning symptoms include commands to harm self/others and delusions of external control.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Violence risks: past violence, comorbid alcohol/substance misuse, medication non-adherence, antisocial traits and poor insight.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Patients are likelier violence victims than perpetrators; even when violent, targets are likelier acquaintances than strangers.</w:t>
      </w:r>
    </w:p>
    <w:p>
      <w:pPr>
        <w:spacing w:before="240" w:after="80" w:line="312" w:lineRule="auto"/>
      </w:pPr>
      <w:r>
        <w:rPr>
          <w:rFonts w:ascii="Calibri" w:hAnsi="Calibri" w:cs="Calibri" w:eastAsia="PingFang SC"/>
          <w:b/>
          <w:color w:val="175244"/>
          <w:sz w:val="22"/>
          <w:szCs w:val="22"/>
        </w:rPr>
        <w:t xml:space="preserve">Assessment and Management II: Principles, Antipsychotics and Clozapine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Antipsychotics, also called neuroleptics, are the main treatment.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Where available, add CBT for treatment-resistant psychotic symptoms.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Acute illness may require admission, sometimes involuntary, based on severity, poor insight, potential risk and no reliable home carer.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Severe chronic illness requires long-term psychosocial rehabilitation.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dopamine hypothesis underlies antipsychotics: excess brain dopamine activity causes schizophrenia, so reducing it treats illness.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They block postsynaptic dopamine receptors, preventing dopamine 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Despite many shortcomings of the hypothesis, all licensed schizophrenia drugs are considered effective through normalising dopamine activity.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Older/first-generation/typical drugs include chlorpromazine ("chloroprozine") and haloperidol; newer/second-generation drugs are atypicals.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They may also be classified by route/duration, e.g. long-acting injections versus oral preparations.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Typical/atypical efficacy is broadly similar despite some contrary studies; adverse effects mainly distinguish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Extrapyramidal effects are much commoner with older non-selective dopamine antagonists and strongly contribute to non-adherence.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Metabolic effects are commoner with some newer drugs, such as clozapine.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Individualise choice. General lecture rule: start new patients on atypicals; do not switch a successful, well-tolerated older drug used for years unnecessarily.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Clozapine is superior for treatment-resistant schizophrenia.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Resistance means failure of at least two different adequate-dose, adequate-duration antipsychotics, affecting about 20–30%.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Clozapine causes agranulocytosis in about 1% (transcribed "granuloccytosis"), so is not first-line.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Regular white-cell/neutrophil monitoring follows local/national guidelines.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Its anti-suicide effect is an important distinguishing clinical benefit.</w:t>
      </w:r>
    </w:p>
    <w:p>
      <w:pPr>
        <w:spacing w:before="240" w:after="80" w:line="312" w:lineRule="auto"/>
      </w:pPr>
      <w:r>
        <w:rPr>
          <w:rFonts w:ascii="Calibri" w:hAnsi="Calibri" w:cs="Calibri" w:eastAsia="PingFang SC"/>
          <w:b/>
          <w:color w:val="175244"/>
          <w:sz w:val="22"/>
          <w:szCs w:val="22"/>
        </w:rPr>
        <w:t xml:space="preserve">Assessment and Management III: Prescribing, Duration and Maintenance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“Start low and go slow”: begin low and gradually increase if needed.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lecturer's experience is that many respond well below manufacturer-recommended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Review mental state, monitor side effects and avoid antipsychotic polypharmacy—more than one concurrently.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Antipsychotic effects take at least 2–3 weeks to begin, another 2–3 to peak.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Continue months after recovery if improving; switch if not improving.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Repeated relapse whenever medication stops suggests long-term maintenance; if non-adherence drives relapse, consider depot injections monthly, fortnightly, etc.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Initially choose outpatient versus inpatient care by severity and risk.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Start one atypical selected by side effects, preferences, medical history and previous response.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not the first episode, start low and adjust to effects/adverse effects.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an adequate dose for at least 4–6 weeks for optimum effect.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the first days add benzodiazepines for agitation/restlessness or hypnotics for insomnia if needed, not as routine long-term prescriptions.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Continue antipsychotics at least one year after remission.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After failure of an adequate first drug, switch atypicals while assessing adherence, alcohol/drug misuse, interactions and psychosocial stressors as possible causes of “failure.”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a second fails, consider clozapine.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some countries crisis intervention/home treatment teams substitute for admission; early intervention teams manage the first years.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Maintenance has three aims: sustained symptom control, reduced relapse and improved quality of life/function.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Duration depends on episode number, severity and functional impact.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Rule of thumb after remission: first episode at least one year, second two years, third/subsequent five years; some require lifelong treatment.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stable for the required period and doctor/patient decide to stop, taper to prevent rebound relapse.</w:t>
      </w:r>
    </w:p>
    <w:p>
      <w:pPr>
        <w:spacing w:before="240" w:after="80" w:line="312" w:lineRule="auto"/>
      </w:pPr>
      <w:r>
        <w:rPr>
          <w:rFonts w:ascii="Calibri" w:hAnsi="Calibri" w:cs="Calibri" w:eastAsia="PingFang SC"/>
          <w:b/>
          <w:color w:val="175244"/>
          <w:sz w:val="22"/>
          <w:szCs w:val="22"/>
        </w:rPr>
        <w:t xml:space="preserve">Assessment and Management IV: Side Effects, EPS and NMS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Main atypicals: risperidone ("respiranzipine"), quetiapine ("quitapene"), aripiprazole ("ariprazole") and olanzapine ("toapine").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Except aripiprazole, atypicals are D2 antagonists; all also antagonise 5HT2A.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Aripiprazole partially agonises D2 and 5HT1A, its mechanistic distinction.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Clozapine has greater D4 affinity than D1/D2/D3/D5.</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complete adverse-effect slide is shown; not every drug causes every listed effect (pause to record).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NMS can occur with any antipsychotic, commoner with older high-potency agents ("hypotensy").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EPS results from nigrostriatal dopamine blockade ("nigro triatital"), commoner with older typicals.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Acute EPS includes dystonia and akathisia, described in the lecture as responding well to anticholinergics such as procyclidine.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Chronic EPS includes parkinsonism and tardive dyskinesia.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 noted, non-selective older drugs such as haloperidol produce far more EPS than more selective newer drugs.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Tardive dyskinesia features involuntary orofacial movements, with choreiform movements in severe cases.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Risks: age, pre-existing organic brain disease, female sex, high-potency drugs and long treatment duration.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Mechanism thought to be dopamine-receptor supersensitivity.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Anticholinergics worsen tardive dyskinesia and should be avoided in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NMS is an idiosyncratic antipsychotic reaction: hyperthermia, rigidity, autonomic instability and clouding of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Bloods show raised creatine phosphokinase and neutrophilic leucocytosis.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Best managed in a general medical ward or ICU.</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Catatonic patients have high NMS risk with antipsychotics; hence these are avoided during catatonia, even with underlying schizophrenia, until that phase passes.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Principal concern is renal failure from rhabdomyolysis and myoglobinuria.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Options include supportive care, benzodiazepines, dantrolene, bromocriptine and ECT in severe cases.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Newer atypicals: paliperidone, iloperidone, asenapine and lurasidone.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Like most earlier atypicals, these antagonise D2 and 5HT2A.</w:t>
      </w:r>
    </w:p>
    <w:p>
      <w:pPr>
        <w:spacing w:before="240" w:after="80" w:line="312" w:lineRule="auto"/>
      </w:pPr>
      <w:r>
        <w:rPr>
          <w:rFonts w:ascii="Calibri" w:hAnsi="Calibri" w:cs="Calibri" w:eastAsia="PingFang SC"/>
          <w:b/>
          <w:color w:val="175244"/>
          <w:sz w:val="22"/>
          <w:szCs w:val="22"/>
        </w:rPr>
        <w:t xml:space="preserve">Assessment and Management V: Non-Drug Treatments, ECT and Recovery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Adjuncts to antipsychotics: psychoeducation, CBT, family therapy/intervention, art therapy, adherence therapy, cognitive remediation and social skills training.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gives catatonic schizophrenia as the only ECT indication in schizophrenia.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ECT augmentation of clozapine for resistance may become an indication, with promising results, but larger, longer trials are needed before confident recommendation.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recovery model has gained recognition over the past decade or more.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centres the patient, unlike traditional clinician-centred care where patients passively receive treatment.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Recovery is a journey rather than a particular outcome.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includes social recovery, not merely symptom recovery.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Core concepts include hope, empowerment and meaning.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Interestingly, patients in low/middle-income countries seem to recover better than those in affluent countries despite no formal recovery-service model.</w:t>
      </w:r>
    </w:p>
    <w:p>
      <w:pPr>
        <w:spacing w:before="240" w:after="80" w:line="312" w:lineRule="auto"/>
      </w:pPr>
      <w:r>
        <w:rPr>
          <w:rFonts w:ascii="Calibri" w:hAnsi="Calibri" w:cs="Calibri" w:eastAsia="PingFang SC"/>
          <w:b/>
          <w:color w:val="175244"/>
          <w:sz w:val="22"/>
          <w:szCs w:val="22"/>
        </w:rPr>
        <w:t xml:space="preserve">Prognosis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Good factors: female sex, acute onset, clear precipitating event, prominent affective symptoms, early treatment, good response, good premorbid occupational adjustment and stable family circumstances.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Poor factors: early onset, insidious onset, long untreated psychosis, prominent negative symptoms, premorbid personality difficulties, comorbid alcohol/drug misuse and high expressed emotion.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High expressed emotion means emotional overinvolvement, hostility and critical comments.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Living in such a family increases relapse (specific examples on the slide).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Family therapy and day hospitals, allowing daytime away from home, may help.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Old “rule of thirds”: one-third fully recover, one-third improve over time, one-third do not improve.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Refined “rule of quarters”: 25% fully recover without long-term treatment; 25% improve well and live independently; 25% improve somewhat but need substantial additional support; 25% no improvement.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final group may need recurrent admissions for positive symptoms or long institutional rehabilitation for negative symptoms.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Positive symptoms cause most early impairment, negative symptoms most chronic impairment.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Life expectancy is markedly reduced versus age-matched controls: suicide (about 10%), lifestyle, acute symptoms, chronic low motivation preventing physical help-seeking, intentional/unintentional discrimination by other clinicians and metabolic medication effects such as diabetes, weight/lipid gain.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Overall cardiovascular causes contribute most to excess mortality.</w:t>
      </w:r>
    </w:p>
    <w:p>
      <w:pPr>
        <w:spacing w:before="240" w:after="80" w:line="312" w:lineRule="auto"/>
      </w:pPr>
      <w:r>
        <w:rPr>
          <w:rFonts w:ascii="Calibri" w:hAnsi="Calibri" w:cs="Calibri" w:eastAsia="PingFang SC"/>
          <w:b/>
          <w:color w:val="175244"/>
          <w:sz w:val="22"/>
          <w:szCs w:val="22"/>
        </w:rPr>
        <w:t xml:space="preserve">Five Self-Test MCQs</w:t>
      </w:r>
    </w:p>
    <w:p>
      <w:pPr>
        <w:spacing w:before="0" w:after="160" w:line="312" w:lineRule="auto"/>
      </w:pPr>
      <w:r>
        <w:rPr>
          <w:rFonts w:ascii="Calibri" w:hAnsi="Calibri" w:cs="Calibri" w:eastAsia="PingFang SC"/>
          <w:color w:val="3D3A33"/>
          <w:sz w:val="22"/>
          <w:szCs w:val="22"/>
        </w:rPr>
        <w:t xml:space="preserve">See “Self-Test MCQs and Answers” below for the five closing questions.</w:t>
      </w:r>
    </w:p>
    <w:p>
      <w:pPr>
        <w:spacing w:before="240" w:after="80" w:line="312" w:lineRule="auto"/>
      </w:pPr>
      <w:r>
        <w:rPr>
          <w:rFonts w:ascii="Calibri" w:hAnsi="Calibri" w:cs="Calibri" w:eastAsia="PingFang SC"/>
          <w:b/>
          <w:color w:val="9E3D34"/>
          <w:sz w:val="26"/>
          <w:szCs w:val="26"/>
        </w:rPr>
        <w:t xml:space="preserve">Scales and Assessment Tools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PANSS (Positive and Negative Syndrome Scale)</w:t>
      </w:r>
      <w:r>
        <w:rPr>
          <w:rFonts w:ascii="Calibri" w:hAnsi="Calibri" w:cs="Calibri" w:eastAsia="PingFang SC"/>
          <w:color w:val="3D3A33"/>
          <w:sz w:val="22"/>
          <w:szCs w:val="22"/>
        </w:rPr>
        <w:t xml:space="preserve">: Commonest schizophrenia research scale, observer-rated, 30 items across positive, negative and general psychopathology, each scored 0–6 in the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BPRS (Brief Psychiatric Rating Scale)</w:t>
      </w:r>
      <w:r>
        <w:rPr>
          <w:rFonts w:ascii="Calibri" w:hAnsi="Calibri" w:cs="Calibri" w:eastAsia="PingFang SC"/>
          <w:color w:val="3D3A33"/>
          <w:sz w:val="22"/>
          <w:szCs w:val="22"/>
        </w:rPr>
        <w:t xml:space="preserve">: Another scale; no item count, score range or cut-off supplied.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stresses scales are required neither to diagnose nor monitor progress in practice; mainly research tools.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 other screening tools, structured interviews or cut-offs covered.</w:t>
      </w:r>
    </w:p>
    <w:p>
      <w:pPr>
        <w:spacing w:before="240" w:after="80" w:line="312" w:lineRule="auto"/>
      </w:pPr>
      <w:r>
        <w:rPr>
          <w:rFonts w:ascii="Calibri" w:hAnsi="Calibri" w:cs="Calibri" w:eastAsia="PingFang SC"/>
          <w:b/>
          <w:color w:val="9E3D34"/>
          <w:sz w:val="26"/>
          <w:szCs w:val="26"/>
        </w:rPr>
        <w:t xml:space="preserve">Medication and Treatment Points</w:t>
      </w:r>
    </w:p>
    <w:p>
      <w:pPr>
        <w:spacing w:before="0" w:after="160" w:line="312" w:lineRule="auto"/>
      </w:pPr>
      <w:r>
        <w:rPr>
          <w:rFonts w:ascii="Calibri" w:hAnsi="Calibri" w:cs="Calibri" w:eastAsia="PingFang SC"/>
          <w:color w:val="3D3A33"/>
          <w:sz w:val="22"/>
          <w:szCs w:val="22"/>
        </w:rPr>
        <w:t xml:space="preserve">The lecture </w:t>
      </w:r>
      <w:r>
        <w:rPr>
          <w:rFonts w:ascii="Calibri" w:hAnsi="Calibri" w:cs="Calibri" w:eastAsia="PingFang SC"/>
          <w:b/>
          <w:color w:val="3D3A33"/>
          <w:sz w:val="22"/>
          <w:szCs w:val="22"/>
        </w:rPr>
        <w:t xml:space="preserve">gives no numerical drug doses</w:t>
      </w:r>
      <w:r>
        <w:rPr>
          <w:rFonts w:ascii="Calibri" w:hAnsi="Calibri" w:cs="Calibri" w:eastAsia="PingFang SC"/>
          <w:color w:val="3D3A33"/>
          <w:sz w:val="22"/>
          <w:szCs w:val="22"/>
        </w:rPr>
        <w:t xml:space="preserve">, starting or target. Below are its classes, roles, durations and monitoring points.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057"/>
        <w:gridCol w:w="1817"/>
        <w:gridCol w:w="2456"/>
        <w:gridCol w:w="1118"/>
        <w:gridCol w:w="2911"/>
      </w:tblGrid>
      <w:tr>
        <w:trPr>
          <w:tblHeader/>
        </w:trPr>
        <w:tc>
          <w:tcPr>
            <w:tcW w:w="1057" w:type="dxa"/>
            <w:shd w:val="clear" w:color="auto" w:fill="EAE7DD"/>
          </w:tcPr>
          <w:p>
            <w:pPr>
              <w:spacing w:before="0" w:after="0" w:line="312" w:lineRule="auto"/>
            </w:pPr>
            <w:r>
              <w:rPr>
                <w:rFonts w:ascii="Calibri" w:hAnsi="Calibri" w:cs="Calibri" w:eastAsia="PingFang SC"/>
                <w:b/>
                <w:color w:val="3D3A33"/>
                <w:sz w:val="22"/>
                <w:szCs w:val="22"/>
              </w:rPr>
              <w:t xml:space="preserve">Drug</w:t>
            </w:r>
          </w:p>
        </w:tc>
        <w:tc>
          <w:tcPr>
            <w:tcW w:w="1817" w:type="dxa"/>
            <w:shd w:val="clear" w:color="auto" w:fill="EAE7DD"/>
          </w:tcPr>
          <w:p>
            <w:pPr>
              <w:spacing w:before="0" w:after="0" w:line="312" w:lineRule="auto"/>
            </w:pPr>
            <w:r>
              <w:rPr>
                <w:rFonts w:ascii="Calibri" w:hAnsi="Calibri" w:cs="Calibri" w:eastAsia="PingFang SC"/>
                <w:b/>
                <w:color w:val="3D3A33"/>
                <w:sz w:val="22"/>
                <w:szCs w:val="22"/>
              </w:rPr>
              <w:t xml:space="preserve">Class</w:t>
            </w:r>
          </w:p>
        </w:tc>
        <w:tc>
          <w:tcPr>
            <w:tcW w:w="2456" w:type="dxa"/>
            <w:shd w:val="clear" w:color="auto" w:fill="EAE7DD"/>
          </w:tcPr>
          <w:p>
            <w:pPr>
              <w:spacing w:before="0" w:after="0" w:line="312" w:lineRule="auto"/>
            </w:pPr>
            <w:r>
              <w:rPr>
                <w:rFonts w:ascii="Calibri" w:hAnsi="Calibri" w:cs="Calibri" w:eastAsia="PingFang SC"/>
                <w:b/>
                <w:color w:val="3D3A33"/>
                <w:sz w:val="22"/>
                <w:szCs w:val="22"/>
              </w:rPr>
              <w:t xml:space="preserve">Indication and role</w:t>
            </w:r>
          </w:p>
        </w:tc>
        <w:tc>
          <w:tcPr>
            <w:tcW w:w="1118" w:type="dxa"/>
            <w:shd w:val="clear" w:color="auto" w:fill="EAE7DD"/>
          </w:tcPr>
          <w:p>
            <w:pPr>
              <w:spacing w:before="0" w:after="0" w:line="312" w:lineRule="auto"/>
            </w:pPr>
            <w:r>
              <w:rPr>
                <w:rFonts w:ascii="Calibri" w:hAnsi="Calibri" w:cs="Calibri" w:eastAsia="PingFang SC"/>
                <w:b/>
                <w:color w:val="3D3A33"/>
                <w:sz w:val="22"/>
                <w:szCs w:val="22"/>
              </w:rPr>
              <w:t xml:space="preserve">Dose</w:t>
            </w:r>
          </w:p>
        </w:tc>
        <w:tc>
          <w:tcPr>
            <w:tcW w:w="2911" w:type="dxa"/>
            <w:shd w:val="clear" w:color="auto" w:fill="EAE7DD"/>
          </w:tcPr>
          <w:p>
            <w:pPr>
              <w:spacing w:before="0" w:after="0" w:line="312" w:lineRule="auto"/>
            </w:pPr>
            <w:r>
              <w:rPr>
                <w:rFonts w:ascii="Calibri" w:hAnsi="Calibri" w:cs="Calibri" w:eastAsia="PingFang SC"/>
                <w:b/>
                <w:color w:val="3D3A33"/>
                <w:sz w:val="22"/>
                <w:szCs w:val="22"/>
              </w:rPr>
              <w:t xml:space="preserve">Main adverse effects and monitoring</w:t>
            </w:r>
          </w:p>
        </w:tc>
      </w:tr>
      <w:tr>
        <w:tc>
          <w:tcPr>
            <w:tcW w:w="1057" w:type="dxa"/>
          </w:tcPr>
          <w:p>
            <w:pPr>
              <w:spacing w:before="0" w:after="0" w:line="312" w:lineRule="auto"/>
            </w:pPr>
            <w:r>
              <w:rPr>
                <w:rFonts w:ascii="Calibri" w:hAnsi="Calibri" w:cs="Calibri" w:eastAsia="PingFang SC"/>
                <w:color w:val="3D3A33"/>
                <w:sz w:val="22"/>
                <w:szCs w:val="22"/>
              </w:rPr>
              <w:t xml:space="preserve">Chlorpromazine</w:t>
            </w:r>
          </w:p>
        </w:tc>
        <w:tc>
          <w:tcPr>
            <w:tcW w:w="1817" w:type="dxa"/>
          </w:tcPr>
          <w:p>
            <w:pPr>
              <w:spacing w:before="0" w:after="0" w:line="312" w:lineRule="auto"/>
            </w:pPr>
            <w:r>
              <w:rPr>
                <w:rFonts w:ascii="Calibri" w:hAnsi="Calibri" w:cs="Calibri" w:eastAsia="PingFang SC"/>
                <w:color w:val="3D3A33"/>
                <w:sz w:val="22"/>
                <w:szCs w:val="22"/>
              </w:rPr>
              <w:t xml:space="preserve">First-generation/typical</w:t>
            </w:r>
          </w:p>
        </w:tc>
        <w:tc>
          <w:tcPr>
            <w:tcW w:w="2456" w:type="dxa"/>
          </w:tcPr>
          <w:p>
            <w:pPr>
              <w:spacing w:before="0" w:after="0" w:line="312" w:lineRule="auto"/>
            </w:pPr>
            <w:r>
              <w:rPr>
                <w:rFonts w:ascii="Calibri" w:hAnsi="Calibri" w:cs="Calibri" w:eastAsia="PingFang SC"/>
                <w:color w:val="3D3A33"/>
                <w:sz w:val="22"/>
                <w:szCs w:val="22"/>
              </w:rPr>
              <w:t xml:space="preserve">One of the best-known older drugs</w:t>
            </w:r>
          </w:p>
        </w:tc>
        <w:tc>
          <w:tcPr>
            <w:tcW w:w="1118" w:type="dxa"/>
          </w:tcPr>
          <w:p>
            <w:pPr>
              <w:spacing w:before="0" w:after="0" w:line="312" w:lineRule="auto"/>
            </w:pPr>
            <w:r>
              <w:rPr>
                <w:rFonts w:ascii="Calibri" w:hAnsi="Calibri" w:cs="Calibri" w:eastAsia="PingFang SC"/>
                <w:color w:val="3D3A33"/>
                <w:sz w:val="22"/>
                <w:szCs w:val="22"/>
              </w:rPr>
              <w:t xml:space="preserve">Not specified</w:t>
            </w:r>
          </w:p>
        </w:tc>
        <w:tc>
          <w:tcPr>
            <w:tcW w:w="2911" w:type="dxa"/>
          </w:tcPr>
          <w:p>
            <w:pPr>
              <w:spacing w:before="0" w:after="0" w:line="312" w:lineRule="auto"/>
            </w:pPr>
            <w:r>
              <w:rPr>
                <w:rFonts w:ascii="Calibri" w:hAnsi="Calibri" w:cs="Calibri" w:eastAsia="PingFang SC"/>
                <w:color w:val="3D3A33"/>
                <w:sz w:val="22"/>
                <w:szCs w:val="22"/>
              </w:rPr>
              <w:t xml:space="preserve">EPS relatively common, important non-adherence risk</w:t>
            </w:r>
          </w:p>
        </w:tc>
      </w:tr>
      <w:tr>
        <w:tc>
          <w:tcPr>
            <w:tcW w:w="1057" w:type="dxa"/>
          </w:tcPr>
          <w:p>
            <w:pPr>
              <w:spacing w:before="0" w:after="0" w:line="312" w:lineRule="auto"/>
            </w:pPr>
            <w:r>
              <w:rPr>
                <w:rFonts w:ascii="Calibri" w:hAnsi="Calibri" w:cs="Calibri" w:eastAsia="PingFang SC"/>
                <w:color w:val="3D3A33"/>
                <w:sz w:val="22"/>
                <w:szCs w:val="22"/>
              </w:rPr>
              <w:t xml:space="preserve">Haloperidol</w:t>
            </w:r>
          </w:p>
        </w:tc>
        <w:tc>
          <w:tcPr>
            <w:tcW w:w="1817" w:type="dxa"/>
          </w:tcPr>
          <w:p>
            <w:pPr>
              <w:spacing w:before="0" w:after="0" w:line="312" w:lineRule="auto"/>
            </w:pPr>
            <w:r>
              <w:rPr>
                <w:rFonts w:ascii="Calibri" w:hAnsi="Calibri" w:cs="Calibri" w:eastAsia="PingFang SC"/>
                <w:color w:val="3D3A33"/>
                <w:sz w:val="22"/>
                <w:szCs w:val="22"/>
              </w:rPr>
              <w:t xml:space="preserve">First-generation/high-potency typical</w:t>
            </w:r>
          </w:p>
        </w:tc>
        <w:tc>
          <w:tcPr>
            <w:tcW w:w="2456" w:type="dxa"/>
          </w:tcPr>
          <w:p>
            <w:pPr>
              <w:spacing w:before="0" w:after="0" w:line="312" w:lineRule="auto"/>
            </w:pPr>
            <w:r>
              <w:rPr>
                <w:rFonts w:ascii="Calibri" w:hAnsi="Calibri" w:cs="Calibri" w:eastAsia="PingFang SC"/>
                <w:color w:val="3D3A33"/>
                <w:sz w:val="22"/>
                <w:szCs w:val="22"/>
              </w:rPr>
              <w:t xml:space="preserve">One of the best-known older drugs</w:t>
            </w:r>
          </w:p>
        </w:tc>
        <w:tc>
          <w:tcPr>
            <w:tcW w:w="1118" w:type="dxa"/>
          </w:tcPr>
          <w:p>
            <w:pPr>
              <w:spacing w:before="0" w:after="0" w:line="312" w:lineRule="auto"/>
            </w:pPr>
            <w:r>
              <w:rPr>
                <w:rFonts w:ascii="Calibri" w:hAnsi="Calibri" w:cs="Calibri" w:eastAsia="PingFang SC"/>
                <w:color w:val="3D3A33"/>
                <w:sz w:val="22"/>
                <w:szCs w:val="22"/>
              </w:rPr>
              <w:t xml:space="preserve">Not specified</w:t>
            </w:r>
          </w:p>
        </w:tc>
        <w:tc>
          <w:tcPr>
            <w:tcW w:w="2911" w:type="dxa"/>
          </w:tcPr>
          <w:p>
            <w:pPr>
              <w:spacing w:before="0" w:after="0" w:line="312" w:lineRule="auto"/>
            </w:pPr>
            <w:r>
              <w:rPr>
                <w:rFonts w:ascii="Calibri" w:hAnsi="Calibri" w:cs="Calibri" w:eastAsia="PingFang SC"/>
                <w:color w:val="3D3A33"/>
                <w:sz w:val="22"/>
                <w:szCs w:val="22"/>
              </w:rPr>
              <w:t xml:space="preserve">Non-selective dopamine blockade, more EPS/NMS than newer drugs</w:t>
            </w:r>
          </w:p>
        </w:tc>
      </w:tr>
      <w:tr>
        <w:tc>
          <w:tcPr>
            <w:tcW w:w="1057" w:type="dxa"/>
          </w:tcPr>
          <w:p>
            <w:pPr>
              <w:spacing w:before="0" w:after="0" w:line="312" w:lineRule="auto"/>
            </w:pPr>
            <w:r>
              <w:rPr>
                <w:rFonts w:ascii="Calibri" w:hAnsi="Calibri" w:cs="Calibri" w:eastAsia="PingFang SC"/>
                <w:color w:val="3D3A33"/>
                <w:sz w:val="22"/>
                <w:szCs w:val="22"/>
              </w:rPr>
              <w:t xml:space="preserve">Risperidone</w:t>
            </w:r>
          </w:p>
        </w:tc>
        <w:tc>
          <w:tcPr>
            <w:tcW w:w="1817" w:type="dxa"/>
          </w:tcPr>
          <w:p>
            <w:pPr>
              <w:spacing w:before="0" w:after="0" w:line="312" w:lineRule="auto"/>
            </w:pPr>
            <w:r>
              <w:rPr>
                <w:rFonts w:ascii="Calibri" w:hAnsi="Calibri" w:cs="Calibri" w:eastAsia="PingFang SC"/>
                <w:color w:val="3D3A33"/>
                <w:sz w:val="22"/>
                <w:szCs w:val="22"/>
              </w:rPr>
              <w:t xml:space="preserve">Second-generation/atypical</w:t>
            </w:r>
          </w:p>
        </w:tc>
        <w:tc>
          <w:tcPr>
            <w:tcW w:w="2456" w:type="dxa"/>
          </w:tcPr>
          <w:p>
            <w:pPr>
              <w:spacing w:before="0" w:after="0" w:line="312" w:lineRule="auto"/>
            </w:pPr>
            <w:r>
              <w:rPr>
                <w:rFonts w:ascii="Calibri" w:hAnsi="Calibri" w:cs="Calibri" w:eastAsia="PingFang SC"/>
                <w:color w:val="3D3A33"/>
                <w:sz w:val="22"/>
                <w:szCs w:val="22"/>
              </w:rPr>
              <w:t xml:space="preserve">An atypical first choice in new patients</w:t>
            </w:r>
          </w:p>
        </w:tc>
        <w:tc>
          <w:tcPr>
            <w:tcW w:w="1118" w:type="dxa"/>
          </w:tcPr>
          <w:p>
            <w:pPr>
              <w:spacing w:before="0" w:after="0" w:line="312" w:lineRule="auto"/>
            </w:pPr>
            <w:r>
              <w:rPr>
                <w:rFonts w:ascii="Calibri" w:hAnsi="Calibri" w:cs="Calibri" w:eastAsia="PingFang SC"/>
                <w:color w:val="3D3A33"/>
                <w:sz w:val="22"/>
                <w:szCs w:val="22"/>
              </w:rPr>
              <w:t xml:space="preserve">Not specified</w:t>
            </w:r>
          </w:p>
        </w:tc>
        <w:tc>
          <w:tcPr>
            <w:tcW w:w="2911" w:type="dxa"/>
          </w:tcPr>
          <w:p>
            <w:pPr>
              <w:spacing w:before="0" w:after="0" w:line="312" w:lineRule="auto"/>
            </w:pPr>
            <w:r>
              <w:rPr>
                <w:rFonts w:ascii="Calibri" w:hAnsi="Calibri" w:cs="Calibri" w:eastAsia="PingFang SC"/>
                <w:color w:val="3D3A33"/>
                <w:sz w:val="22"/>
                <w:szCs w:val="22"/>
              </w:rPr>
              <w:t xml:space="preserve">D2/5HT2A blockade; select by metabolic adverse effects</w:t>
            </w:r>
          </w:p>
        </w:tc>
      </w:tr>
      <w:tr>
        <w:tc>
          <w:tcPr>
            <w:tcW w:w="1057" w:type="dxa"/>
          </w:tcPr>
          <w:p>
            <w:pPr>
              <w:spacing w:before="0" w:after="0" w:line="312" w:lineRule="auto"/>
            </w:pPr>
            <w:r>
              <w:rPr>
                <w:rFonts w:ascii="Calibri" w:hAnsi="Calibri" w:cs="Calibri" w:eastAsia="PingFang SC"/>
                <w:color w:val="3D3A33"/>
                <w:sz w:val="22"/>
                <w:szCs w:val="22"/>
              </w:rPr>
              <w:t xml:space="preserve">Quetiapine</w:t>
            </w:r>
          </w:p>
        </w:tc>
        <w:tc>
          <w:tcPr>
            <w:tcW w:w="1817" w:type="dxa"/>
          </w:tcPr>
          <w:p>
            <w:pPr>
              <w:spacing w:before="0" w:after="0" w:line="312" w:lineRule="auto"/>
            </w:pPr>
            <w:r>
              <w:rPr>
                <w:rFonts w:ascii="Calibri" w:hAnsi="Calibri" w:cs="Calibri" w:eastAsia="PingFang SC"/>
                <w:color w:val="3D3A33"/>
                <w:sz w:val="22"/>
                <w:szCs w:val="22"/>
              </w:rPr>
              <w:t xml:space="preserve">Second-generation/atypical</w:t>
            </w:r>
          </w:p>
        </w:tc>
        <w:tc>
          <w:tcPr>
            <w:tcW w:w="2456" w:type="dxa"/>
          </w:tcPr>
          <w:p>
            <w:pPr>
              <w:spacing w:before="0" w:after="0" w:line="312" w:lineRule="auto"/>
            </w:pPr>
            <w:r>
              <w:rPr>
                <w:rFonts w:ascii="Calibri" w:hAnsi="Calibri" w:cs="Calibri" w:eastAsia="PingFang SC"/>
                <w:color w:val="3D3A33"/>
                <w:sz w:val="22"/>
                <w:szCs w:val="22"/>
              </w:rPr>
              <w:t xml:space="preserve">As above</w:t>
            </w:r>
          </w:p>
        </w:tc>
        <w:tc>
          <w:tcPr>
            <w:tcW w:w="1118" w:type="dxa"/>
          </w:tcPr>
          <w:p>
            <w:pPr>
              <w:spacing w:before="0" w:after="0" w:line="312" w:lineRule="auto"/>
            </w:pPr>
            <w:r>
              <w:rPr>
                <w:rFonts w:ascii="Calibri" w:hAnsi="Calibri" w:cs="Calibri" w:eastAsia="PingFang SC"/>
                <w:color w:val="3D3A33"/>
                <w:sz w:val="22"/>
                <w:szCs w:val="22"/>
              </w:rPr>
              <w:t xml:space="preserve">Not specified</w:t>
            </w:r>
          </w:p>
        </w:tc>
        <w:tc>
          <w:tcPr>
            <w:tcW w:w="2911" w:type="dxa"/>
          </w:tcPr>
          <w:p>
            <w:pPr>
              <w:spacing w:before="0" w:after="0" w:line="312" w:lineRule="auto"/>
            </w:pPr>
            <w:r>
              <w:rPr>
                <w:rFonts w:ascii="Calibri" w:hAnsi="Calibri" w:cs="Calibri" w:eastAsia="PingFang SC"/>
                <w:color w:val="3D3A33"/>
                <w:sz w:val="22"/>
                <w:szCs w:val="22"/>
              </w:rPr>
              <w:t xml:space="preserve">D2/5HT2A blockade</w:t>
            </w:r>
          </w:p>
        </w:tc>
      </w:tr>
      <w:tr>
        <w:tc>
          <w:tcPr>
            <w:tcW w:w="1057" w:type="dxa"/>
          </w:tcPr>
          <w:p>
            <w:pPr>
              <w:spacing w:before="0" w:after="0" w:line="312" w:lineRule="auto"/>
            </w:pPr>
            <w:r>
              <w:rPr>
                <w:rFonts w:ascii="Calibri" w:hAnsi="Calibri" w:cs="Calibri" w:eastAsia="PingFang SC"/>
                <w:color w:val="3D3A33"/>
                <w:sz w:val="22"/>
                <w:szCs w:val="22"/>
              </w:rPr>
              <w:t xml:space="preserve">Olanzapine</w:t>
            </w:r>
          </w:p>
        </w:tc>
        <w:tc>
          <w:tcPr>
            <w:tcW w:w="1817" w:type="dxa"/>
          </w:tcPr>
          <w:p>
            <w:pPr>
              <w:spacing w:before="0" w:after="0" w:line="312" w:lineRule="auto"/>
            </w:pPr>
            <w:r>
              <w:rPr>
                <w:rFonts w:ascii="Calibri" w:hAnsi="Calibri" w:cs="Calibri" w:eastAsia="PingFang SC"/>
                <w:color w:val="3D3A33"/>
                <w:sz w:val="22"/>
                <w:szCs w:val="22"/>
              </w:rPr>
              <w:t xml:space="preserve">Second-generation/atypical</w:t>
            </w:r>
          </w:p>
        </w:tc>
        <w:tc>
          <w:tcPr>
            <w:tcW w:w="2456" w:type="dxa"/>
          </w:tcPr>
          <w:p>
            <w:pPr>
              <w:spacing w:before="0" w:after="0" w:line="312" w:lineRule="auto"/>
            </w:pPr>
            <w:r>
              <w:rPr>
                <w:rFonts w:ascii="Calibri" w:hAnsi="Calibri" w:cs="Calibri" w:eastAsia="PingFang SC"/>
                <w:color w:val="3D3A33"/>
                <w:sz w:val="22"/>
                <w:szCs w:val="22"/>
              </w:rPr>
              <w:t xml:space="preserve">As above</w:t>
            </w:r>
          </w:p>
        </w:tc>
        <w:tc>
          <w:tcPr>
            <w:tcW w:w="1118" w:type="dxa"/>
          </w:tcPr>
          <w:p>
            <w:pPr>
              <w:spacing w:before="0" w:after="0" w:line="312" w:lineRule="auto"/>
            </w:pPr>
            <w:r>
              <w:rPr>
                <w:rFonts w:ascii="Calibri" w:hAnsi="Calibri" w:cs="Calibri" w:eastAsia="PingFang SC"/>
                <w:color w:val="3D3A33"/>
                <w:sz w:val="22"/>
                <w:szCs w:val="22"/>
              </w:rPr>
              <w:t xml:space="preserve">Not specified</w:t>
            </w:r>
          </w:p>
        </w:tc>
        <w:tc>
          <w:tcPr>
            <w:tcW w:w="2911" w:type="dxa"/>
          </w:tcPr>
          <w:p>
            <w:pPr>
              <w:spacing w:before="0" w:after="0" w:line="312" w:lineRule="auto"/>
            </w:pPr>
            <w:r>
              <w:rPr>
                <w:rFonts w:ascii="Calibri" w:hAnsi="Calibri" w:cs="Calibri" w:eastAsia="PingFang SC"/>
                <w:color w:val="3D3A33"/>
                <w:sz w:val="22"/>
                <w:szCs w:val="22"/>
              </w:rPr>
              <w:t xml:space="preserve">D2/5HT2A blockade</w:t>
            </w:r>
          </w:p>
        </w:tc>
      </w:tr>
      <w:tr>
        <w:tc>
          <w:tcPr>
            <w:tcW w:w="1057" w:type="dxa"/>
          </w:tcPr>
          <w:p>
            <w:pPr>
              <w:spacing w:before="0" w:after="0" w:line="312" w:lineRule="auto"/>
            </w:pPr>
            <w:r>
              <w:rPr>
                <w:rFonts w:ascii="Calibri" w:hAnsi="Calibri" w:cs="Calibri" w:eastAsia="PingFang SC"/>
                <w:color w:val="3D3A33"/>
                <w:sz w:val="22"/>
                <w:szCs w:val="22"/>
              </w:rPr>
              <w:t xml:space="preserve">Aripiprazole</w:t>
            </w:r>
          </w:p>
        </w:tc>
        <w:tc>
          <w:tcPr>
            <w:tcW w:w="1817" w:type="dxa"/>
          </w:tcPr>
          <w:p>
            <w:pPr>
              <w:spacing w:before="0" w:after="0" w:line="312" w:lineRule="auto"/>
            </w:pPr>
            <w:r>
              <w:rPr>
                <w:rFonts w:ascii="Calibri" w:hAnsi="Calibri" w:cs="Calibri" w:eastAsia="PingFang SC"/>
                <w:color w:val="3D3A33"/>
                <w:sz w:val="22"/>
                <w:szCs w:val="22"/>
              </w:rPr>
              <w:t xml:space="preserve">Second-generation/atypical</w:t>
            </w:r>
          </w:p>
        </w:tc>
        <w:tc>
          <w:tcPr>
            <w:tcW w:w="2456" w:type="dxa"/>
          </w:tcPr>
          <w:p>
            <w:pPr>
              <w:spacing w:before="0" w:after="0" w:line="312" w:lineRule="auto"/>
            </w:pPr>
            <w:r>
              <w:rPr>
                <w:rFonts w:ascii="Calibri" w:hAnsi="Calibri" w:cs="Calibri" w:eastAsia="PingFang SC"/>
                <w:color w:val="3D3A33"/>
                <w:sz w:val="22"/>
                <w:szCs w:val="22"/>
              </w:rPr>
              <w:t xml:space="preserve">Same role, different mechanism</w:t>
            </w:r>
          </w:p>
        </w:tc>
        <w:tc>
          <w:tcPr>
            <w:tcW w:w="1118" w:type="dxa"/>
          </w:tcPr>
          <w:p>
            <w:pPr>
              <w:spacing w:before="0" w:after="0" w:line="312" w:lineRule="auto"/>
            </w:pPr>
            <w:r>
              <w:rPr>
                <w:rFonts w:ascii="Calibri" w:hAnsi="Calibri" w:cs="Calibri" w:eastAsia="PingFang SC"/>
                <w:color w:val="3D3A33"/>
                <w:sz w:val="22"/>
                <w:szCs w:val="22"/>
              </w:rPr>
              <w:t xml:space="preserve">Not specified</w:t>
            </w:r>
          </w:p>
        </w:tc>
        <w:tc>
          <w:tcPr>
            <w:tcW w:w="2911" w:type="dxa"/>
          </w:tcPr>
          <w:p>
            <w:pPr>
              <w:spacing w:before="0" w:after="0" w:line="312" w:lineRule="auto"/>
            </w:pPr>
            <w:r>
              <w:rPr>
                <w:rFonts w:ascii="Calibri" w:hAnsi="Calibri" w:cs="Calibri" w:eastAsia="PingFang SC"/>
                <w:color w:val="3D3A33"/>
                <w:sz w:val="22"/>
                <w:szCs w:val="22"/>
              </w:rPr>
              <w:t xml:space="preserve">Partial D2/5HT1A agonist, not D2 antagonist</w:t>
            </w:r>
          </w:p>
        </w:tc>
      </w:tr>
      <w:tr>
        <w:tc>
          <w:tcPr>
            <w:tcW w:w="1057" w:type="dxa"/>
          </w:tcPr>
          <w:p>
            <w:pPr>
              <w:spacing w:before="0" w:after="0" w:line="312" w:lineRule="auto"/>
            </w:pPr>
            <w:r>
              <w:rPr>
                <w:rFonts w:ascii="Calibri" w:hAnsi="Calibri" w:cs="Calibri" w:eastAsia="PingFang SC"/>
                <w:color w:val="3D3A33"/>
                <w:sz w:val="22"/>
                <w:szCs w:val="22"/>
              </w:rPr>
              <w:t xml:space="preserve">Clozapine</w:t>
            </w:r>
          </w:p>
        </w:tc>
        <w:tc>
          <w:tcPr>
            <w:tcW w:w="1817" w:type="dxa"/>
          </w:tcPr>
          <w:p>
            <w:pPr>
              <w:spacing w:before="0" w:after="0" w:line="312" w:lineRule="auto"/>
            </w:pPr>
            <w:r>
              <w:rPr>
                <w:rFonts w:ascii="Calibri" w:hAnsi="Calibri" w:cs="Calibri" w:eastAsia="PingFang SC"/>
                <w:color w:val="3D3A33"/>
                <w:sz w:val="22"/>
                <w:szCs w:val="22"/>
              </w:rPr>
              <w:t xml:space="preserve">Second-generation/atypical</w:t>
            </w:r>
          </w:p>
        </w:tc>
        <w:tc>
          <w:tcPr>
            <w:tcW w:w="2456" w:type="dxa"/>
          </w:tcPr>
          <w:p>
            <w:pPr>
              <w:spacing w:before="0" w:after="0" w:line="312" w:lineRule="auto"/>
            </w:pPr>
            <w:r>
              <w:rPr>
                <w:rFonts w:ascii="Calibri" w:hAnsi="Calibri" w:cs="Calibri" w:eastAsia="PingFang SC"/>
                <w:color w:val="3D3A33"/>
                <w:sz w:val="22"/>
                <w:szCs w:val="22"/>
              </w:rPr>
              <w:t xml:space="preserve">Preferred in resistance (two adequate trials unsuccessful, 20–30%); anti-suicide effect</w:t>
            </w:r>
          </w:p>
        </w:tc>
        <w:tc>
          <w:tcPr>
            <w:tcW w:w="1118" w:type="dxa"/>
          </w:tcPr>
          <w:p>
            <w:pPr>
              <w:spacing w:before="0" w:after="0" w:line="312" w:lineRule="auto"/>
            </w:pPr>
            <w:r>
              <w:rPr>
                <w:rFonts w:ascii="Calibri" w:hAnsi="Calibri" w:cs="Calibri" w:eastAsia="PingFang SC"/>
                <w:color w:val="3D3A33"/>
                <w:sz w:val="22"/>
                <w:szCs w:val="22"/>
              </w:rPr>
              <w:t xml:space="preserve">Not specified</w:t>
            </w:r>
          </w:p>
        </w:tc>
        <w:tc>
          <w:tcPr>
            <w:tcW w:w="2911" w:type="dxa"/>
          </w:tcPr>
          <w:p>
            <w:pPr>
              <w:spacing w:before="0" w:after="0" w:line="312" w:lineRule="auto"/>
            </w:pPr>
            <w:r>
              <w:rPr>
                <w:rFonts w:ascii="Calibri" w:hAnsi="Calibri" w:cs="Calibri" w:eastAsia="PingFang SC"/>
                <w:color w:val="3D3A33"/>
                <w:sz w:val="22"/>
                <w:szCs w:val="22"/>
              </w:rPr>
              <w:t xml:space="preserve">About 1% agranulocytosis; regular white-cell/neutrophil counts per local/national guidance; metabolic effects relatively common; not first-line</w:t>
            </w:r>
          </w:p>
        </w:tc>
      </w:tr>
      <w:tr>
        <w:tc>
          <w:tcPr>
            <w:tcW w:w="1057" w:type="dxa"/>
          </w:tcPr>
          <w:p>
            <w:pPr>
              <w:spacing w:before="0" w:after="0" w:line="312" w:lineRule="auto"/>
            </w:pPr>
            <w:r>
              <w:rPr>
                <w:rFonts w:ascii="Calibri" w:hAnsi="Calibri" w:cs="Calibri" w:eastAsia="PingFang SC"/>
                <w:color w:val="3D3A33"/>
                <w:sz w:val="22"/>
                <w:szCs w:val="22"/>
              </w:rPr>
              <w:t xml:space="preserve">Paliperidone</w:t>
            </w:r>
          </w:p>
        </w:tc>
        <w:tc>
          <w:tcPr>
            <w:tcW w:w="1817" w:type="dxa"/>
          </w:tcPr>
          <w:p>
            <w:pPr>
              <w:spacing w:before="0" w:after="0" w:line="312" w:lineRule="auto"/>
            </w:pPr>
            <w:r>
              <w:rPr>
                <w:rFonts w:ascii="Calibri" w:hAnsi="Calibri" w:cs="Calibri" w:eastAsia="PingFang SC"/>
                <w:color w:val="3D3A33"/>
                <w:sz w:val="22"/>
                <w:szCs w:val="22"/>
              </w:rPr>
              <w:t xml:space="preserve">Newer atypical</w:t>
            </w:r>
          </w:p>
        </w:tc>
        <w:tc>
          <w:tcPr>
            <w:tcW w:w="2456" w:type="dxa"/>
          </w:tcPr>
          <w:p>
            <w:pPr>
              <w:spacing w:before="0" w:after="0" w:line="312" w:lineRule="auto"/>
            </w:pPr>
            <w:r>
              <w:rPr>
                <w:rFonts w:ascii="Calibri" w:hAnsi="Calibri" w:cs="Calibri" w:eastAsia="PingFang SC"/>
                <w:color w:val="3D3A33"/>
                <w:sz w:val="22"/>
                <w:szCs w:val="22"/>
              </w:rPr>
              <w:t xml:space="preserve">Same role as previous atypicals</w:t>
            </w:r>
          </w:p>
        </w:tc>
        <w:tc>
          <w:tcPr>
            <w:tcW w:w="1118" w:type="dxa"/>
          </w:tcPr>
          <w:p>
            <w:pPr>
              <w:spacing w:before="0" w:after="0" w:line="312" w:lineRule="auto"/>
            </w:pPr>
            <w:r>
              <w:rPr>
                <w:rFonts w:ascii="Calibri" w:hAnsi="Calibri" w:cs="Calibri" w:eastAsia="PingFang SC"/>
                <w:color w:val="3D3A33"/>
                <w:sz w:val="22"/>
                <w:szCs w:val="22"/>
              </w:rPr>
              <w:t xml:space="preserve">Not specified</w:t>
            </w:r>
          </w:p>
        </w:tc>
        <w:tc>
          <w:tcPr>
            <w:tcW w:w="2911" w:type="dxa"/>
          </w:tcPr>
          <w:p>
            <w:pPr>
              <w:spacing w:before="0" w:after="0" w:line="312" w:lineRule="auto"/>
            </w:pPr>
            <w:r>
              <w:rPr>
                <w:rFonts w:ascii="Calibri" w:hAnsi="Calibri" w:cs="Calibri" w:eastAsia="PingFang SC"/>
                <w:color w:val="3D3A33"/>
                <w:sz w:val="22"/>
                <w:szCs w:val="22"/>
              </w:rPr>
              <w:t xml:space="preserve">D2/5HT2A blockade</w:t>
            </w:r>
          </w:p>
        </w:tc>
      </w:tr>
      <w:tr>
        <w:tc>
          <w:tcPr>
            <w:tcW w:w="1057" w:type="dxa"/>
          </w:tcPr>
          <w:p>
            <w:pPr>
              <w:spacing w:before="0" w:after="0" w:line="312" w:lineRule="auto"/>
            </w:pPr>
            <w:r>
              <w:rPr>
                <w:rFonts w:ascii="Calibri" w:hAnsi="Calibri" w:cs="Calibri" w:eastAsia="PingFang SC"/>
                <w:color w:val="3D3A33"/>
                <w:sz w:val="22"/>
                <w:szCs w:val="22"/>
              </w:rPr>
              <w:t xml:space="preserve">Iloperidone</w:t>
            </w:r>
          </w:p>
        </w:tc>
        <w:tc>
          <w:tcPr>
            <w:tcW w:w="1817" w:type="dxa"/>
          </w:tcPr>
          <w:p>
            <w:pPr>
              <w:spacing w:before="0" w:after="0" w:line="312" w:lineRule="auto"/>
            </w:pPr>
            <w:r>
              <w:rPr>
                <w:rFonts w:ascii="Calibri" w:hAnsi="Calibri" w:cs="Calibri" w:eastAsia="PingFang SC"/>
                <w:color w:val="3D3A33"/>
                <w:sz w:val="22"/>
                <w:szCs w:val="22"/>
              </w:rPr>
              <w:t xml:space="preserve">Newer atypical</w:t>
            </w:r>
          </w:p>
        </w:tc>
        <w:tc>
          <w:tcPr>
            <w:tcW w:w="2456" w:type="dxa"/>
          </w:tcPr>
          <w:p>
            <w:pPr>
              <w:spacing w:before="0" w:after="0" w:line="312" w:lineRule="auto"/>
            </w:pPr>
            <w:r>
              <w:rPr>
                <w:rFonts w:ascii="Calibri" w:hAnsi="Calibri" w:cs="Calibri" w:eastAsia="PingFang SC"/>
                <w:color w:val="3D3A33"/>
                <w:sz w:val="22"/>
                <w:szCs w:val="22"/>
              </w:rPr>
              <w:t xml:space="preserve">As above</w:t>
            </w:r>
          </w:p>
        </w:tc>
        <w:tc>
          <w:tcPr>
            <w:tcW w:w="1118" w:type="dxa"/>
          </w:tcPr>
          <w:p>
            <w:pPr>
              <w:spacing w:before="0" w:after="0" w:line="312" w:lineRule="auto"/>
            </w:pPr>
            <w:r>
              <w:rPr>
                <w:rFonts w:ascii="Calibri" w:hAnsi="Calibri" w:cs="Calibri" w:eastAsia="PingFang SC"/>
                <w:color w:val="3D3A33"/>
                <w:sz w:val="22"/>
                <w:szCs w:val="22"/>
              </w:rPr>
              <w:t xml:space="preserve">Not specified</w:t>
            </w:r>
          </w:p>
        </w:tc>
        <w:tc>
          <w:tcPr>
            <w:tcW w:w="2911" w:type="dxa"/>
          </w:tcPr>
          <w:p>
            <w:pPr>
              <w:spacing w:before="0" w:after="0" w:line="312" w:lineRule="auto"/>
            </w:pPr>
            <w:r>
              <w:rPr>
                <w:rFonts w:ascii="Calibri" w:hAnsi="Calibri" w:cs="Calibri" w:eastAsia="PingFang SC"/>
                <w:color w:val="3D3A33"/>
                <w:sz w:val="22"/>
                <w:szCs w:val="22"/>
              </w:rPr>
              <w:t xml:space="preserve">D2/5HT2A blockade</w:t>
            </w:r>
          </w:p>
        </w:tc>
      </w:tr>
      <w:tr>
        <w:tc>
          <w:tcPr>
            <w:tcW w:w="1057" w:type="dxa"/>
          </w:tcPr>
          <w:p>
            <w:pPr>
              <w:spacing w:before="0" w:after="0" w:line="312" w:lineRule="auto"/>
            </w:pPr>
            <w:r>
              <w:rPr>
                <w:rFonts w:ascii="Calibri" w:hAnsi="Calibri" w:cs="Calibri" w:eastAsia="PingFang SC"/>
                <w:color w:val="3D3A33"/>
                <w:sz w:val="22"/>
                <w:szCs w:val="22"/>
              </w:rPr>
              <w:t xml:space="preserve">Asenapine</w:t>
            </w:r>
          </w:p>
        </w:tc>
        <w:tc>
          <w:tcPr>
            <w:tcW w:w="1817" w:type="dxa"/>
          </w:tcPr>
          <w:p>
            <w:pPr>
              <w:spacing w:before="0" w:after="0" w:line="312" w:lineRule="auto"/>
            </w:pPr>
            <w:r>
              <w:rPr>
                <w:rFonts w:ascii="Calibri" w:hAnsi="Calibri" w:cs="Calibri" w:eastAsia="PingFang SC"/>
                <w:color w:val="3D3A33"/>
                <w:sz w:val="22"/>
                <w:szCs w:val="22"/>
              </w:rPr>
              <w:t xml:space="preserve">Newer atypical</w:t>
            </w:r>
          </w:p>
        </w:tc>
        <w:tc>
          <w:tcPr>
            <w:tcW w:w="2456" w:type="dxa"/>
          </w:tcPr>
          <w:p>
            <w:pPr>
              <w:spacing w:before="0" w:after="0" w:line="312" w:lineRule="auto"/>
            </w:pPr>
            <w:r>
              <w:rPr>
                <w:rFonts w:ascii="Calibri" w:hAnsi="Calibri" w:cs="Calibri" w:eastAsia="PingFang SC"/>
                <w:color w:val="3D3A33"/>
                <w:sz w:val="22"/>
                <w:szCs w:val="22"/>
              </w:rPr>
              <w:t xml:space="preserve">As above</w:t>
            </w:r>
          </w:p>
        </w:tc>
        <w:tc>
          <w:tcPr>
            <w:tcW w:w="1118" w:type="dxa"/>
          </w:tcPr>
          <w:p>
            <w:pPr>
              <w:spacing w:before="0" w:after="0" w:line="312" w:lineRule="auto"/>
            </w:pPr>
            <w:r>
              <w:rPr>
                <w:rFonts w:ascii="Calibri" w:hAnsi="Calibri" w:cs="Calibri" w:eastAsia="PingFang SC"/>
                <w:color w:val="3D3A33"/>
                <w:sz w:val="22"/>
                <w:szCs w:val="22"/>
              </w:rPr>
              <w:t xml:space="preserve">Not specified</w:t>
            </w:r>
          </w:p>
        </w:tc>
        <w:tc>
          <w:tcPr>
            <w:tcW w:w="2911" w:type="dxa"/>
          </w:tcPr>
          <w:p>
            <w:pPr>
              <w:spacing w:before="0" w:after="0" w:line="312" w:lineRule="auto"/>
            </w:pPr>
            <w:r>
              <w:rPr>
                <w:rFonts w:ascii="Calibri" w:hAnsi="Calibri" w:cs="Calibri" w:eastAsia="PingFang SC"/>
                <w:color w:val="3D3A33"/>
                <w:sz w:val="22"/>
                <w:szCs w:val="22"/>
              </w:rPr>
              <w:t xml:space="preserve">D2/5HT2A blockade</w:t>
            </w:r>
          </w:p>
        </w:tc>
      </w:tr>
      <w:tr>
        <w:tc>
          <w:tcPr>
            <w:tcW w:w="1057" w:type="dxa"/>
          </w:tcPr>
          <w:p>
            <w:pPr>
              <w:spacing w:before="0" w:after="0" w:line="312" w:lineRule="auto"/>
            </w:pPr>
            <w:r>
              <w:rPr>
                <w:rFonts w:ascii="Calibri" w:hAnsi="Calibri" w:cs="Calibri" w:eastAsia="PingFang SC"/>
                <w:color w:val="3D3A33"/>
                <w:sz w:val="22"/>
                <w:szCs w:val="22"/>
              </w:rPr>
              <w:t xml:space="preserve">Lurasidone</w:t>
            </w:r>
          </w:p>
        </w:tc>
        <w:tc>
          <w:tcPr>
            <w:tcW w:w="1817" w:type="dxa"/>
          </w:tcPr>
          <w:p>
            <w:pPr>
              <w:spacing w:before="0" w:after="0" w:line="312" w:lineRule="auto"/>
            </w:pPr>
            <w:r>
              <w:rPr>
                <w:rFonts w:ascii="Calibri" w:hAnsi="Calibri" w:cs="Calibri" w:eastAsia="PingFang SC"/>
                <w:color w:val="3D3A33"/>
                <w:sz w:val="22"/>
                <w:szCs w:val="22"/>
              </w:rPr>
              <w:t xml:space="preserve">Newer atypical</w:t>
            </w:r>
          </w:p>
        </w:tc>
        <w:tc>
          <w:tcPr>
            <w:tcW w:w="2456" w:type="dxa"/>
          </w:tcPr>
          <w:p>
            <w:pPr>
              <w:spacing w:before="0" w:after="0" w:line="312" w:lineRule="auto"/>
            </w:pPr>
            <w:r>
              <w:rPr>
                <w:rFonts w:ascii="Calibri" w:hAnsi="Calibri" w:cs="Calibri" w:eastAsia="PingFang SC"/>
                <w:color w:val="3D3A33"/>
                <w:sz w:val="22"/>
                <w:szCs w:val="22"/>
              </w:rPr>
              <w:t xml:space="preserve">As above</w:t>
            </w:r>
          </w:p>
        </w:tc>
        <w:tc>
          <w:tcPr>
            <w:tcW w:w="1118" w:type="dxa"/>
          </w:tcPr>
          <w:p>
            <w:pPr>
              <w:spacing w:before="0" w:after="0" w:line="312" w:lineRule="auto"/>
            </w:pPr>
            <w:r>
              <w:rPr>
                <w:rFonts w:ascii="Calibri" w:hAnsi="Calibri" w:cs="Calibri" w:eastAsia="PingFang SC"/>
                <w:color w:val="3D3A33"/>
                <w:sz w:val="22"/>
                <w:szCs w:val="22"/>
              </w:rPr>
              <w:t xml:space="preserve">Not specified</w:t>
            </w:r>
          </w:p>
        </w:tc>
        <w:tc>
          <w:tcPr>
            <w:tcW w:w="2911" w:type="dxa"/>
          </w:tcPr>
          <w:p>
            <w:pPr>
              <w:spacing w:before="0" w:after="0" w:line="312" w:lineRule="auto"/>
            </w:pPr>
            <w:r>
              <w:rPr>
                <w:rFonts w:ascii="Calibri" w:hAnsi="Calibri" w:cs="Calibri" w:eastAsia="PingFang SC"/>
                <w:color w:val="3D3A33"/>
                <w:sz w:val="22"/>
                <w:szCs w:val="22"/>
              </w:rPr>
              <w:t xml:space="preserve">D2/5HT2A blockade</w:t>
            </w:r>
          </w:p>
        </w:tc>
      </w:tr>
      <w:tr>
        <w:tc>
          <w:tcPr>
            <w:tcW w:w="1057" w:type="dxa"/>
          </w:tcPr>
          <w:p>
            <w:pPr>
              <w:spacing w:before="0" w:after="0" w:line="312" w:lineRule="auto"/>
            </w:pPr>
            <w:r>
              <w:rPr>
                <w:rFonts w:ascii="Calibri" w:hAnsi="Calibri" w:cs="Calibri" w:eastAsia="PingFang SC"/>
                <w:color w:val="3D3A33"/>
                <w:sz w:val="22"/>
                <w:szCs w:val="22"/>
              </w:rPr>
              <w:t xml:space="preserve">Procyclidine</w:t>
            </w:r>
          </w:p>
        </w:tc>
        <w:tc>
          <w:tcPr>
            <w:tcW w:w="1817" w:type="dxa"/>
          </w:tcPr>
          <w:p>
            <w:pPr>
              <w:spacing w:before="0" w:after="0" w:line="312" w:lineRule="auto"/>
            </w:pPr>
            <w:r>
              <w:rPr>
                <w:rFonts w:ascii="Calibri" w:hAnsi="Calibri" w:cs="Calibri" w:eastAsia="PingFang SC"/>
                <w:color w:val="3D3A33"/>
                <w:sz w:val="22"/>
                <w:szCs w:val="22"/>
              </w:rPr>
              <w:t xml:space="preserve">Anticholinergic</w:t>
            </w:r>
          </w:p>
        </w:tc>
        <w:tc>
          <w:tcPr>
            <w:tcW w:w="2456" w:type="dxa"/>
          </w:tcPr>
          <w:p>
            <w:pPr>
              <w:spacing w:before="0" w:after="0" w:line="312" w:lineRule="auto"/>
            </w:pPr>
            <w:r>
              <w:rPr>
                <w:rFonts w:ascii="Calibri" w:hAnsi="Calibri" w:cs="Calibri" w:eastAsia="PingFang SC"/>
                <w:color w:val="3D3A33"/>
                <w:sz w:val="22"/>
                <w:szCs w:val="22"/>
              </w:rPr>
              <w:t xml:space="preserve">Acute EPS (dystonia, akathisia), as stated in lecture</w:t>
            </w:r>
          </w:p>
        </w:tc>
        <w:tc>
          <w:tcPr>
            <w:tcW w:w="1118" w:type="dxa"/>
          </w:tcPr>
          <w:p>
            <w:pPr>
              <w:spacing w:before="0" w:after="0" w:line="312" w:lineRule="auto"/>
            </w:pPr>
            <w:r>
              <w:rPr>
                <w:rFonts w:ascii="Calibri" w:hAnsi="Calibri" w:cs="Calibri" w:eastAsia="PingFang SC"/>
                <w:color w:val="3D3A33"/>
                <w:sz w:val="22"/>
                <w:szCs w:val="22"/>
              </w:rPr>
              <w:t xml:space="preserve">Not specified</w:t>
            </w:r>
          </w:p>
        </w:tc>
        <w:tc>
          <w:tcPr>
            <w:tcW w:w="2911" w:type="dxa"/>
          </w:tcPr>
          <w:p>
            <w:pPr>
              <w:spacing w:before="0" w:after="0" w:line="312" w:lineRule="auto"/>
            </w:pPr>
            <w:r>
              <w:rPr>
                <w:rFonts w:ascii="Calibri" w:hAnsi="Calibri" w:cs="Calibri" w:eastAsia="PingFang SC"/>
                <w:color w:val="3D3A33"/>
                <w:sz w:val="22"/>
                <w:szCs w:val="22"/>
              </w:rPr>
              <w:t xml:space="preserve">Worsens tardive dyskinesia; avoid in these patients</w:t>
            </w:r>
          </w:p>
        </w:tc>
      </w:tr>
      <w:tr>
        <w:tc>
          <w:tcPr>
            <w:tcW w:w="1057" w:type="dxa"/>
          </w:tcPr>
          <w:p>
            <w:pPr>
              <w:spacing w:before="0" w:after="0" w:line="312" w:lineRule="auto"/>
            </w:pPr>
            <w:r>
              <w:rPr>
                <w:rFonts w:ascii="Calibri" w:hAnsi="Calibri" w:cs="Calibri" w:eastAsia="PingFang SC"/>
                <w:color w:val="3D3A33"/>
                <w:sz w:val="22"/>
                <w:szCs w:val="22"/>
              </w:rPr>
              <w:t xml:space="preserve">Benzodiazepines</w:t>
            </w:r>
          </w:p>
        </w:tc>
        <w:tc>
          <w:tcPr>
            <w:tcW w:w="1817" w:type="dxa"/>
          </w:tcPr>
          <w:p>
            <w:pPr>
              <w:spacing w:before="0" w:after="0" w:line="312" w:lineRule="auto"/>
            </w:pPr>
            <w:r>
              <w:rPr>
                <w:rFonts w:ascii="Calibri" w:hAnsi="Calibri" w:cs="Calibri" w:eastAsia="PingFang SC"/>
                <w:color w:val="3D3A33"/>
                <w:sz w:val="22"/>
                <w:szCs w:val="22"/>
              </w:rPr>
              <w:t xml:space="preserve">Benzodiazepines</w:t>
            </w:r>
          </w:p>
        </w:tc>
        <w:tc>
          <w:tcPr>
            <w:tcW w:w="2456" w:type="dxa"/>
          </w:tcPr>
          <w:p>
            <w:pPr>
              <w:spacing w:before="0" w:after="0" w:line="312" w:lineRule="auto"/>
            </w:pPr>
            <w:r>
              <w:rPr>
                <w:rFonts w:ascii="Calibri" w:hAnsi="Calibri" w:cs="Calibri" w:eastAsia="PingFang SC"/>
                <w:color w:val="3D3A33"/>
                <w:sz w:val="22"/>
                <w:szCs w:val="22"/>
              </w:rPr>
              <w:t xml:space="preserve">Initial days for agitation/restlessness; NMS option</w:t>
            </w:r>
          </w:p>
        </w:tc>
        <w:tc>
          <w:tcPr>
            <w:tcW w:w="1118" w:type="dxa"/>
          </w:tcPr>
          <w:p>
            <w:pPr>
              <w:spacing w:before="0" w:after="0" w:line="312" w:lineRule="auto"/>
            </w:pPr>
            <w:r>
              <w:rPr>
                <w:rFonts w:ascii="Calibri" w:hAnsi="Calibri" w:cs="Calibri" w:eastAsia="PingFang SC"/>
                <w:color w:val="3D3A33"/>
                <w:sz w:val="22"/>
                <w:szCs w:val="22"/>
              </w:rPr>
              <w:t xml:space="preserve">Not specified</w:t>
            </w:r>
          </w:p>
        </w:tc>
        <w:tc>
          <w:tcPr>
            <w:tcW w:w="2911" w:type="dxa"/>
          </w:tcPr>
          <w:p>
            <w:pPr>
              <w:spacing w:before="0" w:after="0" w:line="312" w:lineRule="auto"/>
            </w:pPr>
            <w:r>
              <w:rPr>
                <w:rFonts w:ascii="Calibri" w:hAnsi="Calibri" w:cs="Calibri" w:eastAsia="PingFang SC"/>
                <w:color w:val="3D3A33"/>
                <w:sz w:val="22"/>
                <w:szCs w:val="22"/>
              </w:rPr>
              <w:t xml:space="preserve">Not routine long-term prescriptions</w:t>
            </w:r>
          </w:p>
        </w:tc>
      </w:tr>
      <w:tr>
        <w:tc>
          <w:tcPr>
            <w:tcW w:w="1057" w:type="dxa"/>
          </w:tcPr>
          <w:p>
            <w:pPr>
              <w:spacing w:before="0" w:after="0" w:line="312" w:lineRule="auto"/>
            </w:pPr>
            <w:r>
              <w:rPr>
                <w:rFonts w:ascii="Calibri" w:hAnsi="Calibri" w:cs="Calibri" w:eastAsia="PingFang SC"/>
                <w:color w:val="3D3A33"/>
                <w:sz w:val="22"/>
                <w:szCs w:val="22"/>
              </w:rPr>
              <w:t xml:space="preserve">Dantrolene</w:t>
            </w:r>
          </w:p>
        </w:tc>
        <w:tc>
          <w:tcPr>
            <w:tcW w:w="1817" w:type="dxa"/>
          </w:tcPr>
          <w:p>
            <w:pPr>
              <w:spacing w:before="0" w:after="0" w:line="312" w:lineRule="auto"/>
            </w:pPr>
            <w:r>
              <w:rPr>
                <w:rFonts w:ascii="Calibri" w:hAnsi="Calibri" w:cs="Calibri" w:eastAsia="PingFang SC"/>
                <w:color w:val="3D3A33"/>
                <w:sz w:val="22"/>
                <w:szCs w:val="22"/>
              </w:rPr>
              <w:t xml:space="preserve">Muscle relaxant</w:t>
            </w:r>
          </w:p>
        </w:tc>
        <w:tc>
          <w:tcPr>
            <w:tcW w:w="2456" w:type="dxa"/>
          </w:tcPr>
          <w:p>
            <w:pPr>
              <w:spacing w:before="0" w:after="0" w:line="312" w:lineRule="auto"/>
            </w:pPr>
            <w:r>
              <w:rPr>
                <w:rFonts w:ascii="Calibri" w:hAnsi="Calibri" w:cs="Calibri" w:eastAsia="PingFang SC"/>
                <w:color w:val="3D3A33"/>
                <w:sz w:val="22"/>
                <w:szCs w:val="22"/>
              </w:rPr>
              <w:t xml:space="preserve">NMS</w:t>
            </w:r>
          </w:p>
        </w:tc>
        <w:tc>
          <w:tcPr>
            <w:tcW w:w="1118" w:type="dxa"/>
          </w:tcPr>
          <w:p>
            <w:pPr>
              <w:spacing w:before="0" w:after="0" w:line="312" w:lineRule="auto"/>
            </w:pPr>
            <w:r>
              <w:rPr>
                <w:rFonts w:ascii="Calibri" w:hAnsi="Calibri" w:cs="Calibri" w:eastAsia="PingFang SC"/>
                <w:color w:val="3D3A33"/>
                <w:sz w:val="22"/>
                <w:szCs w:val="22"/>
              </w:rPr>
              <w:t xml:space="preserve">Not specified</w:t>
            </w:r>
          </w:p>
        </w:tc>
        <w:tc>
          <w:tcPr>
            <w:tcW w:w="2911" w:type="dxa"/>
          </w:tcPr>
          <w:p>
            <w:pPr>
              <w:spacing w:before="0" w:after="0" w:line="312" w:lineRule="auto"/>
            </w:pPr>
            <w:r>
              <w:rPr>
                <w:rFonts w:ascii="Calibri" w:hAnsi="Calibri" w:cs="Calibri" w:eastAsia="PingFang SC"/>
                <w:color w:val="3D3A33"/>
                <w:sz w:val="22"/>
                <w:szCs w:val="22"/>
              </w:rPr>
              <w:t xml:space="preserve">—</w:t>
            </w:r>
          </w:p>
        </w:tc>
      </w:tr>
      <w:tr>
        <w:tc>
          <w:tcPr>
            <w:tcW w:w="1057" w:type="dxa"/>
          </w:tcPr>
          <w:p>
            <w:pPr>
              <w:spacing w:before="0" w:after="0" w:line="312" w:lineRule="auto"/>
            </w:pPr>
            <w:r>
              <w:rPr>
                <w:rFonts w:ascii="Calibri" w:hAnsi="Calibri" w:cs="Calibri" w:eastAsia="PingFang SC"/>
                <w:color w:val="3D3A33"/>
                <w:sz w:val="22"/>
                <w:szCs w:val="22"/>
              </w:rPr>
              <w:t xml:space="preserve">Bromocriptine</w:t>
            </w:r>
          </w:p>
        </w:tc>
        <w:tc>
          <w:tcPr>
            <w:tcW w:w="1817" w:type="dxa"/>
          </w:tcPr>
          <w:p>
            <w:pPr>
              <w:spacing w:before="0" w:after="0" w:line="312" w:lineRule="auto"/>
            </w:pPr>
            <w:r>
              <w:rPr>
                <w:rFonts w:ascii="Calibri" w:hAnsi="Calibri" w:cs="Calibri" w:eastAsia="PingFang SC"/>
                <w:color w:val="3D3A33"/>
                <w:sz w:val="22"/>
                <w:szCs w:val="22"/>
              </w:rPr>
              <w:t xml:space="preserve">Dopamine agonist</w:t>
            </w:r>
          </w:p>
        </w:tc>
        <w:tc>
          <w:tcPr>
            <w:tcW w:w="2456" w:type="dxa"/>
          </w:tcPr>
          <w:p>
            <w:pPr>
              <w:spacing w:before="0" w:after="0" w:line="312" w:lineRule="auto"/>
            </w:pPr>
            <w:r>
              <w:rPr>
                <w:rFonts w:ascii="Calibri" w:hAnsi="Calibri" w:cs="Calibri" w:eastAsia="PingFang SC"/>
                <w:color w:val="3D3A33"/>
                <w:sz w:val="22"/>
                <w:szCs w:val="22"/>
              </w:rPr>
              <w:t xml:space="preserve">NMS</w:t>
            </w:r>
          </w:p>
        </w:tc>
        <w:tc>
          <w:tcPr>
            <w:tcW w:w="1118" w:type="dxa"/>
          </w:tcPr>
          <w:p>
            <w:pPr>
              <w:spacing w:before="0" w:after="0" w:line="312" w:lineRule="auto"/>
            </w:pPr>
            <w:r>
              <w:rPr>
                <w:rFonts w:ascii="Calibri" w:hAnsi="Calibri" w:cs="Calibri" w:eastAsia="PingFang SC"/>
                <w:color w:val="3D3A33"/>
                <w:sz w:val="22"/>
                <w:szCs w:val="22"/>
              </w:rPr>
              <w:t xml:space="preserve">Not specified</w:t>
            </w:r>
          </w:p>
        </w:tc>
        <w:tc>
          <w:tcPr>
            <w:tcW w:w="2911" w:type="dxa"/>
          </w:tcPr>
          <w:p>
            <w:pPr>
              <w:spacing w:before="0" w:after="0" w:line="312" w:lineRule="auto"/>
            </w:pPr>
            <w:r>
              <w:rPr>
                <w:rFonts w:ascii="Calibri" w:hAnsi="Calibri" w:cs="Calibri" w:eastAsia="PingFang SC"/>
                <w:color w:val="3D3A33"/>
                <w:sz w:val="22"/>
                <w:szCs w:val="22"/>
              </w:rPr>
              <w:t xml:space="preserve">—</w:t>
            </w:r>
          </w:p>
        </w:tc>
      </w:tr>
    </w:tbl>
    <w:p>
      <w:pPr>
        <w:spacing w:before="0" w:after="160" w:line="312" w:lineRule="auto"/>
      </w:pPr>
      <w:r>
        <w:rPr>
          <w:rFonts w:ascii="Calibri" w:hAnsi="Calibri" w:cs="Calibri" w:eastAsia="PingFang SC"/>
          <w:color w:val="3D3A33"/>
          <w:sz w:val="22"/>
          <w:szCs w:val="22"/>
        </w:rPr>
        <w:t xml:space="preserve">Prescribing and duration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Starting</w:t>
      </w:r>
      <w:r>
        <w:rPr>
          <w:rFonts w:ascii="Calibri" w:hAnsi="Calibri" w:cs="Calibri" w:eastAsia="PingFang SC"/>
          <w:color w:val="3D3A33"/>
          <w:sz w:val="22"/>
          <w:szCs w:val="22"/>
        </w:rPr>
        <w:t xml:space="preserve">: “Start low, go slow”; many respond well below manufacturer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Timing</w:t>
      </w:r>
      <w:r>
        <w:rPr>
          <w:rFonts w:ascii="Calibri" w:hAnsi="Calibri" w:cs="Calibri" w:eastAsia="PingFang SC"/>
          <w:color w:val="3D3A33"/>
          <w:sz w:val="22"/>
          <w:szCs w:val="22"/>
        </w:rPr>
        <w:t xml:space="preserve">: At least 2–3 weeks to onset, another 2–3 to peak; adequate dose at least 4–6 weeks for best response.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Switching</w:t>
      </w:r>
      <w:r>
        <w:rPr>
          <w:rFonts w:ascii="Calibri" w:hAnsi="Calibri" w:cs="Calibri" w:eastAsia="PingFang SC"/>
          <w:color w:val="3D3A33"/>
          <w:sz w:val="22"/>
          <w:szCs w:val="22"/>
        </w:rPr>
        <w:t xml:space="preserve">: Adequate first atypical fails → another atypical (check adherence, alcohol/drugs, interactions, psychosocial stress) → if second fails consider clozapine.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After remission</w:t>
      </w:r>
      <w:r>
        <w:rPr>
          <w:rFonts w:ascii="Calibri" w:hAnsi="Calibri" w:cs="Calibri" w:eastAsia="PingFang SC"/>
          <w:color w:val="3D3A33"/>
          <w:sz w:val="22"/>
          <w:szCs w:val="22"/>
        </w:rPr>
        <w:t xml:space="preserve">: At least one year; maintenance first episode one year, second two, third/subsequent five, sometimes lifelong; taper against rebound relapse.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Depots</w:t>
      </w:r>
      <w:r>
        <w:rPr>
          <w:rFonts w:ascii="Calibri" w:hAnsi="Calibri" w:cs="Calibri" w:eastAsia="PingFang SC"/>
          <w:color w:val="3D3A33"/>
          <w:sz w:val="22"/>
          <w:szCs w:val="22"/>
        </w:rPr>
        <w:t xml:space="preserve">: When non-adherence drives relapse, monthly/fortnightly etc.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Adjuncts</w:t>
      </w:r>
      <w:r>
        <w:rPr>
          <w:rFonts w:ascii="Calibri" w:hAnsi="Calibri" w:cs="Calibri" w:eastAsia="PingFang SC"/>
          <w:color w:val="3D3A33"/>
          <w:sz w:val="22"/>
          <w:szCs w:val="22"/>
        </w:rPr>
        <w:t xml:space="preserve">: Benzodiazepines/hypnotics initially, not routinely long term.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Avoid polypharmacy</w:t>
      </w:r>
      <w:r>
        <w:rPr>
          <w:rFonts w:ascii="Calibri" w:hAnsi="Calibri" w:cs="Calibri" w:eastAsia="PingFang SC"/>
          <w:color w:val="3D3A33"/>
          <w:sz w:val="22"/>
          <w:szCs w:val="22"/>
        </w:rPr>
        <w:t xml:space="preserve">: Avoid multiple concurrent antipsychotics.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Special warning</w:t>
      </w:r>
      <w:r>
        <w:rPr>
          <w:rFonts w:ascii="Calibri" w:hAnsi="Calibri" w:cs="Calibri" w:eastAsia="PingFang SC"/>
          <w:color w:val="3D3A33"/>
          <w:sz w:val="22"/>
          <w:szCs w:val="22"/>
        </w:rPr>
        <w:t xml:space="preserve">: Catatonia increases antipsychotic NMS risk; wait until it passes.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ECT</w:t>
      </w:r>
      <w:r>
        <w:rPr>
          <w:rFonts w:ascii="Calibri" w:hAnsi="Calibri" w:cs="Calibri" w:eastAsia="PingFang SC"/>
          <w:color w:val="3D3A33"/>
          <w:sz w:val="22"/>
          <w:szCs w:val="22"/>
        </w:rPr>
        <w:t xml:space="preserve">: Sole lecture indication catatonic schizophrenia; clozapine augmentation may become an indication but evidence insufficient.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Psychosocial interventions</w:t>
      </w:r>
      <w:r>
        <w:rPr>
          <w:rFonts w:ascii="Calibri" w:hAnsi="Calibri" w:cs="Calibri" w:eastAsia="PingFang SC"/>
          <w:color w:val="3D3A33"/>
          <w:sz w:val="22"/>
          <w:szCs w:val="22"/>
        </w:rPr>
        <w:t xml:space="preserve">: Psychoeducation, CBT, family therapy/intervention, art, adherence, cognitive remediation and social skills; severe chronic illness needs long rehabilitation; recovery stresses hope, empowerment, meaning and social recovery.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Services</w:t>
      </w:r>
      <w:r>
        <w:rPr>
          <w:rFonts w:ascii="Calibri" w:hAnsi="Calibri" w:cs="Calibri" w:eastAsia="PingFang SC"/>
          <w:color w:val="3D3A33"/>
          <w:sz w:val="22"/>
          <w:szCs w:val="22"/>
        </w:rPr>
        <w:t xml:space="preserve">: Crisis/home treatment alternatives to admission; early intervention in initial years.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Monitoring</w:t>
      </w:r>
      <w:r>
        <w:rPr>
          <w:rFonts w:ascii="Calibri" w:hAnsi="Calibri" w:cs="Calibri" w:eastAsia="PingFang SC"/>
          <w:color w:val="3D3A33"/>
          <w:sz w:val="22"/>
          <w:szCs w:val="22"/>
        </w:rPr>
        <w:t xml:space="preserve">: Pretreatment routine bloods/ECG, urine drug screen if needed; repeat bloods/ECG at least every 1–2 years due to glucose/lipid/QTc risks; regular white-cell/neutrophil counts with clozapine.</w:t>
      </w:r>
    </w:p>
    <w:p>
      <w:pPr>
        <w:spacing w:before="240" w:after="80" w:line="312" w:lineRule="auto"/>
      </w:pPr>
      <w:r>
        <w:rPr>
          <w:rFonts w:ascii="Calibri" w:hAnsi="Calibri" w:cs="Calibri" w:eastAsia="PingFang SC"/>
          <w:b/>
          <w:color w:val="9E3D34"/>
          <w:sz w:val="26"/>
          <w:szCs w:val="26"/>
        </w:rPr>
        <w:t xml:space="preserve">Self-Test MCQs and Answers</w:t>
      </w:r>
    </w:p>
    <w:p>
      <w:pPr>
        <w:spacing w:before="0" w:after="160" w:line="312" w:lineRule="auto"/>
      </w:pPr>
      <w:r>
        <w:rPr>
          <w:rFonts w:ascii="Calibri" w:hAnsi="Calibri" w:cs="Calibri" w:eastAsia="PingFang SC"/>
          <w:b/>
          <w:color w:val="3D3A33"/>
          <w:sz w:val="22"/>
          <w:szCs w:val="22"/>
        </w:rPr>
        <w:t xml:space="preserve">Q1</w:t>
      </w:r>
      <w:r>
        <w:rPr>
          <w:rFonts w:ascii="Calibri" w:hAnsi="Calibri" w:cs="Calibri" w:eastAsia="PingFang SC"/>
          <w:color w:val="3D3A33"/>
          <w:sz w:val="22"/>
          <w:szCs w:val="22"/>
        </w:rPr>
        <w:t xml:space="preserve">: What suggests hebephrenic rather than paranoid schizophrenia?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Answer</w:t>
      </w:r>
      <w:r>
        <w:rPr>
          <w:rFonts w:ascii="Calibri" w:hAnsi="Calibri" w:cs="Calibri" w:eastAsia="PingFang SC"/>
          <w:color w:val="3D3A33"/>
          <w:sz w:val="22"/>
          <w:szCs w:val="22"/>
        </w:rPr>
        <w:t xml:space="preserve">: Incongruous affect.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Explanation</w:t>
      </w:r>
      <w:r>
        <w:rPr>
          <w:rFonts w:ascii="Calibri" w:hAnsi="Calibri" w:cs="Calibri" w:eastAsia="PingFang SC"/>
          <w:color w:val="3D3A33"/>
          <w:sz w:val="22"/>
          <w:szCs w:val="22"/>
        </w:rPr>
        <w:t xml:space="preserve">: Other three favour paranoid illness. Key hebephrenic features: inappropriate/incongruous affect, fragmented speech, aimless behaviour and inconspicuous delusions/hallucinations. Other options not read aloud.</w:t>
      </w:r>
    </w:p>
    <w:p>
      <w:pPr>
        <w:spacing w:before="0" w:after="160" w:line="312" w:lineRule="auto"/>
      </w:pPr>
      <w:r>
        <w:rPr>
          <w:rFonts w:ascii="Calibri" w:hAnsi="Calibri" w:cs="Calibri" w:eastAsia="PingFang SC"/>
          <w:b/>
          <w:color w:val="3D3A33"/>
          <w:sz w:val="22"/>
          <w:szCs w:val="22"/>
        </w:rPr>
        <w:t xml:space="preserve">Q2</w:t>
      </w:r>
      <w:r>
        <w:rPr>
          <w:rFonts w:ascii="Calibri" w:hAnsi="Calibri" w:cs="Calibri" w:eastAsia="PingFang SC"/>
          <w:color w:val="3D3A33"/>
          <w:sz w:val="22"/>
          <w:szCs w:val="22"/>
        </w:rPr>
        <w:t xml:space="preserve">: Which is not a characteristic clozapine adverse effect?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Answer</w:t>
      </w:r>
      <w:r>
        <w:rPr>
          <w:rFonts w:ascii="Calibri" w:hAnsi="Calibri" w:cs="Calibri" w:eastAsia="PingFang SC"/>
          <w:color w:val="3D3A33"/>
          <w:sz w:val="22"/>
          <w:szCs w:val="22"/>
        </w:rPr>
        <w:t xml:space="preserve">: Hyperprolactinaemia.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Explanation</w:t>
      </w:r>
      <w:r>
        <w:rPr>
          <w:rFonts w:ascii="Calibri" w:hAnsi="Calibri" w:cs="Calibri" w:eastAsia="PingFang SC"/>
          <w:color w:val="3D3A33"/>
          <w:sz w:val="22"/>
          <w:szCs w:val="22"/>
        </w:rPr>
        <w:t xml:space="preserve">: Clozapine does not cause it; the other three are characteristic, but their names cannot be supplied because options are not read.</w:t>
      </w:r>
    </w:p>
    <w:p>
      <w:pPr>
        <w:spacing w:before="0" w:after="160" w:line="312" w:lineRule="auto"/>
      </w:pPr>
      <w:r>
        <w:rPr>
          <w:rFonts w:ascii="Calibri" w:hAnsi="Calibri" w:cs="Calibri" w:eastAsia="PingFang SC"/>
          <w:b/>
          <w:color w:val="3D3A33"/>
          <w:sz w:val="22"/>
          <w:szCs w:val="22"/>
        </w:rPr>
        <w:t xml:space="preserve">Q3</w:t>
      </w:r>
      <w:r>
        <w:rPr>
          <w:rFonts w:ascii="Calibri" w:hAnsi="Calibri" w:cs="Calibri" w:eastAsia="PingFang SC"/>
          <w:color w:val="3D3A33"/>
          <w:sz w:val="22"/>
          <w:szCs w:val="22"/>
        </w:rPr>
        <w:t xml:space="preserve">: Which statement about schizophrenia genetics is correct?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Answer</w:t>
      </w:r>
      <w:r>
        <w:rPr>
          <w:rFonts w:ascii="Calibri" w:hAnsi="Calibri" w:cs="Calibri" w:eastAsia="PingFang SC"/>
          <w:color w:val="3D3A33"/>
          <w:sz w:val="22"/>
          <w:szCs w:val="22"/>
        </w:rPr>
        <w:t xml:space="preserve">: Option two—polygenic, involving many genes of individually small effect.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Explanation</w:t>
      </w:r>
      <w:r>
        <w:rPr>
          <w:rFonts w:ascii="Calibri" w:hAnsi="Calibri" w:cs="Calibri" w:eastAsia="PingFang SC"/>
          <w:color w:val="3D3A33"/>
          <w:sz w:val="22"/>
          <w:szCs w:val="22"/>
        </w:rPr>
        <w:t xml:space="preserve">: One is false because genetics matters substantially; three false because 22q11.2 deletion accounts for only 1%. First-degree risk is actually tenfold: population 1%, relatives 10%. Original options unread.</w:t>
      </w:r>
    </w:p>
    <w:p>
      <w:pPr>
        <w:spacing w:before="0" w:after="160" w:line="312" w:lineRule="auto"/>
      </w:pPr>
      <w:r>
        <w:rPr>
          <w:rFonts w:ascii="Calibri" w:hAnsi="Calibri" w:cs="Calibri" w:eastAsia="PingFang SC"/>
          <w:b/>
          <w:color w:val="3D3A33"/>
          <w:sz w:val="22"/>
          <w:szCs w:val="22"/>
        </w:rPr>
        <w:t xml:space="preserve">Q4</w:t>
      </w:r>
      <w:r>
        <w:rPr>
          <w:rFonts w:ascii="Calibri" w:hAnsi="Calibri" w:cs="Calibri" w:eastAsia="PingFang SC"/>
          <w:color w:val="3D3A33"/>
          <w:sz w:val="22"/>
          <w:szCs w:val="22"/>
        </w:rPr>
        <w:t xml:space="preserve">: Which is not a poor prognostic factor?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Answer</w:t>
      </w:r>
      <w:r>
        <w:rPr>
          <w:rFonts w:ascii="Calibri" w:hAnsi="Calibri" w:cs="Calibri" w:eastAsia="PingFang SC"/>
          <w:color w:val="3D3A33"/>
          <w:sz w:val="22"/>
          <w:szCs w:val="22"/>
        </w:rPr>
        <w:t xml:space="preserve">: Acute onset—a good factor.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Explanation</w:t>
      </w:r>
      <w:r>
        <w:rPr>
          <w:rFonts w:ascii="Calibri" w:hAnsi="Calibri" w:cs="Calibri" w:eastAsia="PingFang SC"/>
          <w:color w:val="3D3A33"/>
          <w:sz w:val="22"/>
          <w:szCs w:val="22"/>
        </w:rPr>
        <w:t xml:space="preserve">: Other three are poor factors, options unread. Lecture list includes early/insidious onset, long untreated psychosis, prominent negatives, premorbid personality difficulties, substance misuse and high expressed emotion.</w:t>
      </w:r>
    </w:p>
    <w:p>
      <w:pPr>
        <w:spacing w:before="0" w:after="160" w:line="312" w:lineRule="auto"/>
      </w:pPr>
      <w:r>
        <w:rPr>
          <w:rFonts w:ascii="Calibri" w:hAnsi="Calibri" w:cs="Calibri" w:eastAsia="PingFang SC"/>
          <w:b/>
          <w:color w:val="3D3A33"/>
          <w:sz w:val="22"/>
          <w:szCs w:val="22"/>
        </w:rPr>
        <w:t xml:space="preserve">Q5</w:t>
      </w:r>
      <w:r>
        <w:rPr>
          <w:rFonts w:ascii="Calibri" w:hAnsi="Calibri" w:cs="Calibri" w:eastAsia="PingFang SC"/>
          <w:color w:val="3D3A33"/>
          <w:sz w:val="22"/>
          <w:szCs w:val="22"/>
        </w:rPr>
        <w:t xml:space="preserve">: Which atypical does not primarily act by D2 antagonism: aripiprazole, olanzapine, quetiapine or risperidone?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Answer</w:t>
      </w:r>
      <w:r>
        <w:rPr>
          <w:rFonts w:ascii="Calibri" w:hAnsi="Calibri" w:cs="Calibri" w:eastAsia="PingFang SC"/>
          <w:color w:val="3D3A33"/>
          <w:sz w:val="22"/>
          <w:szCs w:val="22"/>
        </w:rPr>
        <w:t xml:space="preserve">: Aripiprazole.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Explanation</w:t>
      </w:r>
      <w:r>
        <w:rPr>
          <w:rFonts w:ascii="Calibri" w:hAnsi="Calibri" w:cs="Calibri" w:eastAsia="PingFang SC"/>
          <w:color w:val="3D3A33"/>
          <w:sz w:val="22"/>
          <w:szCs w:val="22"/>
        </w:rPr>
        <w:t xml:space="preserve">: A partial D2 agonist; the other three antagonists. Transcript "alanzipene" restored contextually to olanzapine, explicitly a recognition correction, not transcript wording.</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word schizophrenia is derived from Greek and it literally means split mind. However, it is important to realize that schizophrenia is different from multiple personality disorder which is a dissociative identity disorder."</w:t>
      </w:r>
    </w:p>
    <w:p>
      <w:pPr>
        <w:spacing w:before="0" w:after="160" w:line="312" w:lineRule="auto"/>
      </w:pPr>
      <w:r>
        <w:rPr>
          <w:rFonts w:ascii="Calibri" w:hAnsi="Calibri" w:cs="Calibri" w:eastAsia="PingFang SC"/>
          <w:color w:val="3D3A33"/>
          <w:sz w:val="22"/>
          <w:szCs w:val="22"/>
        </w:rPr>
        <w:t xml:space="preserve">“Schizophrenia is Greek for ‘split mind,’ but differs from multiple personality/dissociative identity disorder.”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"They are no longer considered diagnostic of schizophrenia as they can occur in psychotic conditions other than schizophrenia also. But the presence of these symptoms strongly suggests a diagnosis of schizophrenia."</w:t>
      </w:r>
    </w:p>
    <w:p>
      <w:pPr>
        <w:spacing w:before="0" w:after="160" w:line="312" w:lineRule="auto"/>
      </w:pPr>
      <w:r>
        <w:rPr>
          <w:rFonts w:ascii="Calibri" w:hAnsi="Calibri" w:cs="Calibri" w:eastAsia="PingFang SC"/>
          <w:color w:val="3D3A33"/>
          <w:sz w:val="22"/>
          <w:szCs w:val="22"/>
        </w:rPr>
        <w:t xml:space="preserve">“First-rank symptoms are no longer diagnostic since other psychoses have them, but their presence strongly suggests schizophrenia.”</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is likely that genetic risk is neither necessary nor sufficient for schizophrenia."</w:t>
      </w:r>
    </w:p>
    <w:p>
      <w:pPr>
        <w:spacing w:before="0" w:after="160" w:line="312" w:lineRule="auto"/>
      </w:pPr>
      <w:r>
        <w:rPr>
          <w:rFonts w:ascii="Calibri" w:hAnsi="Calibri" w:cs="Calibri" w:eastAsia="PingFang SC"/>
          <w:color w:val="3D3A33"/>
          <w:sz w:val="22"/>
          <w:szCs w:val="22"/>
        </w:rPr>
        <w:t xml:space="preserve">“Genetic risk is probably neither necessary nor sufficient.”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start low and go slow."</w:t>
      </w:r>
    </w:p>
    <w:p>
      <w:pPr>
        <w:spacing w:before="0" w:after="160" w:line="312" w:lineRule="auto"/>
      </w:pPr>
      <w:r>
        <w:rPr>
          <w:rFonts w:ascii="Calibri" w:hAnsi="Calibri" w:cs="Calibri" w:eastAsia="PingFang SC"/>
          <w:color w:val="3D3A33"/>
          <w:sz w:val="22"/>
          <w:szCs w:val="22"/>
        </w:rPr>
        <w:t xml:space="preserve">“Start at a low dose and increase slowly.”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"Patients are more likely to be victims of violence rather than being perpetrators of violence."</w:t>
      </w:r>
    </w:p>
    <w:p>
      <w:pPr>
        <w:spacing w:before="0" w:after="160" w:line="312" w:lineRule="auto"/>
      </w:pPr>
      <w:r>
        <w:rPr>
          <w:rFonts w:ascii="Calibri" w:hAnsi="Calibri" w:cs="Calibri" w:eastAsia="PingFang SC"/>
          <w:color w:val="3D3A33"/>
          <w:sz w:val="22"/>
          <w:szCs w:val="22"/>
        </w:rPr>
        <w:t xml:space="preserve">“Patients are more likely victims than perpetrators of violence.”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"Overall, cardiovascular causes are the single biggest contributor to the increased mortality that is seen in patients with schizophrenia."</w:t>
      </w:r>
    </w:p>
    <w:p>
      <w:pPr>
        <w:spacing w:before="0" w:after="160" w:line="312" w:lineRule="auto"/>
      </w:pPr>
      <w:r>
        <w:rPr>
          <w:rFonts w:ascii="Calibri" w:hAnsi="Calibri" w:cs="Calibri" w:eastAsia="PingFang SC"/>
          <w:color w:val="3D3A33"/>
          <w:sz w:val="22"/>
          <w:szCs w:val="22"/>
        </w:rPr>
        <w:t xml:space="preserve">“Cardiovascular causes are the largest single contributor to excess schizophrenia mortality.”</w:t>
      </w:r>
    </w:p>
    <w:p>
      <w:pPr>
        <w:spacing w:before="240" w:after="80" w:line="312" w:lineRule="auto"/>
      </w:pPr>
      <w:r>
        <w:rPr>
          <w:rFonts w:ascii="Calibri" w:hAnsi="Calibri" w:cs="Calibri" w:eastAsia="PingFang SC"/>
          <w:b/>
          <w:color w:val="9E3D34"/>
          <w:sz w:val="26"/>
          <w:szCs w:val="26"/>
        </w:rPr>
        <w:t xml:space="preserve">Commonly Confused Concepts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Schizophrenia vs multiple personality/dissociative identity disorder</w:t>
      </w:r>
      <w:r>
        <w:rPr>
          <w:rFonts w:ascii="Calibri" w:hAnsi="Calibri" w:cs="Calibri" w:eastAsia="PingFang SC"/>
          <w:color w:val="3D3A33"/>
          <w:sz w:val="22"/>
          <w:szCs w:val="22"/>
        </w:rPr>
        <w:t xml:space="preserve">: “Split mind” means divided mental functions, not personality division. Patients/families often confuse them; clarify the name first.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ARMS vs prodrome</w:t>
      </w:r>
      <w:r>
        <w:rPr>
          <w:rFonts w:ascii="Calibri" w:hAnsi="Calibri" w:cs="Calibri" w:eastAsia="PingFang SC"/>
          <w:color w:val="3D3A33"/>
          <w:sz w:val="22"/>
          <w:szCs w:val="22"/>
        </w:rPr>
        <w:t xml:space="preserve">: ARMS looks forward, identifies then follows, with only one-third converting; prodrome looks back from diagnosed psychosis to subtle changes, not present in everyone. Mnemonic: ARMS forward, prodrome backward.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Positive vs negative</w:t>
      </w:r>
      <w:r>
        <w:rPr>
          <w:rFonts w:ascii="Calibri" w:hAnsi="Calibri" w:cs="Calibri" w:eastAsia="PingFang SC"/>
          <w:color w:val="3D3A33"/>
          <w:sz w:val="22"/>
          <w:szCs w:val="22"/>
        </w:rPr>
        <w:t xml:space="preserve">: Positives (hallucinations/delusions/thought disorder) acute, medication-responsive, dominate early disability; negatives (low motivation/speech/self-care) chronic, poorly responsive, dominate chronic disability.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ICD-10 minimum subtype durations</w:t>
      </w:r>
      <w:r>
        <w:rPr>
          <w:rFonts w:ascii="Calibri" w:hAnsi="Calibri" w:cs="Calibri" w:eastAsia="PingFang SC"/>
          <w:color w:val="3D3A33"/>
          <w:sz w:val="22"/>
          <w:szCs w:val="22"/>
        </w:rPr>
        <w:t xml:space="preserve">: Paranoid/hebephrenic one month, catatonic two weeks, simple one year. The more diagnosis depends on absent positives, the longer observation; one year for simple excludes personality change/functional decline.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Acute EPS vs tardive dyskinesia</w:t>
      </w:r>
      <w:r>
        <w:rPr>
          <w:rFonts w:ascii="Calibri" w:hAnsi="Calibri" w:cs="Calibri" w:eastAsia="PingFang SC"/>
          <w:color w:val="3D3A33"/>
          <w:sz w:val="22"/>
          <w:szCs w:val="22"/>
        </w:rPr>
        <w:t xml:space="preserve">: Lecture describes dystonia/akathisia as anticholinergic-responsive; tardive orofacial movements reflect receptor supersensitivity and worsen with anticholinergics, which must be avoided.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Typical vs atypical</w:t>
      </w:r>
      <w:r>
        <w:rPr>
          <w:rFonts w:ascii="Calibri" w:hAnsi="Calibri" w:cs="Calibri" w:eastAsia="PingFang SC"/>
          <w:color w:val="3D3A33"/>
          <w:sz w:val="22"/>
          <w:szCs w:val="22"/>
        </w:rPr>
        <w:t xml:space="preserve">: Similar efficacy, differing adverse effects—EPS/NMS commoner with non-selective older drugs, metabolic effects with some newer ones such as clozapine. Start new patients atypical, but do not switch effective well-tolerated longstanding older treatment unnecessarily.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Identical twins 50%, first-degree relatives 10%, population 1%</w:t>
      </w:r>
      <w:r>
        <w:rPr>
          <w:rFonts w:ascii="Calibri" w:hAnsi="Calibri" w:cs="Calibri" w:eastAsia="PingFang SC"/>
          <w:color w:val="3D3A33"/>
          <w:sz w:val="22"/>
          <w:szCs w:val="22"/>
        </w:rPr>
        <w:t xml:space="preserve">: Know all three; 50% shows genetics matters but is insufficient, since a genetically identical twin can remain well.</w:t>
      </w:r>
    </w:p>
    <w:p>
      <w:pPr>
        <w:spacing w:before="240" w:after="80" w:line="312" w:lineRule="auto"/>
      </w:pPr>
      <w:r>
        <w:rPr>
          <w:rFonts w:ascii="Calibri" w:hAnsi="Calibri" w:cs="Calibri" w:eastAsia="PingFang SC"/>
          <w:b/>
          <w:color w:val="9E3D34"/>
          <w:sz w:val="26"/>
          <w:szCs w:val="26"/>
        </w:rPr>
        <w:t xml:space="preserve">Clinical Application / Memory Anchors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treatment steps</w:t>
      </w:r>
      <w:r>
        <w:rPr>
          <w:rFonts w:ascii="Calibri" w:hAnsi="Calibri" w:cs="Calibri" w:eastAsia="PingFang SC"/>
          <w:color w:val="3D3A33"/>
          <w:sz w:val="22"/>
          <w:szCs w:val="22"/>
        </w:rPr>
        <w:t xml:space="preserve">: “Start low, go slow → adequate dose 4–6 weeks → at least one year after remission”; remember “2–3 weeks to onset, another 2–3 to peak.”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Maintenance ladder</w:t>
      </w:r>
      <w:r>
        <w:rPr>
          <w:rFonts w:ascii="Calibri" w:hAnsi="Calibri" w:cs="Calibri" w:eastAsia="PingFang SC"/>
          <w:color w:val="3D3A33"/>
          <w:sz w:val="22"/>
          <w:szCs w:val="22"/>
        </w:rPr>
        <w:t xml:space="preserve">: First episode one year, second two, third/subsequent five, sometimes lifelong; taper against rebound.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Resistance and solution</w:t>
      </w:r>
      <w:r>
        <w:rPr>
          <w:rFonts w:ascii="Calibri" w:hAnsi="Calibri" w:cs="Calibri" w:eastAsia="PingFang SC"/>
          <w:color w:val="3D3A33"/>
          <w:sz w:val="22"/>
          <w:szCs w:val="22"/>
        </w:rPr>
        <w:t xml:space="preserve">: Two adequate trials fail (20–30%) → clozapine → remember 1% agranulocytosis, regular white-cell/neutrophil counts and anti-suicide effects.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Investigations</w:t>
      </w:r>
      <w:r>
        <w:rPr>
          <w:rFonts w:ascii="Calibri" w:hAnsi="Calibri" w:cs="Calibri" w:eastAsia="PingFang SC"/>
          <w:color w:val="3D3A33"/>
          <w:sz w:val="22"/>
          <w:szCs w:val="22"/>
        </w:rPr>
        <w:t xml:space="preserve">: Functional psychosis needs no CT/MRI, EEG or neuropsychology unless indicated; pretreatment bloods + ECG + urine screen if needed; bloods/ECG at least every 1–2 years.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Catatonia/antipsychotic boundary</w:t>
      </w:r>
      <w:r>
        <w:rPr>
          <w:rFonts w:ascii="Calibri" w:hAnsi="Calibri" w:cs="Calibri" w:eastAsia="PingFang SC"/>
          <w:color w:val="3D3A33"/>
          <w:sz w:val="22"/>
          <w:szCs w:val="22"/>
        </w:rPr>
        <w:t xml:space="preserve">: High NMS risk (fever, rigidity, autonomic instability, clouded consciousness, raised CPK/neutrophils); wait until catatonia passes. Catatonic schizophrenia is the lecture's sole ECT indication.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Prognosis/mortality</w:t>
      </w:r>
      <w:r>
        <w:rPr>
          <w:rFonts w:ascii="Calibri" w:hAnsi="Calibri" w:cs="Calibri" w:eastAsia="PingFang SC"/>
          <w:color w:val="3D3A33"/>
          <w:sz w:val="22"/>
          <w:szCs w:val="22"/>
        </w:rPr>
        <w:t xml:space="preserve">: Thirds refined to quarters (25% recovered/25% independent/25% substantial support/25% no improvement). Reduced life expectancy, suicide 10%, but cardiovascular disease the largest single mortality contributor—glucose, lipids and weight monitoring are themselves treatment.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 risk-communication sentences</w:t>
      </w:r>
      <w:r>
        <w:rPr>
          <w:rFonts w:ascii="Calibri" w:hAnsi="Calibri" w:cs="Calibri" w:eastAsia="PingFang SC"/>
          <w:color w:val="3D3A33"/>
          <w:sz w:val="22"/>
          <w:szCs w:val="22"/>
        </w:rPr>
        <w:t xml:space="preserve">: Patients are more often violence victims than perpetrators; nevertheless command voices and control delusions require immediate risk assessment.</w:t>
      </w:r>
    </w:p>
    <w:p>
      <w:pPr>
        <w:spacing w:before="0" w:after="160" w:line="312" w:lineRule="auto"/>
      </w:pPr>
      <w:r>
        <w:rPr>
          <w:rFonts w:ascii="Calibri" w:hAnsi="Calibri" w:cs="Calibri" w:eastAsia="PingFang SC"/>
          <w:color w:val="3D3A33"/>
          <w:sz w:val="22"/>
          <w:szCs w:val="22"/>
        </w:rPr>
        <w:t xml:space="preserve">&lt;!-- END OF NOTE --&gt;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