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07-Dementia</w:t>
      </w:r>
    </w:p>
    <w:p>
      <w:pPr>
        <w:spacing w:before="240" w:after="80" w:line="312" w:lineRule="auto"/>
      </w:pPr>
      <w:r>
        <w:rPr>
          <w:rFonts w:ascii="Calibri" w:hAnsi="Calibri" w:cs="Calibri" w:eastAsia="PingFang SC"/>
          <w:b/>
          <w:color w:val="33302A"/>
          <w:sz w:val="32"/>
          <w:szCs w:val="32"/>
        </w:rPr>
        <w:t xml:space="preserve">Dementia: A Close Clinical Reading, from Definition to the Five Main Types</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Diagnose dementia by placing progressive decline in “memory + other cognitive abilities + emotional control + social behavior” within four requirements—clear consciousness, at least six months' duration, corroboration by an informant, and definite decline from previous functioning—then distinguish Alzheimer's disease, vascular dementia, frontotemporal dementia, and dementia with Lewy bodies using onset age, deterioration pattern, accompanying symptoms, and imaging/pathology. The lecture's most practical message is: cognitive impairment is usually irreversible, but BPSD is treatable.</w:t>
      </w:r>
    </w:p>
    <w:p>
      <w:pPr>
        <w:spacing w:before="240" w:after="80" w:line="312" w:lineRule="auto"/>
      </w:pPr>
      <w:r>
        <w:rPr>
          <w:rFonts w:ascii="Calibri" w:hAnsi="Calibri" w:cs="Calibri" w:eastAsia="PingFang SC"/>
          <w:b/>
          <w:color w:val="9E3D34"/>
          <w:sz w:val="26"/>
          <w:szCs w:val="26"/>
        </w:rPr>
        <w:t xml:space="preserve">Key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diagnostic framework is “four areas of decline + three duration/consciousness requirements”: memory, other cognitive abilities, emotional control, and social behavior decline together or successively. Symptoms must be consistently present for at least six months; diagnosis must be made in clear consciousness, not during delirium or clouding; and collateral information from relatives or caregivers must confirm deterioration from a previous higher level of functioning.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defines dementia as irreversible, but a small proportion of reversible conditions mimic dementia and must first be excluded. Severe depression causes depressive pseudodementia, in which effective treatment of depression reverses cognitive impairment; nevertheless, a history of depression itself is a risk factor for later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BPSD (behavioral and psychological symptoms of dementia) affects up to 90% of patients at some stage, causing considerable distress to patients and caregivers. Unlike usually irreversible cognitive impairment, BPSD can be treated effectively, making it a particularly rewarding treatment target throughout the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Alzheimer's disease (AD) accounts for approximately two-thirds of dementia. Western studies cited in the lecture suggest prevalence of about 5% above 65 and 25% above 85. Family history and female sex increase risk. The lecture states that definitive diagnosis requires post-mortem neuropathology, although thorough assessment permits a fairly confident clinical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Remember AD genetics on two levels: late-onset (&gt;65, over 95% of cases) is associated with APOE ε4; heterozygosity doubles risk and homozygosity increases it fivefold. Carriage is highest in Northern Europe and lowest in Asia; the allele accounts for about 25% of AD risk but is neither necessary nor sufficient. Early-onset (≤65) is associated with autosomal dominant mutations in APP, presenilin 1, and presenilin 2. Hundreds have been identified; all increase amyloid beta production and extracellular amyloid deposition.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Vascular dementia is the second most common type and the one explicitly described as potentially preventable. Stroke and transient ischemic attacks (TIAs) are major risk factors. Deterioration is stepwise, dropping after each TIA or vascular insult, unlike AD's gradual decline. Typical MRI findings are white matter hyperintensities.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Frontotemporal dementia (FTD) is the second most common dementia below 65. Its behavioral variant accounts for 60%, predominantly affecting frontal lobes and causing changes in personality, executive functioning, and emotional control. The lecture reports no licensed treatment and usual survival of six to eight years after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Diagnostic clues to dementia with Lewy bodies (DLB) are fluctuating cognition, recurrent vivid visual hallucinations early in the illness, and parkinsonian features, with REM sleep behavior disorder, severe neuroleptic sensitivity, repeated falls or syncope, and autonomic symptoms. Family history is not important; medial temporal atrophy is not prominent. A DAT scan, a form of SPECT showing impaired dopamine transporter/nigrostriatal pathway function, supports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medication framework is clear: first-line AD drugs are cholinesterase inhibitors (donepezil, rivastigmine, galantamine), licensed for mild-to-moderate AD; memantine is an NMDA receptor antagonist described as licensed only for severe AD. Antipsychotics require caution because of increased cerebrovascular events and mortality. Anticholinergics and tricyclic antidepressants should be avoided because they worsen cognition and precipitate confusion.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Mild cognitive impairment (MCI) is intermediate between normal aging and dementia, affecting about 20% around age 65; more than one-third progress to dementia within three years. MCI may be more common in men, whereas dementia overall is more common in women.</w:t>
      </w:r>
    </w:p>
    <w:p>
      <w:pPr>
        <w:spacing w:before="240" w:after="80" w:line="312" w:lineRule="auto"/>
      </w:pPr>
      <w:r>
        <w:rPr>
          <w:rFonts w:ascii="Calibri" w:hAnsi="Calibri" w:cs="Calibri" w:eastAsia="PingFang SC"/>
          <w:b/>
          <w:color w:val="9E3D34"/>
          <w:sz w:val="26"/>
          <w:szCs w:val="26"/>
        </w:rPr>
        <w:t xml:space="preserve">Detailed Notes</w:t>
      </w:r>
    </w:p>
    <w:p>
      <w:pPr>
        <w:spacing w:before="240" w:after="80" w:line="312" w:lineRule="auto"/>
      </w:pPr>
      <w:r>
        <w:rPr>
          <w:rFonts w:ascii="Calibri" w:hAnsi="Calibri" w:cs="Calibri" w:eastAsia="PingFang SC"/>
          <w:b/>
          <w:color w:val="175244"/>
          <w:sz w:val="22"/>
          <w:szCs w:val="22"/>
        </w:rPr>
        <w:t xml:space="preserve">Introduction and Lecturer Background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follows this sequence: definition of dementia, clinical features, behavioral and psychological symptoms (BPSD), different types, then key features of Alzheimer's disease, vascular dementia, frontotemporal dementia, dementia with Lewy bodies, and mild cognitive impairment (MCI), ending with five self-assessment MCQs.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 is a consultant psychiatrist in Chennai, southern India, who worked in the UK for many years. The diagnostic framework, scales, and statements about licensed medication therefore follow British clinical psychiatry practice.</w:t>
      </w:r>
    </w:p>
    <w:p>
      <w:pPr>
        <w:spacing w:before="240" w:after="80" w:line="312" w:lineRule="auto"/>
      </w:pPr>
      <w:r>
        <w:rPr>
          <w:rFonts w:ascii="Calibri" w:hAnsi="Calibri" w:cs="Calibri" w:eastAsia="PingFang SC"/>
          <w:b/>
          <w:color w:val="175244"/>
          <w:sz w:val="22"/>
          <w:szCs w:val="22"/>
        </w:rPr>
        <w:t xml:space="preserve">1.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Dementia is an umbrella term for heterogeneous neurodegenerative disorders, typically presenting with four areas of decline: memory, other cognitive abilities, emotional control, and social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duration requirement is “symptoms consistently present for at least six months.” This distinguishes dementia from acutely presenting delirium and transient cognitive fluctuations.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consciousness requirement is “do not diagnose dementia when the patient is confused or delirious”: assessment must occur in clear consciousness. This corresponds to the later dementia-versus-delirium comparison.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History-taking must include collateral information from relatives or caregivers and establish deterioration from a previous higher level of functioning. Without the longitudinal comparison of being “worse than before,” diagnosis cannot be made.</w:t>
      </w:r>
    </w:p>
    <w:p>
      <w:pPr>
        <w:spacing w:before="240" w:after="80" w:line="312" w:lineRule="auto"/>
      </w:pPr>
      <w:r>
        <w:rPr>
          <w:rFonts w:ascii="Calibri" w:hAnsi="Calibri" w:cs="Calibri" w:eastAsia="PingFang SC"/>
          <w:b/>
          <w:color w:val="175244"/>
          <w:sz w:val="22"/>
          <w:szCs w:val="22"/>
        </w:rPr>
        <w:t xml:space="preserve">2. Description of Clinical Features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Memory decline is progressive: new learning is affected first; subsequently even previously learned information cannot be recalled. In advanced stages patients cannot recognize close relatives such as children or a spouse; in the final stages they may not even say who they themselves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cognitive abilities also decline progressively: first, relatively complicated tasks previously manageable become impossible; later, even simple tasks require assistance; eventually no cognitive activity can be performed even with assistance.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Dementia is described as irreversible by definition. However, a small proportion of reversible conditions mimic its symptoms and must be excluded before diagnosis. The slide's list of reversible causes was not read aloud, so the transcript contains no specific items.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Severe depression can mimic dementia, termed depressive pseudodementia: effective depression treatment reverses cognitive impairment. Remember the converse as well—a history of depression increases the risk of future dementia.</w:t>
      </w:r>
    </w:p>
    <w:p>
      <w:pPr>
        <w:spacing w:before="240" w:after="80" w:line="312" w:lineRule="auto"/>
      </w:pPr>
      <w:r>
        <w:rPr>
          <w:rFonts w:ascii="Calibri" w:hAnsi="Calibri" w:cs="Calibri" w:eastAsia="PingFang SC"/>
          <w:b/>
          <w:color w:val="175244"/>
          <w:sz w:val="22"/>
          <w:szCs w:val="22"/>
        </w:rPr>
        <w:t xml:space="preserve">3. Behavioral and Psychological Symptoms of Dementia (BPSD)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BPSD stands for behavioral and psychological symptoms of dementia, occurring in up to 90% of patients at some point in the illness, in AD and other dementia types alike.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BPSD causes considerable distress to patients and caregivers and is a major source of caregiving burden.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clinical contrast: cognitive impairment is usually irreversible, but BPSD is effectively treatable, directly improving quality of life for patients and caregivers.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Slides separately list common behavioral and psychological symptoms, but neither list was read aloud. The transcript contains no specific items, so they cannot be reconstructed individually here.</w:t>
      </w:r>
    </w:p>
    <w:p>
      <w:pPr>
        <w:spacing w:before="240" w:after="80" w:line="312" w:lineRule="auto"/>
      </w:pPr>
      <w:r>
        <w:rPr>
          <w:rFonts w:ascii="Calibri" w:hAnsi="Calibri" w:cs="Calibri" w:eastAsia="PingFang SC"/>
          <w:b/>
          <w:color w:val="175244"/>
          <w:sz w:val="22"/>
          <w:szCs w:val="22"/>
        </w:rPr>
        <w:t xml:space="preserve">4. Types of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Alzheimer's dementia (AD) is most common, accounting for about two-thirds of all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followed by vascular dementia, dementia with Lewy bodies, and frontotemporal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Dementia can also occur in other disorders; those named are Parkinson's disease, HIV/AIDS, Huntington's disease, and Creutzfeldt–Jakob disease (CJD).</w:t>
      </w:r>
    </w:p>
    <w:p>
      <w:pPr>
        <w:spacing w:before="240" w:after="80" w:line="312" w:lineRule="auto"/>
      </w:pPr>
      <w:r>
        <w:rPr>
          <w:rFonts w:ascii="Calibri" w:hAnsi="Calibri" w:cs="Calibri" w:eastAsia="PingFang SC"/>
          <w:b/>
          <w:color w:val="175244"/>
          <w:sz w:val="22"/>
          <w:szCs w:val="22"/>
        </w:rPr>
        <w:t xml:space="preserve">5. Alzheimer's Disease</w:t>
      </w:r>
    </w:p>
    <w:p>
      <w:pPr>
        <w:spacing w:before="0" w:after="160" w:line="312" w:lineRule="auto"/>
      </w:pPr>
      <w:r>
        <w:rPr>
          <w:rFonts w:ascii="Calibri" w:hAnsi="Calibri" w:cs="Calibri" w:eastAsia="PingFang SC"/>
          <w:color w:val="3D3A33"/>
          <w:sz w:val="22"/>
          <w:szCs w:val="22"/>
        </w:rPr>
        <w:t xml:space="preserve">5.1 Epidemiology and Subtypes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 incidence increases with age. Epidemiological studies in Western countries suggest prevalence of approximately 5% around age 65 and 25% around age 85.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 is higher with an AD family history and in women (contrast vascular dementia, which is more common in 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According to the lecture, definitive AD diagnosis can only be made from post-mortem neuropathological findings, but thorough assessment and investigation permit a “fairly confident clinical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 is divided into late- and early-onset types at age 65. Late-onset accounts for more than 95% of cases; early-onset is more severe and more rapidly progressive.</w:t>
      </w:r>
    </w:p>
    <w:p>
      <w:pPr>
        <w:spacing w:before="0" w:after="160" w:line="312" w:lineRule="auto"/>
      </w:pPr>
      <w:r>
        <w:rPr>
          <w:rFonts w:ascii="Calibri" w:hAnsi="Calibri" w:cs="Calibri" w:eastAsia="PingFang SC"/>
          <w:color w:val="3D3A33"/>
          <w:sz w:val="22"/>
          <w:szCs w:val="22"/>
        </w:rPr>
        <w:t xml:space="preserve">5.2 Genetics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Genetic factors matter in both early- and late-onset AD, with increased risk in those with a family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Late-onset inheritance is not typically dominant or recessive Mendelian inheritance. The gene consistently implicated in the lecture is APOE ε4, the apolipoprotein E ε4 allele.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APOE ε4 is more prevalent in AD patients, but carriage differs internationally: highest in Northern Europe, lowest in Asia. It accounts for about 25% of AD risk. A single ε4 allele (heterozygosity) doubles risk; two (homozygosity) increase it fivefold.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APOE ε4 is neither necessary nor sufficient for AD and cannot be used as a diagnostic basis.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genes are implicated in early-onset AD: APP (amyloid precursor protein), presenilin 1, and presenilin 2. Their mutations are inherited in an autosomal dominant manner, with hundreds identified.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mutations increase amyloid beta production, causing extracellular amyloid deposition.</w:t>
      </w:r>
    </w:p>
    <w:p>
      <w:pPr>
        <w:spacing w:before="0" w:after="160" w:line="312" w:lineRule="auto"/>
      </w:pPr>
      <w:r>
        <w:rPr>
          <w:rFonts w:ascii="Calibri" w:hAnsi="Calibri" w:cs="Calibri" w:eastAsia="PingFang SC"/>
          <w:color w:val="3D3A33"/>
          <w:sz w:val="22"/>
          <w:szCs w:val="22"/>
        </w:rPr>
        <w:t xml:space="preserve">5.3 Neuropathology and Down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 neuropathology includes extracellular amyloid plaques, deposits of amyloid beta peptide; intracellular neurofibrillary tangles, deposits of hyperphosphorylated tau protein; nonspecific changes from oxidative stress and inflammation; and widespread neuronal and synaptic loss.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diagram compares a normal neuron with an AD neuron on the right, showing extracellular plaques and intracellular tangles. Another histopathology slide shows the same plaque and tangle changes.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Down syndrome has a significant association with AD. It results from trisomy 21: three rather than two copies of chromosome 21.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APP gene is on chromosome 21, so the extra chromosome produces more amyloid precursor protein. Almost all patients with Down syndrome show amyloid plaques and neurofibrillary tangles by age 40.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Clinical dementia may take several additional years to appear. As improved management of physical complications extends life expectancy in Down syndrome, associated AD is increasingly likely to manifest. The slide shows a spectral karyotype with three copies of chromosome 21.</w:t>
      </w:r>
    </w:p>
    <w:p>
      <w:pPr>
        <w:spacing w:before="0" w:after="160" w:line="312" w:lineRule="auto"/>
      </w:pPr>
      <w:r>
        <w:rPr>
          <w:rFonts w:ascii="Calibri" w:hAnsi="Calibri" w:cs="Calibri" w:eastAsia="PingFang SC"/>
          <w:color w:val="3D3A33"/>
          <w:sz w:val="22"/>
          <w:szCs w:val="22"/>
        </w:rPr>
        <w:t xml:space="preserve">5.4 Cognitive Assessment, Laboratory Tests, and Imaging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 assessment is extremely important. The most commonly used test is the Mini-Mental State Examination (MMSE), assessing multiple cognitive domains out of 30 points. Two other commonly used tests appear on the slide but were not named in the spoken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slide shows all MMSE items for viewers to pause and read. Studies use different severity grading criteria; one example appears on the slide, but score ranges were not read aloud.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MMSE scores decline by an average of three to four points annually, with substantial individual variation: some patients deteriorate faster and others much more slowly.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Slides list key dementia-versus-delirium distinctions and usual first-line blood tests for initial dementia assessment. Neither slide's individual entries were read aloud.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Imaging is important, and most patients require CT or MRI. The main AD findings are generalized cortical atrophy and ventricular enlargement.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Imaging can identify potentially treatable causes; three are named: normal pressure hydrocephalus, subdural hematoma, and tumors. MRI has better resolution than CT and detects subcortical vascular changes better.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 neuroimaging such as SPECT and PET may help selected cases but is described in the lecture as still mainly restricted to research settings. Two recent developments are mentioned: PET using Pittsburgh compound B, which concentrates in amyloid deposits and is useful in AD; and DAT scanning, a type of SPECT used in Parkinson's disease and suspected DLB, assessing dopamine transporter function and nigrostriatal pathway integrity.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Image comparisons: an AD MRI shows marked cortical atrophy and ventricular enlargement compared with an age-matched healthy control. Three successive MRIs of the same patient magnify the hippocampus, a structure crucial to memory, showing progressive atrophy over the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 on PET represents high metabolic activity. The normal brain has more red regions; early AD has fewer; advanced AD, shown at the far right, has hardly any areas of high metabolic activity.</w:t>
      </w:r>
    </w:p>
    <w:p>
      <w:pPr>
        <w:spacing w:before="0" w:after="160" w:line="312" w:lineRule="auto"/>
      </w:pPr>
      <w:r>
        <w:rPr>
          <w:rFonts w:ascii="Calibri" w:hAnsi="Calibri" w:cs="Calibri" w:eastAsia="PingFang SC"/>
          <w:color w:val="3D3A33"/>
          <w:sz w:val="22"/>
          <w:szCs w:val="22"/>
        </w:rPr>
        <w:t xml:space="preserve">5.5 Biomarkers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Biomarkers may have a role in AD but are described here as non-diagnostic, providing only supportive evidence where clinical doubt exists.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Possible tests include APOE ε4 testing for late-onset AD; APP or presenilin allele testing for early-onset AD; plasma amyloid beta; and cerebrospinal fluid amyloid beta and tau protein levels.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Their sensitivity is described as only modest, limiting clinical utility.</w:t>
      </w:r>
    </w:p>
    <w:p>
      <w:pPr>
        <w:spacing w:before="0" w:after="160" w:line="312" w:lineRule="auto"/>
      </w:pPr>
      <w:r>
        <w:rPr>
          <w:rFonts w:ascii="Calibri" w:hAnsi="Calibri" w:cs="Calibri" w:eastAsia="PingFang SC"/>
          <w:color w:val="3D3A33"/>
          <w:sz w:val="22"/>
          <w:szCs w:val="22"/>
        </w:rPr>
        <w:t xml:space="preserve">5.6 Pharmacological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Cholinesterase inhibitors are the mainstay of AD pharmacotherapy, licensed for mild-to-moderate AD. Examples are donepezil, rivastigmine, and galantamine.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Mechanism: inhibiting the enzyme that breaks down acetylcholine (ACh). ACh matters for learning and memory and is postulated to be deficient in AD; inhibiting breakdown prolongs its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licensed drug is memantine, an NMDA receptor antagonist, described in this lecture as licensed only for severe AD. It reduces the activity of glutamate, which has neurotoxic effects and is postulated to be overactive in 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whole range of psychotropics can be used for BPSD when indicated, but antipsychotics require caution: cerebrovascular accident risk may increase, and mortality appears higher in dementia patients receiving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Try to avoid anticholinergics and drugs with anticholinergic activity, such as tricyclic antidepressants, because they worsen cognitive impairment and predispose to confusion.</w:t>
      </w:r>
    </w:p>
    <w:p>
      <w:pPr>
        <w:spacing w:before="0" w:after="160" w:line="312" w:lineRule="auto"/>
      </w:pPr>
      <w:r>
        <w:rPr>
          <w:rFonts w:ascii="Calibri" w:hAnsi="Calibri" w:cs="Calibri" w:eastAsia="PingFang SC"/>
          <w:color w:val="3D3A33"/>
          <w:sz w:val="22"/>
          <w:szCs w:val="22"/>
        </w:rPr>
        <w:t xml:space="preserve">5.7 General Management and Non-Pharmacological Interventions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General principles: provide a safe, calm, comfortable, predictable environment; encourage regular social interaction with caregivers, family, and friends; encourage enjoyable activities; ensure adequate sleep; and include regular physical and mental exercise.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 stimulation therapy (CST) is indicated for mild-to-moderate dementia and aims to stimulate and engage patients. Formal CST follows a manual, once or twice weekly for several weeks, usually in groups. Activities include themed discussions, word games, and music-making. A Cochrane systematic review found benefits for cognition and quality of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Reality orientation helps orientation to time, place, and person by mentioning these repeatedly during conversation to reduce disorientation. A basic approach is regular discussion of current events.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Practical reality-orientation suggestions: prominently display a calendar and clock; label rooms, cupboards, drawers, suitcases, and so on; maintain consistent daily schedules; encourage newspapers and television news; and use a board displaying date, weekday, month, year, season, today's menu, and similar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Validation therapy means validating or agreeing with what a patient with dementia says even when factually wrong, rather than confronting them with “you are wrong,” dismissing them, or rejecting what they say.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 a patient insists on going out for an important work meeting, although he is 85, has moderate dementia, and last worked 20 years ago. First agree that the meeting is important, then steer toward a neutral topic: “Let us have a cup of coffee before you go to work” or “Let us have a walk in the garden.” By then attention will probably have shifted and he may no longer insist on leaving.</w:t>
      </w:r>
    </w:p>
    <w:p>
      <w:pPr>
        <w:spacing w:before="0" w:after="160" w:line="312" w:lineRule="auto"/>
      </w:pPr>
      <w:r>
        <w:rPr>
          <w:rFonts w:ascii="Calibri" w:hAnsi="Calibri" w:cs="Calibri" w:eastAsia="PingFang SC"/>
          <w:color w:val="3D3A33"/>
          <w:sz w:val="22"/>
          <w:szCs w:val="22"/>
        </w:rPr>
        <w:t xml:space="preserve">5.8 Course and Prognosis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 is irreversible and progressive, but deterioration rates vary. Early-onset AD tends to progress more quickly.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 the illness advances, increasing assistance is needed, usually within ten years of onset.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Death is usually caused by infection, most commonly bronchopneumonia.</w:t>
      </w:r>
    </w:p>
    <w:p>
      <w:pPr>
        <w:spacing w:before="240" w:after="80" w:line="312" w:lineRule="auto"/>
      </w:pPr>
      <w:r>
        <w:rPr>
          <w:rFonts w:ascii="Calibri" w:hAnsi="Calibri" w:cs="Calibri" w:eastAsia="PingFang SC"/>
          <w:b/>
          <w:color w:val="175244"/>
          <w:sz w:val="22"/>
          <w:szCs w:val="22"/>
        </w:rPr>
        <w:t xml:space="preserve">6. Vascular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Most studies identify vascular dementia as the second most common cause. It is potentially preventable through risk-factor management.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Main risks are stroke and TIAs. Others include smoking, hypertension, diabetes, coronary artery disease, atrial fibrillation, and dyslipidemia.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Formerly called multi-infarct dementia, it often coexists with AD, whose potential risk factors include several vascular risks.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Mechanisms include multiple small cortical infarcts, a single large infarct, thrombosis- or hemorrhage-related events resulting in stroke, and small-vessel disease.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Vascular dementia is more common in men (AD is more common in women) and usually starts between 60 and 75.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Deterioration is typically stepwise after each TIA or vascular insult, contrasting sharply with AD's gradual progressive decline.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cognitive impairment occurs, no treatment reverses it. Management emphasizes primary prevention of stroke/TIA and secondary prevention of further events: adequately manage vascular risks and encourage healthy diet, regular exercise, and smoking cessation.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Typical MRI findings are white matter hyperintensities.</w:t>
      </w:r>
    </w:p>
    <w:p>
      <w:pPr>
        <w:spacing w:before="240" w:after="80" w:line="312" w:lineRule="auto"/>
      </w:pPr>
      <w:r>
        <w:rPr>
          <w:rFonts w:ascii="Calibri" w:hAnsi="Calibri" w:cs="Calibri" w:eastAsia="PingFang SC"/>
          <w:b/>
          <w:color w:val="175244"/>
          <w:sz w:val="22"/>
          <w:szCs w:val="22"/>
        </w:rPr>
        <w:t xml:space="preserve">7. Frontotemporal Dementia (FTD)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Formerly called Pick's disease, FTD is the second most common cause of dementia below 65.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Presentation divides it into three types. Most common is the behavioral variant, 60% of cases, mainly involving frontal lobes and affecting personality, executive functioning, and emotional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slide lists key AD/FTD differences but was not read aloud. Confirmable distinguishing clues include onset age, affected cognitive domains, and the imaging metabolic patterns discussed later.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Family history is important. The histopathological features described are intracellular spherical inclusions called Pick bodies or balloon cells containing tau protein.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Many mutations have been identified, most commonly in MAPT and PGRN. FTD is occasionally associated with amyotrophic lateral sclerosis, or motor neuron disease.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no licensed treatment in the lecture's account. As in other dementias, psychotropics may be used judiciously for behavioral problems.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gradually progressive; life expectancy is usually six to eight years after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Imaging comparison: MRI shows marked frontal cortical atrophy compared with a normal brain. PET metabolic patterns contrast: AD hypometabolism is mainly parietal and temporal, with less frontal involvement; FTD has relatively preserved parietal activity but very low frontal metabolism.</w:t>
      </w:r>
    </w:p>
    <w:p>
      <w:pPr>
        <w:spacing w:before="240" w:after="80" w:line="312" w:lineRule="auto"/>
      </w:pPr>
      <w:r>
        <w:rPr>
          <w:rFonts w:ascii="Calibri" w:hAnsi="Calibri" w:cs="Calibri" w:eastAsia="PingFang SC"/>
          <w:b/>
          <w:color w:val="175244"/>
          <w:sz w:val="22"/>
          <w:szCs w:val="22"/>
        </w:rPr>
        <w:t xml:space="preserve">8. Dementia with Lewy Bodies (DLB)</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addition to cognitive decline, presentation includes fluctuations in attention and alertness, recurrent vivid visual hallucinations early in the illness, and parkinsonian features.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features include REM sleep behavior disorder, severe neuroleptic sensitivity, repeated falls or syncope, and other autonomic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Family history does not seem to be an important risk factor. Medial temporal atrophy is not prominent, as memory impairment is not prominent in DLB.</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main neuropathological finding is Lewy bodies: intracytoplasmic inclusions containing alpha-synuclein. The same bodies occur in Parkinson's disease.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DAT scan, a type of SPECT, supports DLB diagnosis. SPECT and PET may show occipital hypoperfusion or hypometabolism.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DLB is progressive like other dementias. The lecture reports no licensed treatment; options include cholinesterase inhibitors and memantine.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wise to avoid antipsychotics because neuroleptic sensitivity is a major risk, especially with older agents. Levodopa may help DLB motor symptoms less than Parkinson's disease motor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Distinguish the terms: DLB means dementia with Lewy bodies; LBD means Lewy body dementia. Often used synonymously, they are not identical: DLB is a subgroup of LBD, which includes both DLB and Parkinson's disease dementia (PDD).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slide lists key DLB/PDD differences but was not read aloud; the transcript does not contain the table.</w:t>
      </w:r>
    </w:p>
    <w:p>
      <w:pPr>
        <w:spacing w:before="240" w:after="80" w:line="312" w:lineRule="auto"/>
      </w:pPr>
      <w:r>
        <w:rPr>
          <w:rFonts w:ascii="Calibri" w:hAnsi="Calibri" w:cs="Calibri" w:eastAsia="PingFang SC"/>
          <w:b/>
          <w:color w:val="175244"/>
          <w:sz w:val="22"/>
          <w:szCs w:val="22"/>
        </w:rPr>
        <w:t xml:space="preserve">9. Mild Cognitive Impairment (MCI)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MCI is an intermediate state between normal aging and dementia, affecting about 20% around age 65.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than one-third develop dementia over the next three years. Subtypes can be defined by the main cognitive function affected, but the subtypes were not read aloud.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MCI may be more common in men, whereas dementia overall is more common in women.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useful analogy is the at-risk mental state (ARMS) that may precede first-episode psychosis: only a proportion with ARMS develop full-blown psychosis, and similarly only some with MCI develop dementia; others do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Conversely, just as not everyone who develops psychosis has previously had ARMS, MCI does not precede dementia in everyone who develops dementia. It should not be considered an obligatory precursor.</w:t>
      </w:r>
    </w:p>
    <w:p>
      <w:pPr>
        <w:spacing w:before="240" w:after="80" w:line="312" w:lineRule="auto"/>
      </w:pPr>
      <w:r>
        <w:rPr>
          <w:rFonts w:ascii="Calibri" w:hAnsi="Calibri" w:cs="Calibri" w:eastAsia="PingFang SC"/>
          <w:b/>
          <w:color w:val="175244"/>
          <w:sz w:val="22"/>
          <w:szCs w:val="22"/>
        </w:rPr>
        <w:t xml:space="preserve">Self-Assessment MCQ Discussion (46:40 Chapter)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five questions cover AD genetics, FTD versus DLB, the imaging category of DAT scans, generalized cortical atrophy on MRI, and identifying a drug that is not a cholinesterase inhibitor.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Only the questions' asking portions were read aloud, with most options omitted. The themes, some option wording, and announced answers can be confirmed; all confirmable question and option information is reproduced below under “Self-Assessment MCQs and Answers.”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fourth question's imaging explanation is particularly instructive: generalized cortical atrophy is AD's hallmark; FTD atrophy is restricted to frontal and temporal regions; cortical atrophy is not a major feature of vascular dementia or DLB. This comparison also provides general elimination logic for imaging questions.</w:t>
      </w:r>
    </w:p>
    <w:p>
      <w:pPr>
        <w:spacing w:before="240" w:after="80" w:line="312" w:lineRule="auto"/>
      </w:pPr>
      <w:r>
        <w:rPr>
          <w:rFonts w:ascii="Calibri" w:hAnsi="Calibri" w:cs="Calibri" w:eastAsia="PingFang SC"/>
          <w:b/>
          <w:color w:val="9E3D34"/>
          <w:sz w:val="26"/>
          <w:szCs w:val="26"/>
        </w:rPr>
        <w:t xml:space="preserve">Scales and Assessment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Mini-Mental State Examination (MMSE)</w:t>
      </w:r>
      <w:r>
        <w:rPr>
          <w:rFonts w:ascii="Calibri" w:hAnsi="Calibri" w:cs="Calibri" w:eastAsia="PingFang SC"/>
          <w:color w:val="3D3A33"/>
          <w:sz w:val="22"/>
          <w:szCs w:val="22"/>
        </w:rPr>
        <w:t xml:space="preserve">: explicitly named as the most commonly used cognitive test in dementia. It assesses multiple cognitive domains out of 30. Severity gradings differ across studies; the slide gives an example, but specific ranges are not provided verbally. For follow-up, scores decline by an average of three to four annually, with substantial individual variation. No specific cutoff is given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other commonly used cognitive tests</w:t>
      </w:r>
      <w:r>
        <w:rPr>
          <w:rFonts w:ascii="Calibri" w:hAnsi="Calibri" w:cs="Calibri" w:eastAsia="PingFang SC"/>
          <w:color w:val="3D3A33"/>
          <w:sz w:val="22"/>
          <w:szCs w:val="22"/>
        </w:rPr>
        <w:t xml:space="preserve">: listed on a slide but not named aloud; no specific information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Dementia/delirium comparison table</w:t>
      </w:r>
      <w:r>
        <w:rPr>
          <w:rFonts w:ascii="Calibri" w:hAnsi="Calibri" w:cs="Calibri" w:eastAsia="PingFang SC"/>
          <w:color w:val="3D3A33"/>
          <w:sz w:val="22"/>
          <w:szCs w:val="22"/>
        </w:rPr>
        <w:t xml:space="preserve">: key distinctions appear on the slide but are not read aloud. The spoken material confirms that dementia must be diagnosed in clear consciousness, not during confusion or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AD/FTD and DLB/PDD comparison tables</w:t>
      </w:r>
      <w:r>
        <w:rPr>
          <w:rFonts w:ascii="Calibri" w:hAnsi="Calibri" w:cs="Calibri" w:eastAsia="PingFang SC"/>
          <w:color w:val="3D3A33"/>
          <w:sz w:val="22"/>
          <w:szCs w:val="22"/>
        </w:rPr>
        <w:t xml:space="preserve">: neither slide's individual entries were read aloud; no contents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Lists of AD risk/protective factors, first-line blood tests, reversible dementia mimics, behavioral/psychological BPSD symptoms, and MCI subtypes</w:t>
      </w:r>
      <w:r>
        <w:rPr>
          <w:rFonts w:ascii="Calibri" w:hAnsi="Calibri" w:cs="Calibri" w:eastAsia="PingFang SC"/>
          <w:color w:val="3D3A33"/>
          <w:sz w:val="22"/>
          <w:szCs w:val="22"/>
        </w:rPr>
        <w:t xml:space="preserve">: all appear on slides but were not read individually; the transcript lacks specific entries.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structured interview tools or specific named comprehensive neuropsychological batteries are covered.</w:t>
      </w:r>
    </w:p>
    <w:p>
      <w:pPr>
        <w:spacing w:before="240" w:after="80" w:line="312" w:lineRule="auto"/>
      </w:pPr>
      <w:r>
        <w:rPr>
          <w:rFonts w:ascii="Calibri" w:hAnsi="Calibri" w:cs="Calibri" w:eastAsia="PingFang SC"/>
          <w:b/>
          <w:color w:val="9E3D34"/>
          <w:sz w:val="26"/>
          <w:szCs w:val="26"/>
        </w:rPr>
        <w:t xml:space="preserve">Medication and Treatment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Donepezil / rivastigmine / galantamine</w:t>
      </w:r>
      <w:r>
        <w:rPr>
          <w:rFonts w:ascii="Calibri" w:hAnsi="Calibri" w:cs="Calibri" w:eastAsia="PingFang SC"/>
          <w:color w:val="3D3A33"/>
          <w:sz w:val="22"/>
          <w:szCs w:val="22"/>
        </w:rPr>
        <w:t xml:space="preserve">: cholinesterase inhibitors, the mainstay of AD pharmacotherapy, licensed for mild-to-moderate AD. Inhibiting acetylcholine breakdown prolongs its activity; ACh is postulated to be deficient in AD. No starting dose, target dose, or treatment duration is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Memantine</w:t>
      </w:r>
      <w:r>
        <w:rPr>
          <w:rFonts w:ascii="Calibri" w:hAnsi="Calibri" w:cs="Calibri" w:eastAsia="PingFang SC"/>
          <w:color w:val="3D3A33"/>
          <w:sz w:val="22"/>
          <w:szCs w:val="22"/>
        </w:rPr>
        <w:t xml:space="preserve">: NMDA receptor antagonist described as licensed only for severe AD. It reduces neurotoxic glutamate activity, postulated to be elevated in AD. No specific dose is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Antipsychotics</w:t>
      </w:r>
      <w:r>
        <w:rPr>
          <w:rFonts w:ascii="Calibri" w:hAnsi="Calibri" w:cs="Calibri" w:eastAsia="PingFang SC"/>
          <w:color w:val="3D3A33"/>
          <w:sz w:val="22"/>
          <w:szCs w:val="22"/>
        </w:rPr>
        <w:t xml:space="preserve">: a range of psychotropics may be used for BPSD, but antipsychotics require caution in dementia because cerebrovascular accident risk may rise and mortality appears increased. No specific drugs or doses are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Tricyclic antidepressants and other anticholinergics</w:t>
      </w:r>
      <w:r>
        <w:rPr>
          <w:rFonts w:ascii="Calibri" w:hAnsi="Calibri" w:cs="Calibri" w:eastAsia="PingFang SC"/>
          <w:color w:val="3D3A33"/>
          <w:sz w:val="22"/>
          <w:szCs w:val="22"/>
        </w:rPr>
        <w:t xml:space="preserve">: avoid where possible because they worsen cognitive impairment and predispose to confusion.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Levodopa</w:t>
      </w:r>
      <w:r>
        <w:rPr>
          <w:rFonts w:ascii="Calibri" w:hAnsi="Calibri" w:cs="Calibri" w:eastAsia="PingFang SC"/>
          <w:color w:val="3D3A33"/>
          <w:sz w:val="22"/>
          <w:szCs w:val="22"/>
        </w:rPr>
        <w:t xml:space="preserve">: may help motor symptoms less in DLB than in Parkinson's disease.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FTD</w:t>
      </w:r>
      <w:r>
        <w:rPr>
          <w:rFonts w:ascii="Calibri" w:hAnsi="Calibri" w:cs="Calibri" w:eastAsia="PingFang SC"/>
          <w:color w:val="3D3A33"/>
          <w:sz w:val="22"/>
          <w:szCs w:val="22"/>
        </w:rPr>
        <w:t xml:space="preserve">: no licensed treatment in this lecture; psychotropics may be used judiciously for behavioral problems.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DLB</w:t>
      </w:r>
      <w:r>
        <w:rPr>
          <w:rFonts w:ascii="Calibri" w:hAnsi="Calibri" w:cs="Calibri" w:eastAsia="PingFang SC"/>
          <w:color w:val="3D3A33"/>
          <w:sz w:val="22"/>
          <w:szCs w:val="22"/>
        </w:rPr>
        <w:t xml:space="preserve">: no licensed treatment in this lecture; options include cholinesterase inhibitors and memantine. Avoid antipsychotics because of neuroleptic sensitivity, particularly older drugs.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Vascular dementia</w:t>
      </w:r>
      <w:r>
        <w:rPr>
          <w:rFonts w:ascii="Calibri" w:hAnsi="Calibri" w:cs="Calibri" w:eastAsia="PingFang SC"/>
          <w:color w:val="3D3A33"/>
          <w:sz w:val="22"/>
          <w:szCs w:val="22"/>
        </w:rPr>
        <w:t xml:space="preserve">: no treatment reverses established cognitive impairment. Focus on primary and secondary stroke/TIA prevention, vascular risk management, healthy diet, regular exercise, and smoking cessation.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Cognitive stimulation therapy (CST)</w:t>
      </w:r>
      <w:r>
        <w:rPr>
          <w:rFonts w:ascii="Calibri" w:hAnsi="Calibri" w:cs="Calibri" w:eastAsia="PingFang SC"/>
          <w:color w:val="3D3A33"/>
          <w:sz w:val="22"/>
          <w:szCs w:val="22"/>
        </w:rPr>
        <w:t xml:space="preserve">: non-drug treatment for mild-to-moderate dementia, manual-based, once or twice weekly for several weeks, usually in groups (themed discussion, word games, music activities). A Cochrane review found improved cognition and quality of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Reality orientation</w:t>
      </w:r>
      <w:r>
        <w:rPr>
          <w:rFonts w:ascii="Calibri" w:hAnsi="Calibri" w:cs="Calibri" w:eastAsia="PingFang SC"/>
          <w:color w:val="3D3A33"/>
          <w:sz w:val="22"/>
          <w:szCs w:val="22"/>
        </w:rPr>
        <w:t xml:space="preserve">: non-drug orientation to time, place, and person, using prominent calendars/clocks, room/cupboard labels, consistent routines, newspapers/news, and a board displaying date, season, menu, and similar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Validation therapy</w:t>
      </w:r>
      <w:r>
        <w:rPr>
          <w:rFonts w:ascii="Calibri" w:hAnsi="Calibri" w:cs="Calibri" w:eastAsia="PingFang SC"/>
          <w:color w:val="3D3A33"/>
          <w:sz w:val="22"/>
          <w:szCs w:val="22"/>
        </w:rPr>
        <w:t xml:space="preserve">: non-drug acknowledgment of the patient's account without direct correction; first agree, then shift to a neutral subject to redirect attention, such as “coffee before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General environmental and lifestyle interventions</w:t>
      </w:r>
      <w:r>
        <w:rPr>
          <w:rFonts w:ascii="Calibri" w:hAnsi="Calibri" w:cs="Calibri" w:eastAsia="PingFang SC"/>
          <w:color w:val="3D3A33"/>
          <w:sz w:val="22"/>
          <w:szCs w:val="22"/>
        </w:rPr>
        <w:t xml:space="preserve">: safe, calm, comfortable, predictable surroundings; regular social interaction; enjoyable activities; adequate sleep; regular physical and mental exercise.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ECT or other physical treatments are not covered.</w:t>
      </w:r>
    </w:p>
    <w:p>
      <w:pPr>
        <w:spacing w:before="240" w:after="80" w:line="312" w:lineRule="auto"/>
      </w:pPr>
      <w:r>
        <w:rPr>
          <w:rFonts w:ascii="Calibri" w:hAnsi="Calibri" w:cs="Calibri" w:eastAsia="PingFang SC"/>
          <w:b/>
          <w:color w:val="9E3D34"/>
          <w:sz w:val="26"/>
          <w:szCs w:val="26"/>
        </w:rPr>
        <w:t xml:space="preserve">Self-Assessment MCQs and Answers</w:t>
      </w:r>
    </w:p>
    <w:p>
      <w:pPr>
        <w:numPr>
          <w:ilvl w:val="0"/>
          <w:numId w:val="101"/>
        </w:numPr>
        <w:spacing w:after="80" w:line="312" w:lineRule="auto"/>
      </w:pPr>
      <w:r>
        <w:rPr>
          <w:rFonts w:ascii="Calibri" w:hAnsi="Calibri" w:cs="Calibri" w:eastAsia="PingFang SC"/>
          <w:b/>
          <w:color w:val="3D3A33"/>
          <w:sz w:val="22"/>
          <w:szCs w:val="22"/>
        </w:rPr>
        <w:t xml:space="preserve">Which statement about AD genetics is correct?</w:t>
      </w:r>
      <w:r>
        <w:rPr>
          <w:rFonts w:ascii="Calibri" w:hAnsi="Calibri" w:cs="Calibri" w:eastAsia="PingFang SC"/>
          <w:color w:val="3D3A33"/>
          <w:sz w:val="22"/>
          <w:szCs w:val="22"/>
        </w:rPr>
        <w:t xml:space="preserve"> Correct answer: “Genetic factors are important in both early- and late-onset AD.” Other options were not read aloud, so the transcript is incomplete; the question and answer themselves are fully confirmable.</w:t>
      </w:r>
    </w:p>
    <w:p>
      <w:pPr>
        <w:numPr>
          <w:ilvl w:val="0"/>
          <w:numId w:val="101"/>
        </w:numPr>
        <w:spacing w:after="80" w:line="312" w:lineRule="auto"/>
      </w:pPr>
      <w:r>
        <w:rPr>
          <w:rFonts w:ascii="Calibri" w:hAnsi="Calibri" w:cs="Calibri" w:eastAsia="PingFang SC"/>
          <w:b/>
          <w:color w:val="3D3A33"/>
          <w:sz w:val="22"/>
          <w:szCs w:val="22"/>
        </w:rPr>
        <w:t xml:space="preserve">Which favors FTD rather than DLB?</w:t>
      </w:r>
      <w:r>
        <w:rPr>
          <w:rFonts w:ascii="Calibri" w:hAnsi="Calibri" w:cs="Calibri" w:eastAsia="PingFang SC"/>
          <w:color w:val="3D3A33"/>
          <w:sz w:val="22"/>
          <w:szCs w:val="22"/>
        </w:rPr>
        <w:t xml:space="preserve"> Correct answer: “Onset before age 65.” The other three options favor DLB. Their exact wording was not read aloud; the transcript is incomplete.</w:t>
      </w:r>
    </w:p>
    <w:p>
      <w:pPr>
        <w:numPr>
          <w:ilvl w:val="0"/>
          <w:numId w:val="101"/>
        </w:numPr>
        <w:spacing w:after="80" w:line="312" w:lineRule="auto"/>
      </w:pPr>
      <w:r>
        <w:rPr>
          <w:rFonts w:ascii="Calibri" w:hAnsi="Calibri" w:cs="Calibri" w:eastAsia="PingFang SC"/>
          <w:b/>
          <w:color w:val="3D3A33"/>
          <w:sz w:val="22"/>
          <w:szCs w:val="22"/>
        </w:rPr>
        <w:t xml:space="preserve">A DAT scan, potentially useful in DLB and Parkinson's disease, is which type of scan?</w:t>
      </w:r>
      <w:r>
        <w:rPr>
          <w:rFonts w:ascii="Calibri" w:hAnsi="Calibri" w:cs="Calibri" w:eastAsia="PingFang SC"/>
          <w:color w:val="3D3A33"/>
          <w:sz w:val="22"/>
          <w:szCs w:val="22"/>
        </w:rPr>
        <w:t xml:space="preserve"> Options: structural MRI, functional MRI, PET, SPECT. Correct answer: SPECT; DAT scanning is a type of SPECT.</w:t>
      </w:r>
    </w:p>
    <w:p>
      <w:pPr>
        <w:numPr>
          <w:ilvl w:val="0"/>
          <w:numId w:val="101"/>
        </w:numPr>
        <w:spacing w:after="80" w:line="312" w:lineRule="auto"/>
      </w:pPr>
      <w:r>
        <w:rPr>
          <w:rFonts w:ascii="Calibri" w:hAnsi="Calibri" w:cs="Calibri" w:eastAsia="PingFang SC"/>
          <w:b/>
          <w:color w:val="3D3A33"/>
          <w:sz w:val="22"/>
          <w:szCs w:val="22"/>
        </w:rPr>
        <w:t xml:space="preserve">Which dementia type is most likely indicated by this brain MRI?</w:t>
      </w:r>
      <w:r>
        <w:rPr>
          <w:rFonts w:ascii="Calibri" w:hAnsi="Calibri" w:cs="Calibri" w:eastAsia="PingFang SC"/>
          <w:color w:val="3D3A33"/>
          <w:sz w:val="22"/>
          <w:szCs w:val="22"/>
        </w:rPr>
        <w:t xml:space="preserve"> Correct answer: Alzheimer's disease. The MRI shows significant generalized cortical atrophy, a hallmark of AD. Cortical atrophy also occurs in FTD but is restricted to frontal and temporal regions. It is not a major feature of vascular dementia or DLB.</w:t>
      </w:r>
    </w:p>
    <w:p>
      <w:pPr>
        <w:numPr>
          <w:ilvl w:val="0"/>
          <w:numId w:val="101"/>
        </w:numPr>
        <w:spacing w:after="80" w:line="312" w:lineRule="auto"/>
      </w:pPr>
      <w:r>
        <w:rPr>
          <w:rFonts w:ascii="Calibri" w:hAnsi="Calibri" w:cs="Calibri" w:eastAsia="PingFang SC"/>
          <w:b/>
          <w:color w:val="3D3A33"/>
          <w:sz w:val="22"/>
          <w:szCs w:val="22"/>
        </w:rPr>
        <w:t xml:space="preserve">Which is not a cholinesterase inhibitor?</w:t>
      </w:r>
      <w:r>
        <w:rPr>
          <w:rFonts w:ascii="Calibri" w:hAnsi="Calibri" w:cs="Calibri" w:eastAsia="PingFang SC"/>
          <w:color w:val="3D3A33"/>
          <w:sz w:val="22"/>
          <w:szCs w:val="22"/>
        </w:rPr>
        <w:t xml:space="preserve"> Correct answer: memantine, an NMDA receptor antagonist. The remaining options were not read aloud.</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"Dementia is a term that is used to refer to a group of heterogeneous neurodegenerative disorders that typically present with decline in memory, decline in other cognitive abilities, decline in emotional control and decline in social behavior."</w:t>
      </w:r>
    </w:p>
    <w:p>
      <w:pPr>
        <w:spacing w:before="0" w:after="160" w:line="312" w:lineRule="auto"/>
      </w:pPr>
      <w:r>
        <w:rPr>
          <w:rFonts w:ascii="Calibri" w:hAnsi="Calibri" w:cs="Calibri" w:eastAsia="PingFang SC"/>
          <w:color w:val="3D3A33"/>
          <w:sz w:val="22"/>
          <w:szCs w:val="22"/>
        </w:rPr>
        <w:t xml:space="preserve">Dementia refers to heterogeneous neurodegenerative disorders typically presenting with decline in memory, other cognitive abilities, emotional control, and social behavior.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make a diagnosis of dementia the symptoms should be present consistently for at least six months. The diagnosis of dementia should not be made when the patient is confused or delirious — in other words you should make a diagnosis of dementia in clear consciousness."</w:t>
      </w:r>
    </w:p>
    <w:p>
      <w:pPr>
        <w:spacing w:before="0" w:after="160" w:line="312" w:lineRule="auto"/>
      </w:pPr>
      <w:r>
        <w:rPr>
          <w:rFonts w:ascii="Calibri" w:hAnsi="Calibri" w:cs="Calibri" w:eastAsia="PingFang SC"/>
          <w:color w:val="3D3A33"/>
          <w:sz w:val="22"/>
          <w:szCs w:val="22"/>
        </w:rPr>
        <w:t xml:space="preserve">Dementia diagnosis requires symptoms consistently present for at least six months; it should not be made during confusion or delirium, but in clear consciousness.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contrast to cognitive impairment that is usually irreversible, BPSD can be treated effectively, thus improving the quality of life of both patients and their caregivers."</w:t>
      </w:r>
    </w:p>
    <w:p>
      <w:pPr>
        <w:spacing w:before="0" w:after="160" w:line="312" w:lineRule="auto"/>
      </w:pPr>
      <w:r>
        <w:rPr>
          <w:rFonts w:ascii="Calibri" w:hAnsi="Calibri" w:cs="Calibri" w:eastAsia="PingFang SC"/>
          <w:color w:val="3D3A33"/>
          <w:sz w:val="22"/>
          <w:szCs w:val="22"/>
        </w:rPr>
        <w:t xml:space="preserve">Unlike usually irreversible cognitive impairment, BPSD can be effectively treated, improving quality of life for patients and caregivers alike.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deterioration in vascular dementia is typically stepwise after each TIA or vascular insult; this is in contrast to the gradually progressive decline that is seen in Alzheimer's disease."</w:t>
      </w:r>
    </w:p>
    <w:p>
      <w:pPr>
        <w:spacing w:before="0" w:after="160" w:line="312" w:lineRule="auto"/>
      </w:pPr>
      <w:r>
        <w:rPr>
          <w:rFonts w:ascii="Calibri" w:hAnsi="Calibri" w:cs="Calibri" w:eastAsia="PingFang SC"/>
          <w:color w:val="3D3A33"/>
          <w:sz w:val="22"/>
          <w:szCs w:val="22"/>
        </w:rPr>
        <w:t xml:space="preserve">Vascular dementia typically deteriorates stepwise after each TIA or vascular insult, in contrast to AD's gradually progressive decline.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wise to avoid antipsychotics in DLB as neuroleptic sensitivity is a major risk, particularly with older antipsychotics."</w:t>
      </w:r>
    </w:p>
    <w:p>
      <w:pPr>
        <w:spacing w:before="0" w:after="160" w:line="312" w:lineRule="auto"/>
      </w:pPr>
      <w:r>
        <w:rPr>
          <w:rFonts w:ascii="Calibri" w:hAnsi="Calibri" w:cs="Calibri" w:eastAsia="PingFang SC"/>
          <w:color w:val="3D3A33"/>
          <w:sz w:val="22"/>
          <w:szCs w:val="22"/>
        </w:rPr>
        <w:t xml:space="preserve">It is wise to avoid antipsychotics in DLB because neuroleptic sensitivity is a major risk, particularly with older agents.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"Just as only a proportion of patients with ARMS go on to develop a full-blown psychosis, similarly only some with MCI go on to develop dementia."</w:t>
      </w:r>
    </w:p>
    <w:p>
      <w:pPr>
        <w:spacing w:before="0" w:after="160" w:line="312" w:lineRule="auto"/>
      </w:pPr>
      <w:r>
        <w:rPr>
          <w:rFonts w:ascii="Calibri" w:hAnsi="Calibri" w:cs="Calibri" w:eastAsia="PingFang SC"/>
          <w:color w:val="3D3A33"/>
          <w:sz w:val="22"/>
          <w:szCs w:val="22"/>
        </w:rPr>
        <w:t xml:space="preserve">Just as only some patients with ARMS progress to full-blown psychosis, only some with MCI progress to dementia.</w:t>
      </w:r>
    </w:p>
    <w:p>
      <w:pPr>
        <w:spacing w:before="240" w:after="80" w:line="312" w:lineRule="auto"/>
      </w:pPr>
      <w:r>
        <w:rPr>
          <w:rFonts w:ascii="Calibri" w:hAnsi="Calibri" w:cs="Calibri" w:eastAsia="PingFang SC"/>
          <w:b/>
          <w:color w:val="9E3D34"/>
          <w:sz w:val="26"/>
          <w:szCs w:val="26"/>
        </w:rPr>
        <w:t xml:space="preserve">Distinguishing Easily Confused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Dementia vs delirium vs depressive pseudodementia (the two commonly examined mimics)</w:t>
      </w:r>
      <w:r>
        <w:rPr>
          <w:rFonts w:ascii="Calibri" w:hAnsi="Calibri" w:cs="Calibri" w:eastAsia="PingFang SC"/>
          <w:color w:val="3D3A33"/>
          <w:sz w:val="22"/>
          <w:szCs w:val="22"/>
        </w:rPr>
        <w:t xml:space="preserve">: consciousness is the firmest dementia/delirium distinction—dementia requires clear consciousness and should not be diagnosed during confusion or delirium. It also requires consistent symptoms for at least six months and informant-confirmed decline from higher previous functioning. The full slide comparison was not read aloud; the minimum examination anchor is “clear consciousness + ≥6 months.” Depressive pseudodementia is reversible: treating depression reverses cognition problems. However, a depression history also increases later dementia risk, so these are not mutually exclusive. Treat depression and follow cognition in patients with both depression and cognitive decline.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AD vs vascular dementia</w:t>
      </w:r>
      <w:r>
        <w:rPr>
          <w:rFonts w:ascii="Calibri" w:hAnsi="Calibri" w:cs="Calibri" w:eastAsia="PingFang SC"/>
          <w:color w:val="3D3A33"/>
          <w:sz w:val="22"/>
          <w:szCs w:val="22"/>
        </w:rPr>
        <w:t xml:space="preserve">: AD is more common in women, gradually progressive, with generalized cortical atrophy and ventricular enlargement; the source describes no preventive intervention at the time. Vascular dementia is more common in men, usually begins at 60–75, worsens stepwise, shows white matter hyperintensities, and is potentially preventable through vascular risk management. They often coexist because AD's risk list includes vascular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AD vs FTD</w:t>
      </w:r>
      <w:r>
        <w:rPr>
          <w:rFonts w:ascii="Calibri" w:hAnsi="Calibri" w:cs="Calibri" w:eastAsia="PingFang SC"/>
          <w:color w:val="3D3A33"/>
          <w:sz w:val="22"/>
          <w:szCs w:val="22"/>
        </w:rPr>
        <w:t xml:space="preserve">: AD begins with memory impairment; FTD emphasizes personality, executive function, and emotional-control changes (behavioral variant 60%). FTD is the second most common dementia below 65; AD is most common in old age. PET deficits contrast: parietal/temporal in AD; frontal in FTD with relative parietal preservation. Pathology: extracellular amyloid plaques plus intracellular tau tangles in AD; tau-containing Pick bodies/balloon cells in the lecture's FTD description. AD has licensed medication; FTD has no licensed treatment in this account.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Late- vs early-onset AD genetics</w:t>
      </w:r>
      <w:r>
        <w:rPr>
          <w:rFonts w:ascii="Calibri" w:hAnsi="Calibri" w:cs="Calibri" w:eastAsia="PingFang SC"/>
          <w:color w:val="3D3A33"/>
          <w:sz w:val="22"/>
          <w:szCs w:val="22"/>
        </w:rPr>
        <w:t xml:space="preserve">: late-onset (&gt;95%) is associated with APOE ε4, not typical Mendelian inheritance, with dose-related risk (heterozygous ×2, homozygous ×5); ε4 is neither necessary nor sufficient. Early-onset involves autosomal dominant APP, presenilin 1, and presenilin 2 mutations, all increasing amyloid beta production. For the examination question asking which gene is consistently associated with late-onset AD, the answer is APOE ε4.</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DLB vs PDD / DLB vs LBD</w:t>
      </w:r>
      <w:r>
        <w:rPr>
          <w:rFonts w:ascii="Calibri" w:hAnsi="Calibri" w:cs="Calibri" w:eastAsia="PingFang SC"/>
          <w:color w:val="3D3A33"/>
          <w:sz w:val="22"/>
          <w:szCs w:val="22"/>
        </w:rPr>
        <w:t xml:space="preserve">: distinguish abbreviations first. LBD, Lewy body dementia, includes DLB and PDD; DLB is one subgroup, so the terms are “often used synonymously but not identical.” Family history is not important in DLB; medial temporal atrophy is not prominent because memory impairment is not prominent; avoid antipsychotics. Specific DLB/PDD slide distinctions were not read aloud.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BPSD vs cognitive impairment</w:t>
      </w:r>
      <w:r>
        <w:rPr>
          <w:rFonts w:ascii="Calibri" w:hAnsi="Calibri" w:cs="Calibri" w:eastAsia="PingFang SC"/>
          <w:color w:val="3D3A33"/>
          <w:sz w:val="22"/>
          <w:szCs w:val="22"/>
        </w:rPr>
        <w:t xml:space="preserve">: cognition is usually irreversibly impaired; BPSD is treatable, with substantial benefit. BPSD affects up to 90% and is a major source of caregiving distress. Two medication boundaries: use antipsychotics cautiously (more cerebrovascular events and mortality); avoid anticholinergics and tricyclics (worsened cognition and confusion).</w:t>
      </w:r>
    </w:p>
    <w:p>
      <w:pPr>
        <w:spacing w:before="240" w:after="80" w:line="312" w:lineRule="auto"/>
      </w:pPr>
      <w:r>
        <w:rPr>
          <w:rFonts w:ascii="Calibri" w:hAnsi="Calibri" w:cs="Calibri" w:eastAsia="PingFang SC"/>
          <w:b/>
          <w:color w:val="9E3D34"/>
          <w:sz w:val="26"/>
          <w:szCs w:val="26"/>
        </w:rPr>
        <w:t xml:space="preserve">Clinical Application / Memory Anchors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 areas + three requirements</w:t>
      </w:r>
      <w:r>
        <w:rPr>
          <w:rFonts w:ascii="Calibri" w:hAnsi="Calibri" w:cs="Calibri" w:eastAsia="PingFang SC"/>
          <w:color w:val="3D3A33"/>
          <w:sz w:val="22"/>
          <w:szCs w:val="22"/>
        </w:rPr>
        <w:t xml:space="preserve">: four = memory, other cognition, emotional control, social behavior; three = six months, clear consciousness, and collateral confirmation of decline from previous functioning. Do not diagnose dementia if any requirement is missing.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AD genetics, “one vs three”</w:t>
      </w:r>
      <w:r>
        <w:rPr>
          <w:rFonts w:ascii="Calibri" w:hAnsi="Calibri" w:cs="Calibri" w:eastAsia="PingFang SC"/>
          <w:color w:val="3D3A33"/>
          <w:sz w:val="22"/>
          <w:szCs w:val="22"/>
        </w:rPr>
        <w:t xml:space="preserve">: late-onset—one gene, APOE ε4 (heterozygous ×2, homozygous ×5, about 25% of risk, highest Northern Europe/lowest Asia, neither necessary nor sufficient); early-onset—three genes, APP/presenilin 1/presenilin 2 (autosomal dominant, hundreds of mutations, increased amyloid beta production).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Epidemiological number anchors</w:t>
      </w:r>
      <w:r>
        <w:rPr>
          <w:rFonts w:ascii="Calibri" w:hAnsi="Calibri" w:cs="Calibri" w:eastAsia="PingFang SC"/>
          <w:color w:val="3D3A33"/>
          <w:sz w:val="22"/>
          <w:szCs w:val="22"/>
        </w:rPr>
        <w:t xml:space="preserve">: AD ≈2/3 of dementia; ≈5% at 65 and ≈25% at 85; late-onset &gt;95%; BPSD up to 90%; MMSE average decline three to four points/year; MCI ≈20% around 65 with &gt;1/3 progressing within three years; vascular onset 60–75; FTD survival six to eight years after diagnosis; AD increasingly requires care within about ten years of onset.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One-line subtype memory</w:t>
      </w:r>
      <w:r>
        <w:rPr>
          <w:rFonts w:ascii="Calibri" w:hAnsi="Calibri" w:cs="Calibri" w:eastAsia="PingFang SC"/>
          <w:color w:val="3D3A33"/>
          <w:sz w:val="22"/>
          <w:szCs w:val="22"/>
        </w:rPr>
        <w:t xml:space="preserve">: AD = memory first + generalized atrophy; vascular = steps + white matter hyperintensities + preventable; FTD = &lt;65 + personality/executive problems first + frontal hypometabolism; DLB = fluctuations + visual hallucinations + parkinsonism + neuroleptic sensitivity.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Medication boundaries</w:t>
      </w:r>
      <w:r>
        <w:rPr>
          <w:rFonts w:ascii="Calibri" w:hAnsi="Calibri" w:cs="Calibri" w:eastAsia="PingFang SC"/>
          <w:color w:val="3D3A33"/>
          <w:sz w:val="22"/>
          <w:szCs w:val="22"/>
        </w:rPr>
        <w:t xml:space="preserve">: avoid anticholinergics and tricyclics; use antipsychotics cautiously (cerebrovascular events ↑, mortality ↑), especially avoid in DLB. The lecture reports no licensed treatment for FTD or DLB; AD has cholinesterase inhibitors (mild/moderate) and memantine (severe).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High-yield examination points</w:t>
      </w:r>
      <w:r>
        <w:rPr>
          <w:rFonts w:ascii="Calibri" w:hAnsi="Calibri" w:cs="Calibri" w:eastAsia="PingFang SC"/>
          <w:color w:val="3D3A33"/>
          <w:sz w:val="22"/>
          <w:szCs w:val="22"/>
        </w:rPr>
        <w:t xml:space="preserve">: DAT scan is SPECT, not PET or MRI. Generalized cortical atrophy on MRI points to AD: FTD atrophy is restricted to frontal/temporal areas, and cortical atrophy is not a major feature of vascular dementia or DLB. The drug that is not a cholinesterase inhibitor is memantine.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Terminal outcome</w:t>
      </w:r>
      <w:r>
        <w:rPr>
          <w:rFonts w:ascii="Calibri" w:hAnsi="Calibri" w:cs="Calibri" w:eastAsia="PingFang SC"/>
          <w:color w:val="3D3A33"/>
          <w:sz w:val="22"/>
          <w:szCs w:val="22"/>
        </w:rPr>
        <w:t xml:space="preserve">: AD's most common cause of death is infection, particularly bronchopneumonia. Treating BPSD, maintaining a safe predictable environment, regular social contact and exercise, and addressing sleep are practical ways to improve quality of life throughout the illness.</w:t>
      </w:r>
    </w:p>
    <w:p>
      <w:pPr>
        <w:spacing w:before="0" w:after="160" w:line="312" w:lineRule="auto"/>
      </w:pPr>
      <w:r>
        <w:rPr>
          <w:rFonts w:ascii="Calibri" w:hAnsi="Calibri" w:cs="Calibri" w:eastAsia="PingFang SC"/>
          <w:color w:val="3D3A33"/>
          <w:sz w:val="22"/>
          <w:szCs w:val="22"/>
        </w:rPr>
        <w:t xml:space="preserve">&lt;!-- END OF NOTE --&gt;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