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jpeg" ContentType="image/jpeg"/>
  <Override PartName="/word/document.xml" ContentType="application/vnd.openxmlformats-officedocument.wordprocessingml.document.main+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0" w:after="160" w:line="312" w:lineRule="auto"/>
        <w:jc w:val="center"/>
      </w:pPr>
      <w:r>
        <w:rPr>
          <w:rFonts w:ascii="Calibri" w:hAnsi="Calibri" w:cs="Calibri" w:eastAsia="PingFang SC"/>
          <w:b/>
          <w:sz w:val="40"/>
          <w:szCs w:val="40"/>
        </w:rPr>
        <w:t xml:space="preserve">09-Alcohol-Misuse-Disorders</w:t>
      </w:r>
    </w:p>
    <w:p>
      <w:pPr>
        <w:spacing w:before="240" w:after="80" w:line="312" w:lineRule="auto"/>
      </w:pPr>
      <w:r>
        <w:rPr>
          <w:rFonts w:ascii="Calibri" w:hAnsi="Calibri" w:cs="Calibri" w:eastAsia="PingFang SC"/>
          <w:b/>
          <w:color w:val="33302A"/>
          <w:sz w:val="32"/>
          <w:szCs w:val="32"/>
        </w:rPr>
        <w:t xml:space="preserve">Disorders of Alcohol Misuse</w:t>
      </w:r>
    </w:p>
    <w:p>
      <w:pPr>
        <w:pBdr>
          <w:left w:val="single" w:sz="18" w:space="8" w:color="C96442"/>
        </w:pBdr>
        <w:spacing w:before="0" w:after="160" w:line="312" w:lineRule="auto"/>
        <w:ind w:left="360"/>
      </w:pPr>
      <w:r>
        <w:rPr>
          <w:rFonts w:ascii="Calibri" w:hAnsi="Calibri" w:cs="Calibri" w:eastAsia="PingFang SC"/>
          <w:b/>
          <w:color w:val="3D3A33"/>
          <w:sz w:val="22"/>
          <w:szCs w:val="22"/>
        </w:rPr>
        <w:t xml:space="preserve">In one sentence</w:t>
      </w:r>
      <w:r>
        <w:rPr>
          <w:rFonts w:ascii="Calibri" w:hAnsi="Calibri" w:cs="Calibri" w:eastAsia="PingFang SC"/>
          <w:color w:val="3D3A33"/>
          <w:sz w:val="22"/>
          <w:szCs w:val="22"/>
        </w:rPr>
        <w:t xml:space="preserve">: A British-system lecture organized around ICD-10 with DSM-5 alongside, starting from the conversion "1 unit = 8 g of pure alcohol" and running through the psychiatric consequences of alcohol misuse, the neurobiology and assessment tools of the dependence syndrome, the emergency management of the withdrawal syndrome and delirium tremens, and finally Wernicke-Korsakoff syndrome with the life-saving rule "thiamine must come before glucose".</w:t>
      </w:r>
    </w:p>
    <w:p>
      <w:pPr>
        <w:spacing w:before="240" w:after="80" w:line="312" w:lineRule="auto"/>
      </w:pPr>
      <w:r>
        <w:rPr>
          <w:rFonts w:ascii="Calibri" w:hAnsi="Calibri" w:cs="Calibri" w:eastAsia="PingFang SC"/>
          <w:b/>
          <w:color w:val="9E3D34"/>
          <w:sz w:val="26"/>
          <w:szCs w:val="26"/>
        </w:rPr>
        <w:t xml:space="preserve">Key Points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Alcohol units are a calculable quantity</w:t>
      </w:r>
      <w:r>
        <w:rPr>
          <w:rFonts w:ascii="Calibri" w:hAnsi="Calibri" w:cs="Calibri" w:eastAsia="PingFang SC"/>
          <w:color w:val="3D3A33"/>
          <w:sz w:val="22"/>
          <w:szCs w:val="22"/>
        </w:rPr>
        <w:t xml:space="preserve">: 1 unit contains 8 g or 10 ml of pure alcohol, and units = volume (ml) × ABV (%) ÷ 1000; thus 500 ml of 4% beer is 2 units, and 1 litre of a 10% drink is 10 units. General guidance is fewer than 21 units per week for men and fewer than 14 units per week for women, with at least 2 days a week completely free of alcohol.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Psychiatric symptoms will not improve unless the drinking is addressed</w:t>
      </w:r>
      <w:r>
        <w:rPr>
          <w:rFonts w:ascii="Calibri" w:hAnsi="Calibri" w:cs="Calibri" w:eastAsia="PingFang SC"/>
          <w:color w:val="3D3A33"/>
          <w:sz w:val="22"/>
          <w:szCs w:val="22"/>
        </w:rPr>
        <w:t xml:space="preserve">: alcohol can be the primary cause of depression or cognitive impairment, in which case antidepressants are ineffective; it can also be self-medication in patients with PTSD; and it can coexist with borderline or antisocial personality disorder. Alcohol misuse is at the same time a very important risk factor for suicide.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Terminology has changed between editions</w:t>
      </w:r>
      <w:r>
        <w:rPr>
          <w:rFonts w:ascii="Calibri" w:hAnsi="Calibri" w:cs="Calibri" w:eastAsia="PingFang SC"/>
          <w:color w:val="3D3A33"/>
          <w:sz w:val="22"/>
          <w:szCs w:val="22"/>
        </w:rPr>
        <w:t xml:space="preserve">: DSM-4 separated alcohol abuse and alcohol dependence into two diagnoses (the latter the more severe); DSM-5 merged them into a single diagnosis, alcohol use disorder (AUD), graded mild, moderate or severe by the number of criteria met, and added intense craving as one of the 11 criteria (absent in DSM-4). ICD-10 still keeps the dependence syndrome as a separate diagnosis.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two hallmarks of dependence are tolerance and withdrawal</w:t>
      </w:r>
      <w:r>
        <w:rPr>
          <w:rFonts w:ascii="Calibri" w:hAnsi="Calibri" w:cs="Calibri" w:eastAsia="PingFang SC"/>
          <w:color w:val="3D3A33"/>
          <w:sz w:val="22"/>
          <w:szCs w:val="22"/>
        </w:rPr>
        <w:t xml:space="preserve">: tolerance means the same amount produces a markedly diminished effect, or a markedly increased amount is needed to achieve the previous experience; withdrawal means symptoms that appear when a long-term drinker abruptly cuts down or stops, and that are relieved by drinking again. Neurobiologically, alcohol reinforces drinking behavior through the mesolimbic dopamine pathway (VTA → nucleus accumbens), and after chronic use there is a net decrease in GABAA receptors and a net increase in NMDA glutamate receptors.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Screening and severity grading have clearly divided roles</w:t>
      </w:r>
      <w:r>
        <w:rPr>
          <w:rFonts w:ascii="Calibri" w:hAnsi="Calibri" w:cs="Calibri" w:eastAsia="PingFang SC"/>
          <w:color w:val="3D3A33"/>
          <w:sz w:val="22"/>
          <w:szCs w:val="22"/>
        </w:rPr>
        <w:t xml:space="preserve">: the four CAGE questions are used for screening (especially in primary care), and 2 or more "yes" answers warrant further assessment; AUDIT has 10 items, each scored 0–4, with a maximum of 40, and a score above 8 suggests alcohol misuse, while its first 3 items (AUDIT-C) can screen on their own; the dependence syndrome can be diagnosed with ICD-10, DSM-5, or the 1976 Edwards &amp; Gross criteria. Laboratory support comes from raised MCV (macrocytosis), raised GGT, raised ALT/AST, and raised CDT, of which CDT has the highest sensitivity and specificity but is not easily available.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Withdrawal has a clear time window</w:t>
      </w:r>
      <w:r>
        <w:rPr>
          <w:rFonts w:ascii="Calibri" w:hAnsi="Calibri" w:cs="Calibri" w:eastAsia="PingFang SC"/>
          <w:color w:val="3D3A33"/>
          <w:sz w:val="22"/>
          <w:szCs w:val="22"/>
        </w:rPr>
        <w:t xml:space="preserve">: symptoms usually appear within 6 hours of the last drink and generally settle within 48 hours; treatment is based on benzodiazepines (relatively long-acting chlordiazepoxide or diazepam, tapered gradually and usually stopped within 7–10 days), with routine thiamine to prevent Wernicke-Korsakoff syndrome.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Delirium tremens is a medical emergency</w:t>
      </w:r>
      <w:r>
        <w:rPr>
          <w:rFonts w:ascii="Calibri" w:hAnsi="Calibri" w:cs="Calibri" w:eastAsia="PingFang SC"/>
          <w:color w:val="3D3A33"/>
          <w:sz w:val="22"/>
          <w:szCs w:val="22"/>
        </w:rPr>
        <w:t xml:space="preserve">: delirium superimposed on sympathetic overactivity (tremor, tachycardia, raised blood pressure, sweating), usually appearing within 48 hours of abstinence and occasionally as late as 1 week, with significant mortality; risk factors include a previous history of DT, a history of withdrawal seizures, comorbidities such as infection, hypokalaemia or head injury, severe withdrawal symptoms during the current episode, old age, and more than 10 years of heavy drinking.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Thiamine before glucose is an iron rule</w:t>
      </w:r>
      <w:r>
        <w:rPr>
          <w:rFonts w:ascii="Calibri" w:hAnsi="Calibri" w:cs="Calibri" w:eastAsia="PingFang SC"/>
          <w:color w:val="3D3A33"/>
          <w:sz w:val="22"/>
          <w:szCs w:val="22"/>
        </w:rPr>
        <w:t xml:space="preserve">: whether in withdrawal or in DT, parenteral thiamine must be given before any glucose or dextrose, otherwise Wernicke's encephalopathy may be precipitated; only life-threatening hypoglycemia is an exception. Wernicke's encephalopathy (confusion, ataxia, nystagmus) is often reversible with high-dose parenteral thiamine for 3–7 days, whereas Korsakoff's syndrome (amnesia plus confabulation) is often treatment-resistant.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three anti-drinking drugs each have their own place</w:t>
      </w:r>
      <w:r>
        <w:rPr>
          <w:rFonts w:ascii="Calibri" w:hAnsi="Calibri" w:cs="Calibri" w:eastAsia="PingFang SC"/>
          <w:color w:val="3D3A33"/>
          <w:sz w:val="22"/>
          <w:szCs w:val="22"/>
        </w:rPr>
        <w:t xml:space="preserve">: disulfiram is an aversive agent that inhibits aldehyde dehydrogenase so that acetaldehyde accumulates, and drinking is absolutely forbidden while taking it (after drinking one must wait 24 hours before taking the drug, and no alcohol within 2 weeks of stopping it); acamprosate carries no physical risk even if the patient drinks at the same time, and responders continue for 1 year; naltrexone is an opioid receptor antagonist, corresponding to craving mediated by μ-opioid receptors. The lecture gives no dose for any of the three.</w:t>
      </w:r>
    </w:p>
    <w:p>
      <w:pPr>
        <w:spacing w:before="240" w:after="80" w:line="312" w:lineRule="auto"/>
      </w:pPr>
      <w:r>
        <w:rPr>
          <w:rFonts w:ascii="Calibri" w:hAnsi="Calibri" w:cs="Calibri" w:eastAsia="PingFang SC"/>
          <w:b/>
          <w:color w:val="9E3D34"/>
          <w:sz w:val="26"/>
          <w:szCs w:val="26"/>
        </w:rPr>
        <w:t xml:space="preserve">Detailed Notes</w:t>
      </w:r>
    </w:p>
    <w:p>
      <w:pPr>
        <w:spacing w:before="240" w:after="80" w:line="312" w:lineRule="auto"/>
      </w:pPr>
      <w:r>
        <w:rPr>
          <w:rFonts w:ascii="Calibri" w:hAnsi="Calibri" w:cs="Calibri" w:eastAsia="PingFang SC"/>
          <w:b/>
          <w:color w:val="175244"/>
          <w:sz w:val="22"/>
          <w:szCs w:val="22"/>
        </w:rPr>
        <w:t xml:space="preserve">Opening and Lecturer Introduction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title of this lecture is disorders of alcohol misuse, and the session covers in turn: calculating units of alcohol, the psychiatric consequences of alcohol misuse, the alcohol dependence syndrome, the alcohol withdrawal syndrome, delirium tremens, Wernicke-Korsakoff syndrome, and finishes with 5 multiple-choice questions based on what has been taught.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speaker is a consultant psychiatrist in Chennai, a city in southern India, who worked in the UK for many years; this explains why the lecture is organized around the British unit standard (the 8 g/10 ml "unit") and ICD-10 as its diagnostic backbone.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whole session is delivered from slides, and much of the material is passed over in the manner of "if you are interested you can pause and note down the key points" without being read aloud, including: the ICD-10 list of alcohol-related disorders, the full text of the 11 DSM-5 criteria, the wording of the four CAGE questions, the Edwards &amp; Gross criteria items, the key-point slides for disulfiram/acamprosate/naltrexone, and AA's twelve steps. This note can therefore only record the framework and conclusions the lecture explicitly states at these points, writing "not itemized in the lecture" for the specific items, without supplementing them.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proliferation of terminology is characteristic of this field: alcoholism, alcohol abuse, alcohol addiction, misuse of alcohol, risky consumption, dipsomania (periodic alcohol craving), problematic consumption and other expressions are all in circulation; this lecture consistently uses the single term alcohol misuse.</w:t>
      </w:r>
    </w:p>
    <w:p>
      <w:pPr>
        <w:spacing w:before="240" w:after="80" w:line="312" w:lineRule="auto"/>
      </w:pPr>
      <w:r>
        <w:rPr>
          <w:rFonts w:ascii="Calibri" w:hAnsi="Calibri" w:cs="Calibri" w:eastAsia="PingFang SC"/>
          <w:b/>
          <w:color w:val="175244"/>
          <w:sz w:val="22"/>
          <w:szCs w:val="22"/>
        </w:rPr>
        <w:t xml:space="preserve">1. Introduction: The Chemistry and Terminology of Alcohol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Alcohol is a class of organic compounds whose molecules contain one or more hydroxyl groups attached to carbon atoms; the word "alcohol" derives from the Arabic al-kuhl.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In everyday usage "alcohol" specifically means ethanol, also known as ethyl alcohol, although the alcohol family has other members; ethanol is the intoxicating ingredient in drinks such as beer, wine and spirits.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chemical formula of ethanol is C2H5OH, and the slide also displayed its structural formula.</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point of making the chemical and measurement background explicit is this: all the later clinical advice about "units", "weekly limits" and "binge thresholds" rests on the physical quantity "1 unit = 8 g or 10 ml of pure ethanol", not on non-comparable everyday talk about "number of glasses".</w:t>
      </w:r>
    </w:p>
    <w:p>
      <w:pPr>
        <w:spacing w:before="240" w:after="80" w:line="312" w:lineRule="auto"/>
      </w:pPr>
      <w:r>
        <w:rPr>
          <w:rFonts w:ascii="Calibri" w:hAnsi="Calibri" w:cs="Calibri" w:eastAsia="PingFang SC"/>
          <w:b/>
          <w:color w:val="175244"/>
          <w:sz w:val="22"/>
          <w:szCs w:val="22"/>
        </w:rPr>
        <w:t xml:space="preserve">2. Calculating Units of Alcohol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One unit of alcohol contains 8 g or 10 ml of pure alcohol; units = volume (ml) × ABV (%) ÷ 1000, where ABV (alcohol by volume) is the drink's alcohol content expressed as a percentage.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Conversion example: for 500 ml of beer at ABV 4%, units = 500 × 4 ÷ 1000 = 2 units. The same formula is used in MCQ 1: 1 litre (1000 ml) of a drink at ABV 10% = 10 units, so option B is correct.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General drinking advice: fewer than 21 units a week for men, fewer than 14 units a week for women; at least 2 days a week completely free of alcohol (alcohol-free days); alcohol should be avoided in pregnancy; episodic excessive consumption (episodic excessive consumption) should be avoided.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Episodic binge drinking is defined as more than 8 units in a single day for men and more than 6 units for women; it measures the intensity of a single drinking occasion, a different risk dimension from the weekly total.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Recommendations differ between professional bodies, and each body keeps updating its own advice; the figures on the slide are the usual advice that is "broadly right", and clinical practice should follow the latest guidance in your own region.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slide showing "common drinks containing 1 unit of alcohol" was presented as a slide image and was not read out item by item in the transcript: no specific items are given in the lecture.</w:t>
      </w:r>
    </w:p>
    <w:p>
      <w:pPr>
        <w:spacing w:before="240" w:after="80" w:line="312" w:lineRule="auto"/>
      </w:pPr>
      <w:r>
        <w:rPr>
          <w:rFonts w:ascii="Calibri" w:hAnsi="Calibri" w:cs="Calibri" w:eastAsia="PingFang SC"/>
          <w:b/>
          <w:color w:val="175244"/>
          <w:sz w:val="22"/>
          <w:szCs w:val="22"/>
        </w:rPr>
        <w:t xml:space="preserve">3. Psychiatric Consequences of Alcohol Misuse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Alcohol is associated with many mental disorders, and the relationship falls into three categories. First: alcohol is the primary cause of psychiatric symptoms, for example depression or cognitive impairment — in which case "unless you address the alcohol problem, the symptoms will persist"; this is the explanation for why some depressed patients do not respond to antidepressants, so a drinking history must be actively taken and acted 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Second: patients use alcohol to cope with their symptoms, i.e. self-medicate, for example patients with PTSD drinking for severe anxiety, nightmares and intrusive recollections. Third: alcohol misuse occurs alongside mental disorders, for example heavy drinking in borderline personality disorder, and drink-driving and binge eating in antisocial personality disorder.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Psychiatric symptoms can appear across the whole spectrum of alcohol misuse disorders — intoxication, dependence and withdrawal alike.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Intoxicated patients do not usually enter routine psychiatric services: they are picked up by the police or by emergency services. Dependence and withdrawal are the two disorders psychiatrists must be familiar with.</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Alcohol misuse is a very important risk factor for suicide (suicide), and this must be asked about separately in risk assessment.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ICD-10 lists a group of alcohol-related disorders, and this lecture focuses on three of them: the dependence syndrome (dependence syndrome), the withdrawal syndrome (withdrawal syndrome), and the amnesic syndrome (amnesic syndrome) that forms part of Wernicke-Korsakoff syndrome. The complete ICD-10 list is shown on a slide and was not read out item by item in the transcript.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evolution of DSM: in DSM-4, alcohol abuse and alcohol dependence were two separate diagnoses, dependence being more severe than abuse; DSM-5 merged them into the single diagnosis of alcohol use disorder (alcohol use disorder, AUD), graded mild, moderate or severe by the number of criteria met.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DSM-5's AUD has 11 criteria, of which intense craving (intense craving) is a new item not present in DSM-4; the 11 criteria are listed on two slides and their original wording was not read aloud in the transcript.</w:t>
      </w:r>
    </w:p>
    <w:p>
      <w:pPr>
        <w:spacing w:before="240" w:after="80" w:line="312" w:lineRule="auto"/>
      </w:pPr>
      <w:r>
        <w:rPr>
          <w:rFonts w:ascii="Calibri" w:hAnsi="Calibri" w:cs="Calibri" w:eastAsia="PingFang SC"/>
          <w:b/>
          <w:color w:val="175244"/>
          <w:sz w:val="22"/>
          <w:szCs w:val="22"/>
        </w:rPr>
        <w:t xml:space="preserve">4. Alcohol Dependence Syndrome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ICD-10 criteria for alcohol dependence syndrome are listed on a slide; the core features that can be confirmed are tolerance (tolerance) and withdrawal (withdrawal). Tolerance means the same amount of alcohol produces a markedly diminished effect, or a markedly increased amount is needed to obtain the previous effect; withdrawal means symptoms that appear when alcohol is suddenly reduced or stopped after prolonged use, and these symptoms are relieved by drinking again. (The transcript's subtitle here reads "tolerance and abstinence", but from the explanation immediately following it should be tolerance and withdrawal.)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Neurobiology — the reward pathway: alcohol stimulates the release of endorphins (endorphins) and stimulates dopamine release from the ventral tegmental area (ventral tegmental area, VTA) into the nucleus accumbens (nucleus accumbens). This mesolimbic dopaminergic pathway (mesolimbic dopaminergic pathway) belongs to the brain's reward, motivation and pleasure systems, with the result that drinking behavior is linked to pleasure and reinforced.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μ-opioid receptors (mu-opioid receptors) appear to play a role in intense cravings (intense cravings) — this is the mechanistic basis for using naltrexone (an opioid receptor antagonist) in the treatment of alcohol dependence.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transmitter changes occur in two stages: early in drinking, alcohol enhances GABAergic transmission and inhibits glutamatergic transmission, a net inhibitory effect; after chronic use multiple changes arise through receptor up-regulation/down-regulation and the like, the overall pattern being a net decrease in GABAA receptors and a net increase in NMDA glutamate receptors.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Withdrawal symptoms are thereby explained: the body has become accustomed to alcohol's inhibitory effect, and once that effect suddenly disappears the central nervous system becomes intensely hyperactive (intensely hyperactive).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Serotonin (serotonin) is also involved in reinforcing drinking behavior: 5-HT activity is raised in acute intoxication and lowered in the addicted state, the latter possibly contributing to craving. In addition, many other factors such as CRF and neuropeptide Y (neuropeptide Y) may also be related to alcohol misuse.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Genetics and risk factors: a family history of alcoholism is an important risk factor, supporting a role for genetic factors; a number of polymorphisms (polymorphisms) have been found to be associated with alcohol misuse (listed on the slide, not read out item by item in the transcript). Those with genetic susceptibility begin heavy drinking at an earlier age than those who develop alcohol misuse against a background of psychosocial risk factors.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division of labor among the assessment tools: screening uses the CAGE questionnaire; assessing severity uses the AUDIT questionnaire; diagnosing alcohol dependence uses the ICD-10 criteria, the DSM-5 criteria or the Edwards &amp; Gross criteria.</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CAGE: widely used for screening, especially in primary care (primary care); CAGE is an acronym taken from the wording of its four questions, and the lecture states that "if the patient answers yes to 2 or more of the questions, it is worth further assessment". The exact wording of the four questions is presented on a slide and was not read aloud in the transcript.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AUDIT: the full name is Alcohol Use Disorders Identification Test, more detailed than CAGE; there are 10 items, each scored 0–4, so a maximum of 40, and a score above 8 suggests alcohol misuse. The first 3 items are called AUDIT-C because they ask directly about actual alcohol consumption, and can be used alone for screening; completing all 10 items is the full AUDIT, whose total score quantifies the severity of alcohol misuse.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Edwards &amp; Gross criteria: proposed in 1976, enormously influential in this field, and the overall basis for the ICD-10 alcohol dependence criteria; the items are listed on a slide and were not read aloud in the transcript.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Laboratory measures supporting the diagnosis: raised MCV (i.e. macrocytosis macrocytosis), raised GGT (a liver enzyme), raised ALT and AST (both liver enzymes), and raised CDT (carbohydrate-deficient transferrin, carbohydrate-deficient transferrin). Of these, CDT has the highest sensitivity and specificity, but it is not easily available in many laboratories.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treatment overview falls into three categories: non-drug treatment, drug treatment, and other interventions. The leading non-drug approach is motivational interviewing (motivational interviewing); the drugs are the three most commonly used (disulfiram, acamprosate, naltrexone); the representative of "other" is lay intervention — Alcoholics Anonymous (Alcoholics Anonymous).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Motivational interviewing: a brief treatment (brief treatment) developed by the clinical psychologists Miller and Rollnick, with a solid evidence base for its effectiveness in alcohol use disorders. The three components of motivation are preparation (preparation), readiness (readiness) and ability (ability); the core of motivational interviewing is helping the patient work through their ambivalence (ambivalence) about making change, while respecting the person's right to make their own decision.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Miller's definition of motivational interviewing: it is a person-centered, goal-oriented communication method for evoking and strengthening the person's own motivation for positive change. It is explicitly not a form of cognitive-behavioral therapy (CBT), not a panacea for every clinical challenge, and not a means of tricking people into doing what you want them to do.</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stages of change model: motivational interviewing was influenced by Prochaska and DiClemente's stages of change model (stages of change model), whose stages are precontemplation (precontemplation), contemplation (contemplation), determination or preparation (determination or preparation), action (action), relapse (relapse) and maintenance (maintenance). The patient may be at any one of these stages, and the intervention must be matched to it.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OARS techniques: the acronym for remembering the commonly used techniques of motivational interviewing is OARS — open questions (open questions), affirmations/statements (the transcript says statements), reflective listening (reflective listening) and summary (summary).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Disulfiram (disulfiram): belongs to the aversive agents (aversive agent); its action is to inhibit aldehyde dehydrogenase (aldehyde dehydrogenase), so that acetaldehyde (acetaldehyde) accumulates and physical symptoms are produced when the patient drinks. The most important safety point is that the patient must absolutely not drink while taking the drug; if the patient has already drunk, at least 24 hours must pass before disulfiram can be taken; likewise, no alcohol within 2 weeks of stopping disulfiram. Patients must also be warned that alcohol may be present in food, perfume, medicines and the like. Dose: the lecture gives no specific dose.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Acamprosate (acamprosate): when acamprosate is used, there is no physical risk even if the patient drinks; for patients who appear to respond to maintenance treatment, the recommended course is 1 year. Dose: the lecture gives no specific dose.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Naltrexone (naltrexone): an opioid receptor antagonist (opioid receptor antagonist). Dose: the lecture gives no specific dose.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Alcoholics Anonymous (Alcoholics Anonymous, AA): founded in 1935 by Bill Wilson and Bob Smith in the United States, a mutual-support program for alcohol addicts that uses a 12-step program (12-step program) promoting spiritual and character development. Its main guide is a book first published in 1939 and informally known as "the big book"; AA is now present in many countries and has inspired Narcotics Anonymous (Narcotics Anonymous), which helps people with substance misuse. The 12 steps are presented on a slide and were not read aloud in the transcript.</w:t>
      </w:r>
    </w:p>
    <w:p>
      <w:pPr>
        <w:spacing w:before="240" w:after="80" w:line="312" w:lineRule="auto"/>
      </w:pPr>
      <w:r>
        <w:rPr>
          <w:rFonts w:ascii="Calibri" w:hAnsi="Calibri" w:cs="Calibri" w:eastAsia="PingFang SC"/>
          <w:b/>
          <w:color w:val="175244"/>
          <w:sz w:val="22"/>
          <w:szCs w:val="22"/>
        </w:rPr>
        <w:t xml:space="preserve">5. Alcohol Withdrawal Syndrome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Definition: the syndrome that appears when, after prolonged regular heavy drinking, the patient suddenly stops drinking, reduces the amount drunk, or delays drinking.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mechanism is the same as in the dependence section: alcohol's inhibitory effect suddenly disappears, so the central nervous system becomes acutely hyperactive (acutely hyperactive).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Those with a previous history of withdrawal syndrome have a significantly increased risk of withdrawal occurring again, so "were there any symptoms when you stopped drinking before" is a mandatory history question.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Time window: withdrawal symptoms usually begin within 6 hours of the last drink, and generally settle within 48 hours.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Common signs and symptoms: tremors (tremors), sweating, insomnia, nausea and vomiting, anxiety, restlessness (restlessness), agitation (agitation), palpitations and tachycardia.</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Other manifestations: headache; hallucinations or illusions (hallucinations or illusions), which may be visual, auditory, tactile or in other forms.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Seizures: these may take the form of generalized tonic-clonic seizures (generalized tonic-clonic seizures), an emergency signal within the withdrawal spectrum requiring the highest vigilance.</w:t>
      </w:r>
    </w:p>
    <w:p>
      <w:pPr>
        <w:spacing w:before="240" w:after="80" w:line="312" w:lineRule="auto"/>
      </w:pPr>
      <w:r>
        <w:rPr>
          <w:rFonts w:ascii="Calibri" w:hAnsi="Calibri" w:cs="Calibri" w:eastAsia="PingFang SC"/>
          <w:b/>
          <w:color w:val="175244"/>
          <w:sz w:val="22"/>
          <w:szCs w:val="22"/>
        </w:rPr>
        <w:t xml:space="preserve">6. Delirium Tremens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Definition: delirium tremens is a delirium occurring against the background of the alcohol withdrawal syndrome, and therefore has the features shared by any delirium — clouding of consciousness (clouding of consciousness), disorientation (disorientation), lack of attention (lack of attention) and so 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Its distinctive hallmark is autonomic instability (autonomic instability), mainly sympathetic overactivity. The presentation is therefore just as the name suggests: tremor, together with tachycardia, raised blood pressure, sweating and the like.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Time window: DT usually occurs within 48 hours of abstinence (abstinence), but occasionally may not appear until as late as 1 week afterwards, so an uneventful short period of observation cannot easily rule it out.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One suggestion is that DT is commoner in white people (white people) than in black people (black people) — an epidemiological observation, not a diagnostic criterion.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How to classify it: DT is a medical emergency (medical emergency) with significant mortality, and must not be managed as ordinary withdrawal.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Risk factors: a previous history of DT; a previous history of withdrawal seizures; medical comorbidity such as infection, hypokalaemia (hypokalemia) or head injury; severe withdrawal symptoms during the current episode; old age; and a history of more than 10 years of heavy drinking.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Assessment points: take a complete drinking history, trying to establish the exact time of the last drink; perform a thorough physical examination; assess the severity of the withdrawal symptoms (where possible, using a scale that gives a score — the lecture gives no specific scale); carry out blood tests and other relevant investigations; monitor vital signs frequently.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treatment framework for the withdrawal syndrome: benzodiazepines (benzodiazepines) are the mainstay of treatment, and besides relieving symptoms can also prevent seizures and delirium tremens. Patients with significant risk factors need hospital detoxification (hospital detoxification); patients without major risk factors who have a reliable 24-hour carer can be managed as outpatients.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Benzodiazepine choice and course: relatively long-acting benzodiazepines are generally used, such as chlordiazepoxide (chlordiazepoxide, trade name Librium) or diazepam (diazepam, trade name Valium); the initial dose depends on the severity of the withdrawal symptoms, after which the dose is tapered gradually and the drug is usually stopped within 7 to 10 days. Thiamine (thiamine) is also recommended to prevent Wernicke-Korsakoff syndrome.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Where DT is managed: it should be managed in ICU or a general medicine ward (general medicine ward). Fluid and electrolyte disturbances must be identified and corrected; underlying comorbid infection or other physical illness must be identified and treated.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iron rule of administration order in DT: give parenteral thiamine (parenteral thiamine) before any glucose or dextrose (glucose/dextrose), to reduce the risk of precipitating Wernicke's encephalopathy.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Medication details in DT: benzodiazepines remain the mainstay of treatment; in an acute delirious state intramuscular or intravenous administration may be needed, switching to oral preparations as soon as possible; for acute agitation, short-acting lorazepam (lorazepam) may help. Antipsychotics lower the seizure threshold (lower the seizure threshold) and are therefore used only when strictly necessary.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Extreme cases: patients with severe delirium tremens may need deep sedation (deep sedation), endotracheal intubation and mechanical ventilation in ICU.</w:t>
      </w:r>
    </w:p>
    <w:p>
      <w:pPr>
        <w:spacing w:before="240" w:after="80" w:line="312" w:lineRule="auto"/>
      </w:pPr>
      <w:r>
        <w:rPr>
          <w:rFonts w:ascii="Calibri" w:hAnsi="Calibri" w:cs="Calibri" w:eastAsia="PingFang SC"/>
          <w:b/>
          <w:color w:val="175244"/>
          <w:sz w:val="22"/>
          <w:szCs w:val="22"/>
        </w:rPr>
        <w:t xml:space="preserve">7. Wernicke-Korsakoff Syndrome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It is really two different but related syndromes: Wernicke's encephalopathy (Wernicke's encephalopathy) is the acute phenomenon, and the chronic state is Korsakoff's syndrome (Korsakoff's syndrome), also known as Korsakoff's psychosis (Korsakoff's psychosis) or amnesic syndrome (amnesic syndrome). The lecture also notes that the name Korsakoff is spelled differently in different textbooks.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Historical origins: Wernicke's encephalopathy was first described by the German physician Carl Wernicke, after whom Wernicke's area of language function is also named; Korsakoff's syndrome was first described by the Russian neuropsychiatrist Sergei Korsakov.</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longitudinal relationship between the two is not symmetric: many cases of Wernicke's encephalopathy do not progress to Korsakoff's syndrome; equally, not all Korsakoff's syndrome has a clear history of Wernicke's encephalopathy preceding it.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cause is thiamine (thiamine, vitamin B1) deficiency, of which chronic alcoholism is the commonest and best studied cause; there are also many other potential causes (listed on the slide, not read out item by item in the transcript).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Mechanism: thiamine plays an important role in axonal conduction (axonal conduction), and severe deficiency can lead to neuronal death.</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classic features of Wernicke's encephalopathy: confusion (confusion), ataxia (ataxia), nystagmus (nystagmus).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classic features of Korsakoff's syndrome: inability to learn or store new information (inability to learn or store new information) and confabulation (confabulation). Confabulation means that the patient fills the gaps in their memory with incorrect information, but this is not deliberate lying on the patient's part.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Treatment: high-dose parenteral thiamine, usually for 3 to 7 days (depending on the initial response), can successfully reverse the symptoms of Wernicke's encephalopathy. Without treatment the risk of progression to Korsakoff's syndrome is high, although not all patients progress.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Prognosis: the symptoms of Korsakoff's syndrome are often treatment-resistant; however, some patients may benefit from high-dose oral thiamine maintenance treatment together with abstinence.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Key contraindication: as stated above, glucose or dextrose should not be given before thiamine, because it may precipitate Wernicke's encephalopathy; the transcript here offers "unless it is life-threatening hypoglycemia (life-threatening hypoglycemia)" as an exception, but that sentence is incomplete in the automatic subtitles, and only the existence of this exception can be confirmed.</w:t>
      </w:r>
    </w:p>
    <w:p>
      <w:pPr>
        <w:spacing w:before="240" w:after="80" w:line="312" w:lineRule="auto"/>
      </w:pPr>
      <w:r>
        <w:rPr>
          <w:rFonts w:ascii="Calibri" w:hAnsi="Calibri" w:cs="Calibri" w:eastAsia="PingFang SC"/>
          <w:b/>
          <w:color w:val="175244"/>
          <w:sz w:val="22"/>
          <w:szCs w:val="22"/>
        </w:rPr>
        <w:t xml:space="preserve">5 Self-Assessment MCQs (The Presentation Finishes with a Set of 5 Self-Assessment MCQs)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lecture closes with a set of 5 single-answer questions; each question stem is given with time left for the audience to pause and answer, before the correct option and its rationale are revealed, so it serves at once as a revision checklist and a self-testing route.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knowledge covered by the 5 questions is: conversion of alcohol units (question 1), the rule for supplementing thiamine in patients with alcohol use disorder (question 2), which blood test result does not support alcohol misuse (question 3), the commonly used techniques of motivational interviewing (question 4), and the clinical characteristics of acamprosate (question 5).</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question stems, option outlines, answers and explanations are given below in the section "Self-Assessment MCQs and Answers"; the options for question 4 were not read out in the transcript, and all that can be confirmed is that "option C" is not a technique used in motivational interviewing.</w:t>
      </w:r>
    </w:p>
    <w:p>
      <w:pPr>
        <w:spacing w:before="240" w:after="80" w:line="312" w:lineRule="auto"/>
      </w:pPr>
      <w:r>
        <w:rPr>
          <w:rFonts w:ascii="Calibri" w:hAnsi="Calibri" w:cs="Calibri" w:eastAsia="PingFang SC"/>
          <w:b/>
          <w:color w:val="9E3D34"/>
          <w:sz w:val="26"/>
          <w:szCs w:val="26"/>
        </w:rPr>
        <w:t xml:space="preserve">Scales and Assessment Tools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CAGE questionnaire</w:t>
      </w:r>
      <w:r>
        <w:rPr>
          <w:rFonts w:ascii="Calibri" w:hAnsi="Calibri" w:cs="Calibri" w:eastAsia="PingFang SC"/>
          <w:color w:val="3D3A33"/>
          <w:sz w:val="22"/>
          <w:szCs w:val="22"/>
        </w:rPr>
        <w:t xml:space="preserve">: used for </w:t>
      </w:r>
      <w:r>
        <w:rPr>
          <w:rFonts w:ascii="Calibri" w:hAnsi="Calibri" w:cs="Calibri" w:eastAsia="PingFang SC"/>
          <w:b/>
          <w:color w:val="3D3A33"/>
          <w:sz w:val="22"/>
          <w:szCs w:val="22"/>
        </w:rPr>
        <w:t xml:space="preserve">screening</w:t>
      </w:r>
      <w:r>
        <w:rPr>
          <w:rFonts w:ascii="Calibri" w:hAnsi="Calibri" w:cs="Calibri" w:eastAsia="PingFang SC"/>
          <w:color w:val="3D3A33"/>
          <w:sz w:val="22"/>
          <w:szCs w:val="22"/>
        </w:rPr>
        <w:t xml:space="preserve"> for alcohol misuse, most practically in the primary care (primary care) setting. CAGE is an acronym taken from the wording of its four questions; the rule for interpretation is that </w:t>
      </w:r>
      <w:r>
        <w:rPr>
          <w:rFonts w:ascii="Calibri" w:hAnsi="Calibri" w:cs="Calibri" w:eastAsia="PingFang SC"/>
          <w:b/>
          <w:color w:val="3D3A33"/>
          <w:sz w:val="22"/>
          <w:szCs w:val="22"/>
        </w:rPr>
        <w:t xml:space="preserve">2 or more "yes" answers mean further assessment is needed</w:t>
      </w:r>
      <w:r>
        <w:rPr>
          <w:rFonts w:ascii="Calibri" w:hAnsi="Calibri" w:cs="Calibri" w:eastAsia="PingFang SC"/>
          <w:color w:val="3D3A33"/>
          <w:sz w:val="22"/>
          <w:szCs w:val="22"/>
        </w:rPr>
        <w:t xml:space="preserve">. The exact wording of the four questions was presented on slides in the lecture and not read aloud in the transcript, so it is not repeated here.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AUDIT (Alcohol Use Disorders Identification Test)</w:t>
      </w:r>
      <w:r>
        <w:rPr>
          <w:rFonts w:ascii="Calibri" w:hAnsi="Calibri" w:cs="Calibri" w:eastAsia="PingFang SC"/>
          <w:color w:val="3D3A33"/>
          <w:sz w:val="22"/>
          <w:szCs w:val="22"/>
        </w:rPr>
        <w:t xml:space="preserve">: used to assess the </w:t>
      </w:r>
      <w:r>
        <w:rPr>
          <w:rFonts w:ascii="Calibri" w:hAnsi="Calibri" w:cs="Calibri" w:eastAsia="PingFang SC"/>
          <w:b/>
          <w:color w:val="3D3A33"/>
          <w:sz w:val="22"/>
          <w:szCs w:val="22"/>
        </w:rPr>
        <w:t xml:space="preserve">severity</w:t>
      </w:r>
      <w:r>
        <w:rPr>
          <w:rFonts w:ascii="Calibri" w:hAnsi="Calibri" w:cs="Calibri" w:eastAsia="PingFang SC"/>
          <w:color w:val="3D3A33"/>
          <w:sz w:val="22"/>
          <w:szCs w:val="22"/>
        </w:rPr>
        <w:t xml:space="preserve"> of alcohol misuse, more detailed than CAGE. There are </w:t>
      </w:r>
      <w:r>
        <w:rPr>
          <w:rFonts w:ascii="Calibri" w:hAnsi="Calibri" w:cs="Calibri" w:eastAsia="PingFang SC"/>
          <w:b/>
          <w:color w:val="3D3A33"/>
          <w:sz w:val="22"/>
          <w:szCs w:val="22"/>
        </w:rPr>
        <w:t xml:space="preserve">10 items</w:t>
      </w:r>
      <w:r>
        <w:rPr>
          <w:rFonts w:ascii="Calibri" w:hAnsi="Calibri" w:cs="Calibri" w:eastAsia="PingFang SC"/>
          <w:color w:val="3D3A33"/>
          <w:sz w:val="22"/>
          <w:szCs w:val="22"/>
        </w:rPr>
        <w:t xml:space="preserve">, each scored </w:t>
      </w:r>
      <w:r>
        <w:rPr>
          <w:rFonts w:ascii="Calibri" w:hAnsi="Calibri" w:cs="Calibri" w:eastAsia="PingFang SC"/>
          <w:b/>
          <w:color w:val="3D3A33"/>
          <w:sz w:val="22"/>
          <w:szCs w:val="22"/>
        </w:rPr>
        <w:t xml:space="preserve">0–4</w:t>
      </w:r>
      <w:r>
        <w:rPr>
          <w:rFonts w:ascii="Calibri" w:hAnsi="Calibri" w:cs="Calibri" w:eastAsia="PingFang SC"/>
          <w:color w:val="3D3A33"/>
          <w:sz w:val="22"/>
          <w:szCs w:val="22"/>
        </w:rPr>
        <w:t xml:space="preserve">, with a </w:t>
      </w:r>
      <w:r>
        <w:rPr>
          <w:rFonts w:ascii="Calibri" w:hAnsi="Calibri" w:cs="Calibri" w:eastAsia="PingFang SC"/>
          <w:b/>
          <w:color w:val="3D3A33"/>
          <w:sz w:val="22"/>
          <w:szCs w:val="22"/>
        </w:rPr>
        <w:t xml:space="preserve">maximum of 40</w:t>
      </w:r>
      <w:r>
        <w:rPr>
          <w:rFonts w:ascii="Calibri" w:hAnsi="Calibri" w:cs="Calibri" w:eastAsia="PingFang SC"/>
          <w:color w:val="3D3A33"/>
          <w:sz w:val="22"/>
          <w:szCs w:val="22"/>
        </w:rPr>
        <w:t xml:space="preserve">; </w:t>
      </w:r>
      <w:r>
        <w:rPr>
          <w:rFonts w:ascii="Calibri" w:hAnsi="Calibri" w:cs="Calibri" w:eastAsia="PingFang SC"/>
          <w:b/>
          <w:color w:val="3D3A33"/>
          <w:sz w:val="22"/>
          <w:szCs w:val="22"/>
        </w:rPr>
        <w:t xml:space="preserve">a score above 8 suggests alcohol misuse</w:t>
      </w:r>
      <w:r>
        <w:rPr>
          <w:rFonts w:ascii="Calibri" w:hAnsi="Calibri" w:cs="Calibri" w:eastAsia="PingFang SC"/>
          <w:color w:val="3D3A33"/>
          <w:sz w:val="22"/>
          <w:szCs w:val="22"/>
        </w:rPr>
        <w:t xml:space="preserve">. </w:t>
      </w:r>
      <w:r>
        <w:rPr>
          <w:rFonts w:ascii="Calibri" w:hAnsi="Calibri" w:cs="Calibri" w:eastAsia="PingFang SC"/>
          <w:b/>
          <w:color w:val="3D3A33"/>
          <w:sz w:val="22"/>
          <w:szCs w:val="22"/>
        </w:rPr>
        <w:t xml:space="preserve">AUDIT-C</w:t>
      </w:r>
      <w:r>
        <w:rPr>
          <w:rFonts w:ascii="Calibri" w:hAnsi="Calibri" w:cs="Calibri" w:eastAsia="PingFang SC"/>
          <w:color w:val="3D3A33"/>
          <w:sz w:val="22"/>
          <w:szCs w:val="22"/>
        </w:rPr>
        <w:t xml:space="preserve"> refers to the first 3 items (which ask directly about actual alcohol consumption) and can be used alone for screening; completing all 10 items is the full AUDIT, which quantifies severity from the total score.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ICD-10 alcohol dependence syndrome criteria</w:t>
      </w:r>
      <w:r>
        <w:rPr>
          <w:rFonts w:ascii="Calibri" w:hAnsi="Calibri" w:cs="Calibri" w:eastAsia="PingFang SC"/>
          <w:color w:val="3D3A33"/>
          <w:sz w:val="22"/>
          <w:szCs w:val="22"/>
        </w:rPr>
        <w:t xml:space="preserve">: one of the criteria sets used in this lecture to diagnose alcohol dependence; the items are listed on slides in the lecture and were not read out item by item in the transcript, and the core features that can be confirmed are tolerance and withdrawal.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DSM-5 alcohol use disorder (AUD) criteria</w:t>
      </w:r>
      <w:r>
        <w:rPr>
          <w:rFonts w:ascii="Calibri" w:hAnsi="Calibri" w:cs="Calibri" w:eastAsia="PingFang SC"/>
          <w:color w:val="3D3A33"/>
          <w:sz w:val="22"/>
          <w:szCs w:val="22"/>
        </w:rPr>
        <w:t xml:space="preserve">: </w:t>
      </w:r>
      <w:r>
        <w:rPr>
          <w:rFonts w:ascii="Calibri" w:hAnsi="Calibri" w:cs="Calibri" w:eastAsia="PingFang SC"/>
          <w:b/>
          <w:color w:val="3D3A33"/>
          <w:sz w:val="22"/>
          <w:szCs w:val="22"/>
        </w:rPr>
        <w:t xml:space="preserve">11 items</w:t>
      </w:r>
      <w:r>
        <w:rPr>
          <w:rFonts w:ascii="Calibri" w:hAnsi="Calibri" w:cs="Calibri" w:eastAsia="PingFang SC"/>
          <w:color w:val="3D3A33"/>
          <w:sz w:val="22"/>
          <w:szCs w:val="22"/>
        </w:rPr>
        <w:t xml:space="preserve"> in total, of which intense craving (craving) is a new item (absent in DSM-4); graded </w:t>
      </w:r>
      <w:r>
        <w:rPr>
          <w:rFonts w:ascii="Calibri" w:hAnsi="Calibri" w:cs="Calibri" w:eastAsia="PingFang SC"/>
          <w:b/>
          <w:color w:val="3D3A33"/>
          <w:sz w:val="22"/>
          <w:szCs w:val="22"/>
        </w:rPr>
        <w:t xml:space="preserve">mild, moderate, severe</w:t>
      </w:r>
      <w:r>
        <w:rPr>
          <w:rFonts w:ascii="Calibri" w:hAnsi="Calibri" w:cs="Calibri" w:eastAsia="PingFang SC"/>
          <w:color w:val="3D3A33"/>
          <w:sz w:val="22"/>
          <w:szCs w:val="22"/>
        </w:rPr>
        <w:t xml:space="preserve"> by the number of items met. The 11 original items are listed on two slides and were not read aloud in the transcript.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Edwards &amp; Gross criteria</w:t>
      </w:r>
      <w:r>
        <w:rPr>
          <w:rFonts w:ascii="Calibri" w:hAnsi="Calibri" w:cs="Calibri" w:eastAsia="PingFang SC"/>
          <w:color w:val="3D3A33"/>
          <w:sz w:val="22"/>
          <w:szCs w:val="22"/>
        </w:rPr>
        <w:t xml:space="preserve">: proposed in </w:t>
      </w:r>
      <w:r>
        <w:rPr>
          <w:rFonts w:ascii="Calibri" w:hAnsi="Calibri" w:cs="Calibri" w:eastAsia="PingFang SC"/>
          <w:b/>
          <w:color w:val="3D3A33"/>
          <w:sz w:val="22"/>
          <w:szCs w:val="22"/>
        </w:rPr>
        <w:t xml:space="preserve">1976</w:t>
      </w:r>
      <w:r>
        <w:rPr>
          <w:rFonts w:ascii="Calibri" w:hAnsi="Calibri" w:cs="Calibri" w:eastAsia="PingFang SC"/>
          <w:color w:val="3D3A33"/>
          <w:sz w:val="22"/>
          <w:szCs w:val="22"/>
        </w:rPr>
        <w:t xml:space="preserve">, a highly influential diagnostic framework for dependence in this field, and the overall basis for the ICD-10 alcohol dependence criteria; the items are listed on slides and were not read aloud in the transcript.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Withdrawal severity scale</w:t>
      </w:r>
      <w:r>
        <w:rPr>
          <w:rFonts w:ascii="Calibri" w:hAnsi="Calibri" w:cs="Calibri" w:eastAsia="PingFang SC"/>
          <w:color w:val="3D3A33"/>
          <w:sz w:val="22"/>
          <w:szCs w:val="22"/>
        </w:rPr>
        <w:t xml:space="preserve">: when assessing withdrawal the lecture advises "where possible, using a scale that can give a score" (for example to guide the initial benzodiazepine dose), but </w:t>
      </w:r>
      <w:r>
        <w:rPr>
          <w:rFonts w:ascii="Calibri" w:hAnsi="Calibri" w:cs="Calibri" w:eastAsia="PingFang SC"/>
          <w:b/>
          <w:color w:val="3D3A33"/>
          <w:sz w:val="22"/>
          <w:szCs w:val="22"/>
        </w:rPr>
        <w:t xml:space="preserve">no specific scale is named</w:t>
      </w:r>
      <w:r>
        <w:rPr>
          <w:rFonts w:ascii="Calibri" w:hAnsi="Calibri" w:cs="Calibri" w:eastAsia="PingFang SC"/>
          <w:color w:val="3D3A33"/>
          <w:sz w:val="22"/>
          <w:szCs w:val="22"/>
        </w:rPr>
        <w:t xml:space="preserve"> (nothing such as CIWA is mentioned).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Laboratory support measures (not scales, but objective assessment)</w:t>
      </w:r>
      <w:r>
        <w:rPr>
          <w:rFonts w:ascii="Calibri" w:hAnsi="Calibri" w:cs="Calibri" w:eastAsia="PingFang SC"/>
          <w:color w:val="3D3A33"/>
          <w:sz w:val="22"/>
          <w:szCs w:val="22"/>
        </w:rPr>
        <w:t xml:space="preserve">: raised MCV/macrocytosis, raised GGT, raised ALT and AST, raised CDT; </w:t>
      </w:r>
      <w:r>
        <w:rPr>
          <w:rFonts w:ascii="Calibri" w:hAnsi="Calibri" w:cs="Calibri" w:eastAsia="PingFang SC"/>
          <w:b/>
          <w:color w:val="3D3A33"/>
          <w:sz w:val="22"/>
          <w:szCs w:val="22"/>
        </w:rPr>
        <w:t xml:space="preserve">CDT has the highest sensitivity and specificity, but is not easily available in many laboratories</w:t>
      </w:r>
      <w:r>
        <w:rPr>
          <w:rFonts w:ascii="Calibri" w:hAnsi="Calibri" w:cs="Calibri" w:eastAsia="PingFang SC"/>
          <w:color w:val="3D3A33"/>
          <w:sz w:val="22"/>
          <w:szCs w:val="22"/>
        </w:rPr>
        <w:t xml:space="preserve">. The lecture gives no numerical cut-off values for any measure.</w:t>
      </w:r>
    </w:p>
    <w:p>
      <w:pPr>
        <w:spacing w:before="240" w:after="80" w:line="312" w:lineRule="auto"/>
      </w:pPr>
      <w:r>
        <w:rPr>
          <w:rFonts w:ascii="Calibri" w:hAnsi="Calibri" w:cs="Calibri" w:eastAsia="PingFang SC"/>
          <w:b/>
          <w:color w:val="9E3D34"/>
          <w:sz w:val="26"/>
          <w:szCs w:val="26"/>
        </w:rPr>
        <w:t xml:space="preserve">Medication and Treatment Points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Disulfiram (disulfiram)</w:t>
      </w:r>
      <w:r>
        <w:rPr>
          <w:rFonts w:ascii="Calibri" w:hAnsi="Calibri" w:cs="Calibri" w:eastAsia="PingFang SC"/>
          <w:color w:val="3D3A33"/>
          <w:sz w:val="22"/>
          <w:szCs w:val="22"/>
        </w:rPr>
        <w:t xml:space="preserve">: class </w:t>
      </w:r>
      <w:r>
        <w:rPr>
          <w:rFonts w:ascii="Calibri" w:hAnsi="Calibri" w:cs="Calibri" w:eastAsia="PingFang SC"/>
          <w:b/>
          <w:color w:val="3D3A33"/>
          <w:sz w:val="22"/>
          <w:szCs w:val="22"/>
        </w:rPr>
        <w:t xml:space="preserve">aversive agent (aversive agent)</w:t>
      </w:r>
      <w:r>
        <w:rPr>
          <w:rFonts w:ascii="Calibri" w:hAnsi="Calibri" w:cs="Calibri" w:eastAsia="PingFang SC"/>
          <w:color w:val="3D3A33"/>
          <w:sz w:val="22"/>
          <w:szCs w:val="22"/>
        </w:rPr>
        <w:t xml:space="preserve">; mechanism is inhibition of </w:t>
      </w:r>
      <w:r>
        <w:rPr>
          <w:rFonts w:ascii="Calibri" w:hAnsi="Calibri" w:cs="Calibri" w:eastAsia="PingFang SC"/>
          <w:b/>
          <w:color w:val="3D3A33"/>
          <w:sz w:val="22"/>
          <w:szCs w:val="22"/>
        </w:rPr>
        <w:t xml:space="preserve">aldehyde dehydrogenase (aldehyde dehydrogenase)</w:t>
      </w:r>
      <w:r>
        <w:rPr>
          <w:rFonts w:ascii="Calibri" w:hAnsi="Calibri" w:cs="Calibri" w:eastAsia="PingFang SC"/>
          <w:color w:val="3D3A33"/>
          <w:sz w:val="22"/>
          <w:szCs w:val="22"/>
        </w:rPr>
        <w:t xml:space="preserve">, so that </w:t>
      </w:r>
      <w:r>
        <w:rPr>
          <w:rFonts w:ascii="Calibri" w:hAnsi="Calibri" w:cs="Calibri" w:eastAsia="PingFang SC"/>
          <w:b/>
          <w:color w:val="3D3A33"/>
          <w:sz w:val="22"/>
          <w:szCs w:val="22"/>
        </w:rPr>
        <w:t xml:space="preserve">acetaldehyde (acetaldehyde)</w:t>
      </w:r>
      <w:r>
        <w:rPr>
          <w:rFonts w:ascii="Calibri" w:hAnsi="Calibri" w:cs="Calibri" w:eastAsia="PingFang SC"/>
          <w:color w:val="3D3A33"/>
          <w:sz w:val="22"/>
          <w:szCs w:val="22"/>
        </w:rPr>
        <w:t xml:space="preserve"> accumulates and physical symptoms appear when the patient drinks, thereby forming an aversion. Indication: relapse-prevention maintenance treatment in alcohol dependence. Safety points: </w:t>
      </w:r>
      <w:r>
        <w:rPr>
          <w:rFonts w:ascii="Calibri" w:hAnsi="Calibri" w:cs="Calibri" w:eastAsia="PingFang SC"/>
          <w:b/>
          <w:color w:val="3D3A33"/>
          <w:sz w:val="22"/>
          <w:szCs w:val="22"/>
        </w:rPr>
        <w:t xml:space="preserve">absolutely no alcohol while taking the drug</w:t>
      </w:r>
      <w:r>
        <w:rPr>
          <w:rFonts w:ascii="Calibri" w:hAnsi="Calibri" w:cs="Calibri" w:eastAsia="PingFang SC"/>
          <w:color w:val="3D3A33"/>
          <w:sz w:val="22"/>
          <w:szCs w:val="22"/>
        </w:rPr>
        <w:t xml:space="preserve">; </w:t>
      </w:r>
      <w:r>
        <w:rPr>
          <w:rFonts w:ascii="Calibri" w:hAnsi="Calibri" w:cs="Calibri" w:eastAsia="PingFang SC"/>
          <w:b/>
          <w:color w:val="3D3A33"/>
          <w:sz w:val="22"/>
          <w:szCs w:val="22"/>
        </w:rPr>
        <w:t xml:space="preserve">if the patient has already drunk, at least 24 hours must pass</w:t>
      </w:r>
      <w:r>
        <w:rPr>
          <w:rFonts w:ascii="Calibri" w:hAnsi="Calibri" w:cs="Calibri" w:eastAsia="PingFang SC"/>
          <w:color w:val="3D3A33"/>
          <w:sz w:val="22"/>
          <w:szCs w:val="22"/>
        </w:rPr>
        <w:t xml:space="preserve"> before disulfiram can be taken; </w:t>
      </w:r>
      <w:r>
        <w:rPr>
          <w:rFonts w:ascii="Calibri" w:hAnsi="Calibri" w:cs="Calibri" w:eastAsia="PingFang SC"/>
          <w:b/>
          <w:color w:val="3D3A33"/>
          <w:sz w:val="22"/>
          <w:szCs w:val="22"/>
        </w:rPr>
        <w:t xml:space="preserve">no alcohol within 2 weeks of stopping disulfiram</w:t>
      </w:r>
      <w:r>
        <w:rPr>
          <w:rFonts w:ascii="Calibri" w:hAnsi="Calibri" w:cs="Calibri" w:eastAsia="PingFang SC"/>
          <w:color w:val="3D3A33"/>
          <w:sz w:val="22"/>
          <w:szCs w:val="22"/>
        </w:rPr>
        <w:t xml:space="preserve">; patients must be told that food, perfume and medicines may all contain alcohol. Starting/target dose: </w:t>
      </w:r>
      <w:r>
        <w:rPr>
          <w:rFonts w:ascii="Calibri" w:hAnsi="Calibri" w:cs="Calibri" w:eastAsia="PingFang SC"/>
          <w:b/>
          <w:color w:val="3D3A33"/>
          <w:sz w:val="22"/>
          <w:szCs w:val="22"/>
        </w:rPr>
        <w:t xml:space="preserve">the lecture gives no specific dose</w:t>
      </w:r>
      <w:r>
        <w:rPr>
          <w:rFonts w:ascii="Calibri" w:hAnsi="Calibri" w:cs="Calibri" w:eastAsia="PingFang SC"/>
          <w:color w:val="3D3A33"/>
          <w:sz w:val="22"/>
          <w:szCs w:val="22"/>
        </w:rPr>
        <w:t xml:space="preserv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Acamprosate (acamprosate)</w:t>
      </w:r>
      <w:r>
        <w:rPr>
          <w:rFonts w:ascii="Calibri" w:hAnsi="Calibri" w:cs="Calibri" w:eastAsia="PingFang SC"/>
          <w:color w:val="3D3A33"/>
          <w:sz w:val="22"/>
          <w:szCs w:val="22"/>
        </w:rPr>
        <w:t xml:space="preserve">: maintenance treatment for alcohol dependence; </w:t>
      </w:r>
      <w:r>
        <w:rPr>
          <w:rFonts w:ascii="Calibri" w:hAnsi="Calibri" w:cs="Calibri" w:eastAsia="PingFang SC"/>
          <w:b/>
          <w:color w:val="3D3A33"/>
          <w:sz w:val="22"/>
          <w:szCs w:val="22"/>
        </w:rPr>
        <w:t xml:space="preserve">its distinguishing feature is that there is no physical risk even if the patient drinks while taking it</w:t>
      </w:r>
      <w:r>
        <w:rPr>
          <w:rFonts w:ascii="Calibri" w:hAnsi="Calibri" w:cs="Calibri" w:eastAsia="PingFang SC"/>
          <w:color w:val="3D3A33"/>
          <w:sz w:val="22"/>
          <w:szCs w:val="22"/>
        </w:rPr>
        <w:t xml:space="preserve"> (a sharp contrast with disulfiram). Course: </w:t>
      </w:r>
      <w:r>
        <w:rPr>
          <w:rFonts w:ascii="Calibri" w:hAnsi="Calibri" w:cs="Calibri" w:eastAsia="PingFang SC"/>
          <w:b/>
          <w:color w:val="3D3A33"/>
          <w:sz w:val="22"/>
          <w:szCs w:val="22"/>
        </w:rPr>
        <w:t xml:space="preserve">1 year is recommended</w:t>
      </w:r>
      <w:r>
        <w:rPr>
          <w:rFonts w:ascii="Calibri" w:hAnsi="Calibri" w:cs="Calibri" w:eastAsia="PingFang SC"/>
          <w:color w:val="3D3A33"/>
          <w:sz w:val="22"/>
          <w:szCs w:val="22"/>
        </w:rPr>
        <w:t xml:space="preserve"> for patients who respond to maintenance treatment. Starting/target dose: </w:t>
      </w:r>
      <w:r>
        <w:rPr>
          <w:rFonts w:ascii="Calibri" w:hAnsi="Calibri" w:cs="Calibri" w:eastAsia="PingFang SC"/>
          <w:b/>
          <w:color w:val="3D3A33"/>
          <w:sz w:val="22"/>
          <w:szCs w:val="22"/>
        </w:rPr>
        <w:t xml:space="preserve">the lecture gives no specific dose</w:t>
      </w:r>
      <w:r>
        <w:rPr>
          <w:rFonts w:ascii="Calibri" w:hAnsi="Calibri" w:cs="Calibri" w:eastAsia="PingFang SC"/>
          <w:color w:val="3D3A33"/>
          <w:sz w:val="22"/>
          <w:szCs w:val="22"/>
        </w:rPr>
        <w:t xml:space="preserve">; main side effects and monitoring points: </w:t>
      </w:r>
      <w:r>
        <w:rPr>
          <w:rFonts w:ascii="Calibri" w:hAnsi="Calibri" w:cs="Calibri" w:eastAsia="PingFang SC"/>
          <w:b/>
          <w:color w:val="3D3A33"/>
          <w:sz w:val="22"/>
          <w:szCs w:val="22"/>
        </w:rPr>
        <w:t xml:space="preserve">not given in the lecture</w:t>
      </w:r>
      <w:r>
        <w:rPr>
          <w:rFonts w:ascii="Calibri" w:hAnsi="Calibri" w:cs="Calibri" w:eastAsia="PingFang SC"/>
          <w:color w:val="3D3A33"/>
          <w:sz w:val="22"/>
          <w:szCs w:val="22"/>
        </w:rPr>
        <w:t xml:space="preserve"> (only that there is no physical danger when combined with alcohol is emphasized).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Naltrexone (naltrexone)</w:t>
      </w:r>
      <w:r>
        <w:rPr>
          <w:rFonts w:ascii="Calibri" w:hAnsi="Calibri" w:cs="Calibri" w:eastAsia="PingFang SC"/>
          <w:color w:val="3D3A33"/>
          <w:sz w:val="22"/>
          <w:szCs w:val="22"/>
        </w:rPr>
        <w:t xml:space="preserve">: class </w:t>
      </w:r>
      <w:r>
        <w:rPr>
          <w:rFonts w:ascii="Calibri" w:hAnsi="Calibri" w:cs="Calibri" w:eastAsia="PingFang SC"/>
          <w:b/>
          <w:color w:val="3D3A33"/>
          <w:sz w:val="22"/>
          <w:szCs w:val="22"/>
        </w:rPr>
        <w:t xml:space="preserve">opioid receptor antagonist (opioid receptor antagonist)</w:t>
      </w:r>
      <w:r>
        <w:rPr>
          <w:rFonts w:ascii="Calibri" w:hAnsi="Calibri" w:cs="Calibri" w:eastAsia="PingFang SC"/>
          <w:color w:val="3D3A33"/>
          <w:sz w:val="22"/>
          <w:szCs w:val="22"/>
        </w:rPr>
        <w:t xml:space="preserve">, corresponding to intense craving (craving) mediated by μ-opioid receptors. Indication: alcohol dependence. Starting/target dose, course, side effects and monitoring: </w:t>
      </w:r>
      <w:r>
        <w:rPr>
          <w:rFonts w:ascii="Calibri" w:hAnsi="Calibri" w:cs="Calibri" w:eastAsia="PingFang SC"/>
          <w:b/>
          <w:color w:val="3D3A33"/>
          <w:sz w:val="22"/>
          <w:szCs w:val="22"/>
        </w:rPr>
        <w:t xml:space="preserve">the lecture gives no specific doses or details</w:t>
      </w:r>
      <w:r>
        <w:rPr>
          <w:rFonts w:ascii="Calibri" w:hAnsi="Calibri" w:cs="Calibri" w:eastAsia="PingFang SC"/>
          <w:color w:val="3D3A33"/>
          <w:sz w:val="22"/>
          <w:szCs w:val="22"/>
        </w:rPr>
        <w:t xml:space="preserve"> (the key points are presented on slides and were not read aloud; MCQ 5 only indicates that "certain features belong to naltrexone rather than acamprosate").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Benzodiazepines (benzodiazepines)</w:t>
      </w:r>
      <w:r>
        <w:rPr>
          <w:rFonts w:ascii="Calibri" w:hAnsi="Calibri" w:cs="Calibri" w:eastAsia="PingFang SC"/>
          <w:color w:val="3D3A33"/>
          <w:sz w:val="22"/>
          <w:szCs w:val="22"/>
        </w:rPr>
        <w:t xml:space="preserve">: the </w:t>
      </w:r>
      <w:r>
        <w:rPr>
          <w:rFonts w:ascii="Calibri" w:hAnsi="Calibri" w:cs="Calibri" w:eastAsia="PingFang SC"/>
          <w:b/>
          <w:color w:val="3D3A33"/>
          <w:sz w:val="22"/>
          <w:szCs w:val="22"/>
        </w:rPr>
        <w:t xml:space="preserve">mainstay of treatment for the alcohol withdrawal syndrome and delirium tremens</w:t>
      </w:r>
      <w:r>
        <w:rPr>
          <w:rFonts w:ascii="Calibri" w:hAnsi="Calibri" w:cs="Calibri" w:eastAsia="PingFang SC"/>
          <w:color w:val="3D3A33"/>
          <w:sz w:val="22"/>
          <w:szCs w:val="22"/>
        </w:rPr>
        <w:t xml:space="preserve">, and besides relieving symptoms can also </w:t>
      </w:r>
      <w:r>
        <w:rPr>
          <w:rFonts w:ascii="Calibri" w:hAnsi="Calibri" w:cs="Calibri" w:eastAsia="PingFang SC"/>
          <w:b/>
          <w:color w:val="3D3A33"/>
          <w:sz w:val="22"/>
          <w:szCs w:val="22"/>
        </w:rPr>
        <w:t xml:space="preserve">prevent seizures and delirium tremens</w:t>
      </w:r>
      <w:r>
        <w:rPr>
          <w:rFonts w:ascii="Calibri" w:hAnsi="Calibri" w:cs="Calibri" w:eastAsia="PingFang SC"/>
          <w:color w:val="3D3A33"/>
          <w:sz w:val="22"/>
          <w:szCs w:val="22"/>
        </w:rPr>
        <w:t xml:space="preserve">. Common </w:t>
      </w:r>
      <w:r>
        <w:rPr>
          <w:rFonts w:ascii="Calibri" w:hAnsi="Calibri" w:cs="Calibri" w:eastAsia="PingFang SC"/>
          <w:b/>
          <w:color w:val="3D3A33"/>
          <w:sz w:val="22"/>
          <w:szCs w:val="22"/>
        </w:rPr>
        <w:t xml:space="preserve">relatively long-acting</w:t>
      </w:r>
      <w:r>
        <w:rPr>
          <w:rFonts w:ascii="Calibri" w:hAnsi="Calibri" w:cs="Calibri" w:eastAsia="PingFang SC"/>
          <w:color w:val="3D3A33"/>
          <w:sz w:val="22"/>
          <w:szCs w:val="22"/>
        </w:rPr>
        <w:t xml:space="preserve"> preparations: </w:t>
      </w:r>
      <w:r>
        <w:rPr>
          <w:rFonts w:ascii="Calibri" w:hAnsi="Calibri" w:cs="Calibri" w:eastAsia="PingFang SC"/>
          <w:b/>
          <w:color w:val="3D3A33"/>
          <w:sz w:val="22"/>
          <w:szCs w:val="22"/>
        </w:rPr>
        <w:t xml:space="preserve">chlordiazepoxide (chlordiazepoxide, trade name Librium)</w:t>
      </w:r>
      <w:r>
        <w:rPr>
          <w:rFonts w:ascii="Calibri" w:hAnsi="Calibri" w:cs="Calibri" w:eastAsia="PingFang SC"/>
          <w:color w:val="3D3A33"/>
          <w:sz w:val="22"/>
          <w:szCs w:val="22"/>
        </w:rPr>
        <w:t xml:space="preserve"> or </w:t>
      </w:r>
      <w:r>
        <w:rPr>
          <w:rFonts w:ascii="Calibri" w:hAnsi="Calibri" w:cs="Calibri" w:eastAsia="PingFang SC"/>
          <w:b/>
          <w:color w:val="3D3A33"/>
          <w:sz w:val="22"/>
          <w:szCs w:val="22"/>
        </w:rPr>
        <w:t xml:space="preserve">diazepam (diazepam, trade name Valium)</w:t>
      </w:r>
      <w:r>
        <w:rPr>
          <w:rFonts w:ascii="Calibri" w:hAnsi="Calibri" w:cs="Calibri" w:eastAsia="PingFang SC"/>
          <w:color w:val="3D3A33"/>
          <w:sz w:val="22"/>
          <w:szCs w:val="22"/>
        </w:rPr>
        <w:t xml:space="preserve">; </w:t>
      </w:r>
      <w:r>
        <w:rPr>
          <w:rFonts w:ascii="Calibri" w:hAnsi="Calibri" w:cs="Calibri" w:eastAsia="PingFang SC"/>
          <w:b/>
          <w:color w:val="3D3A33"/>
          <w:sz w:val="22"/>
          <w:szCs w:val="22"/>
        </w:rPr>
        <w:t xml:space="preserve">the initial dose depends on the severity of the withdrawal symptoms</w:t>
      </w:r>
      <w:r>
        <w:rPr>
          <w:rFonts w:ascii="Calibri" w:hAnsi="Calibri" w:cs="Calibri" w:eastAsia="PingFang SC"/>
          <w:color w:val="3D3A33"/>
          <w:sz w:val="22"/>
          <w:szCs w:val="22"/>
        </w:rPr>
        <w:t xml:space="preserve">, after which the dose is </w:t>
      </w:r>
      <w:r>
        <w:rPr>
          <w:rFonts w:ascii="Calibri" w:hAnsi="Calibri" w:cs="Calibri" w:eastAsia="PingFang SC"/>
          <w:b/>
          <w:color w:val="3D3A33"/>
          <w:sz w:val="22"/>
          <w:szCs w:val="22"/>
        </w:rPr>
        <w:t xml:space="preserve">tapered gradually and usually stopped within 7–10 days</w:t>
      </w:r>
      <w:r>
        <w:rPr>
          <w:rFonts w:ascii="Calibri" w:hAnsi="Calibri" w:cs="Calibri" w:eastAsia="PingFang SC"/>
          <w:color w:val="3D3A33"/>
          <w:sz w:val="22"/>
          <w:szCs w:val="22"/>
        </w:rPr>
        <w:t xml:space="preserve">. In the acute phase of DT </w:t>
      </w:r>
      <w:r>
        <w:rPr>
          <w:rFonts w:ascii="Calibri" w:hAnsi="Calibri" w:cs="Calibri" w:eastAsia="PingFang SC"/>
          <w:b/>
          <w:color w:val="3D3A33"/>
          <w:sz w:val="22"/>
          <w:szCs w:val="22"/>
        </w:rPr>
        <w:t xml:space="preserve">intramuscular or intravenous administration</w:t>
      </w:r>
      <w:r>
        <w:rPr>
          <w:rFonts w:ascii="Calibri" w:hAnsi="Calibri" w:cs="Calibri" w:eastAsia="PingFang SC"/>
          <w:color w:val="3D3A33"/>
          <w:sz w:val="22"/>
          <w:szCs w:val="22"/>
        </w:rPr>
        <w:t xml:space="preserve"> may be needed, switching to oral as soon as possible; for </w:t>
      </w:r>
      <w:r>
        <w:rPr>
          <w:rFonts w:ascii="Calibri" w:hAnsi="Calibri" w:cs="Calibri" w:eastAsia="PingFang SC"/>
          <w:b/>
          <w:color w:val="3D3A33"/>
          <w:sz w:val="22"/>
          <w:szCs w:val="22"/>
        </w:rPr>
        <w:t xml:space="preserve">acute agitation</w:t>
      </w:r>
      <w:r>
        <w:rPr>
          <w:rFonts w:ascii="Calibri" w:hAnsi="Calibri" w:cs="Calibri" w:eastAsia="PingFang SC"/>
          <w:color w:val="3D3A33"/>
          <w:sz w:val="22"/>
          <w:szCs w:val="22"/>
        </w:rPr>
        <w:t xml:space="preserve"> short-acting </w:t>
      </w:r>
      <w:r>
        <w:rPr>
          <w:rFonts w:ascii="Calibri" w:hAnsi="Calibri" w:cs="Calibri" w:eastAsia="PingFang SC"/>
          <w:b/>
          <w:color w:val="3D3A33"/>
          <w:sz w:val="22"/>
          <w:szCs w:val="22"/>
        </w:rPr>
        <w:t xml:space="preserve">lorazepam (lorazepam)</w:t>
      </w:r>
      <w:r>
        <w:rPr>
          <w:rFonts w:ascii="Calibri" w:hAnsi="Calibri" w:cs="Calibri" w:eastAsia="PingFang SC"/>
          <w:color w:val="3D3A33"/>
          <w:sz w:val="22"/>
          <w:szCs w:val="22"/>
        </w:rPr>
        <w:t xml:space="preserve"> may be used. Specific milligram doses: </w:t>
      </w:r>
      <w:r>
        <w:rPr>
          <w:rFonts w:ascii="Calibri" w:hAnsi="Calibri" w:cs="Calibri" w:eastAsia="PingFang SC"/>
          <w:b/>
          <w:color w:val="3D3A33"/>
          <w:sz w:val="22"/>
          <w:szCs w:val="22"/>
        </w:rPr>
        <w:t xml:space="preserve">not given in the lecture</w:t>
      </w:r>
      <w:r>
        <w:rPr>
          <w:rFonts w:ascii="Calibri" w:hAnsi="Calibri" w:cs="Calibri" w:eastAsia="PingFang SC"/>
          <w:color w:val="3D3A33"/>
          <w:sz w:val="22"/>
          <w:szCs w:val="22"/>
        </w:rPr>
        <w:t xml:space="preserv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Thiamine (thiamine, vitamin B1)</w:t>
      </w:r>
      <w:r>
        <w:rPr>
          <w:rFonts w:ascii="Calibri" w:hAnsi="Calibri" w:cs="Calibri" w:eastAsia="PingFang SC"/>
          <w:color w:val="3D3A33"/>
          <w:sz w:val="22"/>
          <w:szCs w:val="22"/>
        </w:rPr>
        <w:t xml:space="preserve">: used to </w:t>
      </w:r>
      <w:r>
        <w:rPr>
          <w:rFonts w:ascii="Calibri" w:hAnsi="Calibri" w:cs="Calibri" w:eastAsia="PingFang SC"/>
          <w:b/>
          <w:color w:val="3D3A33"/>
          <w:sz w:val="22"/>
          <w:szCs w:val="22"/>
        </w:rPr>
        <w:t xml:space="preserve">prevent Wernicke-Korsakoff syndrome</w:t>
      </w:r>
      <w:r>
        <w:rPr>
          <w:rFonts w:ascii="Calibri" w:hAnsi="Calibri" w:cs="Calibri" w:eastAsia="PingFang SC"/>
          <w:color w:val="3D3A33"/>
          <w:sz w:val="22"/>
          <w:szCs w:val="22"/>
        </w:rPr>
        <w:t xml:space="preserve"> (routinely recommended during withdrawal treatment); Wernicke's encephalopathy is treated with </w:t>
      </w:r>
      <w:r>
        <w:rPr>
          <w:rFonts w:ascii="Calibri" w:hAnsi="Calibri" w:cs="Calibri" w:eastAsia="PingFang SC"/>
          <w:b/>
          <w:color w:val="3D3A33"/>
          <w:sz w:val="22"/>
          <w:szCs w:val="22"/>
        </w:rPr>
        <w:t xml:space="preserve">high-dose parenteral (parenteral) thiamine, usually 3–7 days, depending on the initial response</w:t>
      </w:r>
      <w:r>
        <w:rPr>
          <w:rFonts w:ascii="Calibri" w:hAnsi="Calibri" w:cs="Calibri" w:eastAsia="PingFang SC"/>
          <w:color w:val="3D3A33"/>
          <w:sz w:val="22"/>
          <w:szCs w:val="22"/>
        </w:rPr>
        <w:t xml:space="preserve">; Korsakoff's syndrome may be maintained with </w:t>
      </w:r>
      <w:r>
        <w:rPr>
          <w:rFonts w:ascii="Calibri" w:hAnsi="Calibri" w:cs="Calibri" w:eastAsia="PingFang SC"/>
          <w:b/>
          <w:color w:val="3D3A33"/>
          <w:sz w:val="22"/>
          <w:szCs w:val="22"/>
        </w:rPr>
        <w:t xml:space="preserve">high-dose oral thiamine</w:t>
      </w:r>
      <w:r>
        <w:rPr>
          <w:rFonts w:ascii="Calibri" w:hAnsi="Calibri" w:cs="Calibri" w:eastAsia="PingFang SC"/>
          <w:color w:val="3D3A33"/>
          <w:sz w:val="22"/>
          <w:szCs w:val="22"/>
        </w:rPr>
        <w:t xml:space="preserve"> together with abstinence, and some patients may benefit. </w:t>
      </w:r>
      <w:r>
        <w:rPr>
          <w:rFonts w:ascii="Calibri" w:hAnsi="Calibri" w:cs="Calibri" w:eastAsia="PingFang SC"/>
          <w:b/>
          <w:color w:val="3D3A33"/>
          <w:sz w:val="22"/>
          <w:szCs w:val="22"/>
        </w:rPr>
        <w:t xml:space="preserve">Iron rule of administration order: thiamine must be given before any glucose/dextrose</w:t>
      </w:r>
      <w:r>
        <w:rPr>
          <w:rFonts w:ascii="Calibri" w:hAnsi="Calibri" w:cs="Calibri" w:eastAsia="PingFang SC"/>
          <w:color w:val="3D3A33"/>
          <w:sz w:val="22"/>
          <w:szCs w:val="22"/>
        </w:rPr>
        <w:t xml:space="preserve">, otherwise Wernicke's encephalopathy may be precipitated (the exception offered in the lecture is life-threatening hypoglycemia). Specific milligram doses: </w:t>
      </w:r>
      <w:r>
        <w:rPr>
          <w:rFonts w:ascii="Calibri" w:hAnsi="Calibri" w:cs="Calibri" w:eastAsia="PingFang SC"/>
          <w:b/>
          <w:color w:val="3D3A33"/>
          <w:sz w:val="22"/>
          <w:szCs w:val="22"/>
        </w:rPr>
        <w:t xml:space="preserve">not given in the lecture</w:t>
      </w:r>
      <w:r>
        <w:rPr>
          <w:rFonts w:ascii="Calibri" w:hAnsi="Calibri" w:cs="Calibri" w:eastAsia="PingFang SC"/>
          <w:color w:val="3D3A33"/>
          <w:sz w:val="22"/>
          <w:szCs w:val="22"/>
        </w:rPr>
        <w:t xml:space="preserv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Antipsychotics (antipsychotics)</w:t>
      </w:r>
      <w:r>
        <w:rPr>
          <w:rFonts w:ascii="Calibri" w:hAnsi="Calibri" w:cs="Calibri" w:eastAsia="PingFang SC"/>
          <w:color w:val="3D3A33"/>
          <w:sz w:val="22"/>
          <w:szCs w:val="22"/>
        </w:rPr>
        <w:t xml:space="preserve">: in DT they </w:t>
      </w:r>
      <w:r>
        <w:rPr>
          <w:rFonts w:ascii="Calibri" w:hAnsi="Calibri" w:cs="Calibri" w:eastAsia="PingFang SC"/>
          <w:b/>
          <w:color w:val="3D3A33"/>
          <w:sz w:val="22"/>
          <w:szCs w:val="22"/>
        </w:rPr>
        <w:t xml:space="preserve">lower the seizure threshold (lower the seizure threshold)</w:t>
      </w:r>
      <w:r>
        <w:rPr>
          <w:rFonts w:ascii="Calibri" w:hAnsi="Calibri" w:cs="Calibri" w:eastAsia="PingFang SC"/>
          <w:color w:val="3D3A33"/>
          <w:sz w:val="22"/>
          <w:szCs w:val="22"/>
        </w:rPr>
        <w:t xml:space="preserve"> and are therefore </w:t>
      </w:r>
      <w:r>
        <w:rPr>
          <w:rFonts w:ascii="Calibri" w:hAnsi="Calibri" w:cs="Calibri" w:eastAsia="PingFang SC"/>
          <w:b/>
          <w:color w:val="3D3A33"/>
          <w:sz w:val="22"/>
          <w:szCs w:val="22"/>
        </w:rPr>
        <w:t xml:space="preserve">used only when strictly necessary</w:t>
      </w:r>
      <w:r>
        <w:rPr>
          <w:rFonts w:ascii="Calibri" w:hAnsi="Calibri" w:cs="Calibri" w:eastAsia="PingFang SC"/>
          <w:color w:val="3D3A33"/>
          <w:sz w:val="22"/>
          <w:szCs w:val="22"/>
        </w:rPr>
        <w:t xml:space="preserve">; doses and agents are not given in the lecture.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Glucose/dextrose (glucose/dextrose)</w:t>
      </w:r>
      <w:r>
        <w:rPr>
          <w:rFonts w:ascii="Calibri" w:hAnsi="Calibri" w:cs="Calibri" w:eastAsia="PingFang SC"/>
          <w:color w:val="3D3A33"/>
          <w:sz w:val="22"/>
          <w:szCs w:val="22"/>
        </w:rPr>
        <w:t xml:space="preserve">: not itself a drug for treating alcohol misuse, but </w:t>
      </w:r>
      <w:r>
        <w:rPr>
          <w:rFonts w:ascii="Calibri" w:hAnsi="Calibri" w:cs="Calibri" w:eastAsia="PingFang SC"/>
          <w:b/>
          <w:color w:val="3D3A33"/>
          <w:sz w:val="22"/>
          <w:szCs w:val="22"/>
        </w:rPr>
        <w:t xml:space="preserve">the administration order is the key safety point</w:t>
      </w:r>
      <w:r>
        <w:rPr>
          <w:rFonts w:ascii="Calibri" w:hAnsi="Calibri" w:cs="Calibri" w:eastAsia="PingFang SC"/>
          <w:color w:val="3D3A33"/>
          <w:sz w:val="22"/>
          <w:szCs w:val="22"/>
        </w:rPr>
        <w:t xml:space="preserve"> — it must not be given before thiamine.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Supportive treatment and choice of setting</w:t>
      </w:r>
      <w:r>
        <w:rPr>
          <w:rFonts w:ascii="Calibri" w:hAnsi="Calibri" w:cs="Calibri" w:eastAsia="PingFang SC"/>
          <w:color w:val="3D3A33"/>
          <w:sz w:val="22"/>
          <w:szCs w:val="22"/>
        </w:rPr>
        <w:t xml:space="preserve">: DT should be managed in </w:t>
      </w:r>
      <w:r>
        <w:rPr>
          <w:rFonts w:ascii="Calibri" w:hAnsi="Calibri" w:cs="Calibri" w:eastAsia="PingFang SC"/>
          <w:b/>
          <w:color w:val="3D3A33"/>
          <w:sz w:val="22"/>
          <w:szCs w:val="22"/>
        </w:rPr>
        <w:t xml:space="preserve">ICU or a general medicine ward</w:t>
      </w:r>
      <w:r>
        <w:rPr>
          <w:rFonts w:ascii="Calibri" w:hAnsi="Calibri" w:cs="Calibri" w:eastAsia="PingFang SC"/>
          <w:color w:val="3D3A33"/>
          <w:sz w:val="22"/>
          <w:szCs w:val="22"/>
        </w:rPr>
        <w:t xml:space="preserve">, correcting </w:t>
      </w:r>
      <w:r>
        <w:rPr>
          <w:rFonts w:ascii="Calibri" w:hAnsi="Calibri" w:cs="Calibri" w:eastAsia="PingFang SC"/>
          <w:b/>
          <w:color w:val="3D3A33"/>
          <w:sz w:val="22"/>
          <w:szCs w:val="22"/>
        </w:rPr>
        <w:t xml:space="preserve">fluid and electrolyte abnormalities</w:t>
      </w:r>
      <w:r>
        <w:rPr>
          <w:rFonts w:ascii="Calibri" w:hAnsi="Calibri" w:cs="Calibri" w:eastAsia="PingFang SC"/>
          <w:color w:val="3D3A33"/>
          <w:sz w:val="22"/>
          <w:szCs w:val="22"/>
        </w:rPr>
        <w:t xml:space="preserve"> (such as hypokalaemia) and identifying and treating </w:t>
      </w:r>
      <w:r>
        <w:rPr>
          <w:rFonts w:ascii="Calibri" w:hAnsi="Calibri" w:cs="Calibri" w:eastAsia="PingFang SC"/>
          <w:b/>
          <w:color w:val="3D3A33"/>
          <w:sz w:val="22"/>
          <w:szCs w:val="22"/>
        </w:rPr>
        <w:t xml:space="preserve">comorbid infection or other physical illness</w:t>
      </w:r>
      <w:r>
        <w:rPr>
          <w:rFonts w:ascii="Calibri" w:hAnsi="Calibri" w:cs="Calibri" w:eastAsia="PingFang SC"/>
          <w:color w:val="3D3A33"/>
          <w:sz w:val="22"/>
          <w:szCs w:val="22"/>
        </w:rPr>
        <w:t xml:space="preserve">; severe DT may require </w:t>
      </w:r>
      <w:r>
        <w:rPr>
          <w:rFonts w:ascii="Calibri" w:hAnsi="Calibri" w:cs="Calibri" w:eastAsia="PingFang SC"/>
          <w:b/>
          <w:color w:val="3D3A33"/>
          <w:sz w:val="22"/>
          <w:szCs w:val="22"/>
        </w:rPr>
        <w:t xml:space="preserve">deep sedation, endotracheal intubation and mechanical ventilation</w:t>
      </w:r>
      <w:r>
        <w:rPr>
          <w:rFonts w:ascii="Calibri" w:hAnsi="Calibri" w:cs="Calibri" w:eastAsia="PingFang SC"/>
          <w:color w:val="3D3A33"/>
          <w:sz w:val="22"/>
          <w:szCs w:val="22"/>
        </w:rPr>
        <w:t xml:space="preserv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Psychological and social interventions</w:t>
      </w:r>
      <w:r>
        <w:rPr>
          <w:rFonts w:ascii="Calibri" w:hAnsi="Calibri" w:cs="Calibri" w:eastAsia="PingFang SC"/>
          <w:color w:val="3D3A33"/>
          <w:sz w:val="22"/>
          <w:szCs w:val="22"/>
        </w:rPr>
        <w:t xml:space="preserve">: </w:t>
      </w:r>
      <w:r>
        <w:rPr>
          <w:rFonts w:ascii="Calibri" w:hAnsi="Calibri" w:cs="Calibri" w:eastAsia="PingFang SC"/>
          <w:b/>
          <w:color w:val="3D3A33"/>
          <w:sz w:val="22"/>
          <w:szCs w:val="22"/>
        </w:rPr>
        <w:t xml:space="preserve">motivational interviewing (motivational interviewing)</w:t>
      </w:r>
      <w:r>
        <w:rPr>
          <w:rFonts w:ascii="Calibri" w:hAnsi="Calibri" w:cs="Calibri" w:eastAsia="PingFang SC"/>
          <w:color w:val="3D3A33"/>
          <w:sz w:val="22"/>
          <w:szCs w:val="22"/>
        </w:rPr>
        <w:t xml:space="preserve"> — a brief treatment developed by Miller and Rollnick, a </w:t>
      </w:r>
      <w:r>
        <w:rPr>
          <w:rFonts w:ascii="Calibri" w:hAnsi="Calibri" w:cs="Calibri" w:eastAsia="PingFang SC"/>
          <w:b/>
          <w:color w:val="3D3A33"/>
          <w:sz w:val="22"/>
          <w:szCs w:val="22"/>
        </w:rPr>
        <w:t xml:space="preserve">non-drug</w:t>
      </w:r>
      <w:r>
        <w:rPr>
          <w:rFonts w:ascii="Calibri" w:hAnsi="Calibri" w:cs="Calibri" w:eastAsia="PingFang SC"/>
          <w:color w:val="3D3A33"/>
          <w:sz w:val="22"/>
          <w:szCs w:val="22"/>
        </w:rPr>
        <w:t xml:space="preserve"> approach with a solid evidence base in alcohol use disorders, whose core is working through ambivalence and respecting autonomy, used together with Prochaska &amp; DiClemente's stages of change model, with the techniques remembered by the acronym </w:t>
      </w:r>
      <w:r>
        <w:rPr>
          <w:rFonts w:ascii="Calibri" w:hAnsi="Calibri" w:cs="Calibri" w:eastAsia="PingFang SC"/>
          <w:b/>
          <w:color w:val="3D3A33"/>
          <w:sz w:val="22"/>
          <w:szCs w:val="22"/>
        </w:rPr>
        <w:t xml:space="preserve">OARS</w:t>
      </w:r>
      <w:r>
        <w:rPr>
          <w:rFonts w:ascii="Calibri" w:hAnsi="Calibri" w:cs="Calibri" w:eastAsia="PingFang SC"/>
          <w:color w:val="3D3A33"/>
          <w:sz w:val="22"/>
          <w:szCs w:val="22"/>
        </w:rPr>
        <w:t xml:space="preserve">. </w:t>
      </w:r>
      <w:r>
        <w:rPr>
          <w:rFonts w:ascii="Calibri" w:hAnsi="Calibri" w:cs="Calibri" w:eastAsia="PingFang SC"/>
          <w:b/>
          <w:color w:val="3D3A33"/>
          <w:sz w:val="22"/>
          <w:szCs w:val="22"/>
        </w:rPr>
        <w:t xml:space="preserve">Alcoholics Anonymous (Alcoholics Anonymous, AA)</w:t>
      </w:r>
      <w:r>
        <w:rPr>
          <w:rFonts w:ascii="Calibri" w:hAnsi="Calibri" w:cs="Calibri" w:eastAsia="PingFang SC"/>
          <w:color w:val="3D3A33"/>
          <w:sz w:val="22"/>
          <w:szCs w:val="22"/>
        </w:rPr>
        <w:t xml:space="preserve"> — a </w:t>
      </w:r>
      <w:r>
        <w:rPr>
          <w:rFonts w:ascii="Calibri" w:hAnsi="Calibri" w:cs="Calibri" w:eastAsia="PingFang SC"/>
          <w:b/>
          <w:color w:val="3D3A33"/>
          <w:sz w:val="22"/>
          <w:szCs w:val="22"/>
        </w:rPr>
        <w:t xml:space="preserve">lay mutual-support program</w:t>
      </w:r>
      <w:r>
        <w:rPr>
          <w:rFonts w:ascii="Calibri" w:hAnsi="Calibri" w:cs="Calibri" w:eastAsia="PingFang SC"/>
          <w:color w:val="3D3A33"/>
          <w:sz w:val="22"/>
          <w:szCs w:val="22"/>
        </w:rPr>
        <w:t xml:space="preserve"> founded in the United States in 1935 by Bill Wilson and Bob Smith, using a </w:t>
      </w:r>
      <w:r>
        <w:rPr>
          <w:rFonts w:ascii="Calibri" w:hAnsi="Calibri" w:cs="Calibri" w:eastAsia="PingFang SC"/>
          <w:b/>
          <w:color w:val="3D3A33"/>
          <w:sz w:val="22"/>
          <w:szCs w:val="22"/>
        </w:rPr>
        <w:t xml:space="preserve">12-step program</w:t>
      </w:r>
      <w:r>
        <w:rPr>
          <w:rFonts w:ascii="Calibri" w:hAnsi="Calibri" w:cs="Calibri" w:eastAsia="PingFang SC"/>
          <w:color w:val="3D3A33"/>
          <w:sz w:val="22"/>
          <w:szCs w:val="22"/>
        </w:rPr>
        <w:t xml:space="preserve">, whose main guide is the book first published in 1939 and informally called "the big book", and which inspired </w:t>
      </w:r>
      <w:r>
        <w:rPr>
          <w:rFonts w:ascii="Calibri" w:hAnsi="Calibri" w:cs="Calibri" w:eastAsia="PingFang SC"/>
          <w:b/>
          <w:color w:val="3D3A33"/>
          <w:sz w:val="22"/>
          <w:szCs w:val="22"/>
        </w:rPr>
        <w:t xml:space="preserve">Narcotics Anonymous (Narcotics Anonymous)</w:t>
      </w:r>
      <w:r>
        <w:rPr>
          <w:rFonts w:ascii="Calibri" w:hAnsi="Calibri" w:cs="Calibri" w:eastAsia="PingFang SC"/>
          <w:color w:val="3D3A33"/>
          <w:sz w:val="22"/>
          <w:szCs w:val="22"/>
        </w:rPr>
        <w:t xml:space="preserve">. </w:t>
      </w:r>
      <w:r>
        <w:rPr>
          <w:rFonts w:ascii="Calibri" w:hAnsi="Calibri" w:cs="Calibri" w:eastAsia="PingFang SC"/>
          <w:b/>
          <w:color w:val="3D3A33"/>
          <w:sz w:val="22"/>
          <w:szCs w:val="22"/>
        </w:rPr>
        <w:t xml:space="preserve">Choice of detoxification setting</w:t>
      </w:r>
      <w:r>
        <w:rPr>
          <w:rFonts w:ascii="Calibri" w:hAnsi="Calibri" w:cs="Calibri" w:eastAsia="PingFang SC"/>
          <w:color w:val="3D3A33"/>
          <w:sz w:val="22"/>
          <w:szCs w:val="22"/>
        </w:rPr>
        <w:t xml:space="preserve">: </w:t>
      </w:r>
      <w:r>
        <w:rPr>
          <w:rFonts w:ascii="Calibri" w:hAnsi="Calibri" w:cs="Calibri" w:eastAsia="PingFang SC"/>
          <w:b/>
          <w:color w:val="3D3A33"/>
          <w:sz w:val="22"/>
          <w:szCs w:val="22"/>
        </w:rPr>
        <w:t xml:space="preserve">hospital detoxification</w:t>
      </w:r>
      <w:r>
        <w:rPr>
          <w:rFonts w:ascii="Calibri" w:hAnsi="Calibri" w:cs="Calibri" w:eastAsia="PingFang SC"/>
          <w:color w:val="3D3A33"/>
          <w:sz w:val="22"/>
          <w:szCs w:val="22"/>
        </w:rPr>
        <w:t xml:space="preserve"> for those with significant risk factors; those without major risk factors and with </w:t>
      </w:r>
      <w:r>
        <w:rPr>
          <w:rFonts w:ascii="Calibri" w:hAnsi="Calibri" w:cs="Calibri" w:eastAsia="PingFang SC"/>
          <w:b/>
          <w:color w:val="3D3A33"/>
          <w:sz w:val="22"/>
          <w:szCs w:val="22"/>
        </w:rPr>
        <w:t xml:space="preserve">a reliable 24-hour carer</w:t>
      </w:r>
      <w:r>
        <w:rPr>
          <w:rFonts w:ascii="Calibri" w:hAnsi="Calibri" w:cs="Calibri" w:eastAsia="PingFang SC"/>
          <w:color w:val="3D3A33"/>
          <w:sz w:val="22"/>
          <w:szCs w:val="22"/>
        </w:rPr>
        <w:t xml:space="preserve"> can be managed </w:t>
      </w:r>
      <w:r>
        <w:rPr>
          <w:rFonts w:ascii="Calibri" w:hAnsi="Calibri" w:cs="Calibri" w:eastAsia="PingFang SC"/>
          <w:b/>
          <w:color w:val="3D3A33"/>
          <w:sz w:val="22"/>
          <w:szCs w:val="22"/>
        </w:rPr>
        <w:t xml:space="preserve">as outpatients</w:t>
      </w:r>
      <w:r>
        <w:rPr>
          <w:rFonts w:ascii="Calibri" w:hAnsi="Calibri" w:cs="Calibri" w:eastAsia="PingFang SC"/>
          <w:color w:val="3D3A33"/>
          <w:sz w:val="22"/>
          <w:szCs w:val="22"/>
        </w:rPr>
        <w:t xml:space="preserve">. This lecture </w:t>
      </w:r>
      <w:r>
        <w:rPr>
          <w:rFonts w:ascii="Calibri" w:hAnsi="Calibri" w:cs="Calibri" w:eastAsia="PingFang SC"/>
          <w:b/>
          <w:color w:val="3D3A33"/>
          <w:sz w:val="22"/>
          <w:szCs w:val="22"/>
        </w:rPr>
        <w:t xml:space="preserve">does not cover ECT</w:t>
      </w:r>
      <w:r>
        <w:rPr>
          <w:rFonts w:ascii="Calibri" w:hAnsi="Calibri" w:cs="Calibri" w:eastAsia="PingFang SC"/>
          <w:color w:val="3D3A33"/>
          <w:sz w:val="22"/>
          <w:szCs w:val="22"/>
        </w:rPr>
        <w:t xml:space="preserve">.</w:t>
      </w:r>
    </w:p>
    <w:p>
      <w:pPr>
        <w:spacing w:before="240" w:after="80" w:line="312" w:lineRule="auto"/>
      </w:pPr>
      <w:r>
        <w:rPr>
          <w:rFonts w:ascii="Calibri" w:hAnsi="Calibri" w:cs="Calibri" w:eastAsia="PingFang SC"/>
          <w:b/>
          <w:color w:val="9E3D34"/>
          <w:sz w:val="26"/>
          <w:szCs w:val="26"/>
        </w:rPr>
        <w:t xml:space="preserve">Self-Assessment MCQs and Answers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Question 1</w:t>
      </w:r>
      <w:r>
        <w:rPr>
          <w:rFonts w:ascii="Calibri" w:hAnsi="Calibri" w:cs="Calibri" w:eastAsia="PingFang SC"/>
          <w:color w:val="3D3A33"/>
          <w:sz w:val="22"/>
          <w:szCs w:val="22"/>
        </w:rPr>
        <w:t xml:space="preserve">: how many units of alcohol does 1 litre of an alcoholic drink at ABV 10% contain? </w:t>
      </w:r>
      <w:r>
        <w:rPr>
          <w:rFonts w:ascii="Calibri" w:hAnsi="Calibri" w:cs="Calibri" w:eastAsia="PingFang SC"/>
          <w:b/>
          <w:color w:val="3D3A33"/>
          <w:sz w:val="22"/>
          <w:szCs w:val="22"/>
        </w:rPr>
        <w:t xml:space="preserve">Answer: option B, 10 units.</w:t>
      </w:r>
      <w:r>
        <w:rPr>
          <w:rFonts w:ascii="Calibri" w:hAnsi="Calibri" w:cs="Calibri" w:eastAsia="PingFang SC"/>
          <w:color w:val="3D3A33"/>
          <w:sz w:val="22"/>
          <w:szCs w:val="22"/>
        </w:rPr>
        <w:t xml:space="preserve"> Explanation: units = volume (ml) × ABV% ÷ 1000 = 1000 × 10 ÷ 1000 = 10.</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Question 2</w:t>
      </w:r>
      <w:r>
        <w:rPr>
          <w:rFonts w:ascii="Calibri" w:hAnsi="Calibri" w:cs="Calibri" w:eastAsia="PingFang SC"/>
          <w:color w:val="3D3A33"/>
          <w:sz w:val="22"/>
          <w:szCs w:val="22"/>
        </w:rPr>
        <w:t xml:space="preserve">: regarding thiamine supplementation in patients with alcohol use disorder, which statement is correct? </w:t>
      </w:r>
      <w:r>
        <w:rPr>
          <w:rFonts w:ascii="Calibri" w:hAnsi="Calibri" w:cs="Calibri" w:eastAsia="PingFang SC"/>
          <w:b/>
          <w:color w:val="3D3A33"/>
          <w:sz w:val="22"/>
          <w:szCs w:val="22"/>
        </w:rPr>
        <w:t xml:space="preserve">Answer: option 3 — thiamine should be given before glucose, to reduce the risk of Wernicke's encephalopathy.</w:t>
      </w:r>
      <w:r>
        <w:rPr>
          <w:rFonts w:ascii="Calibri" w:hAnsi="Calibri" w:cs="Calibri" w:eastAsia="PingFang SC"/>
          <w:color w:val="3D3A33"/>
          <w:sz w:val="22"/>
          <w:szCs w:val="22"/>
        </w:rPr>
        <w:t xml:space="preserve"> Explanation: glucose given first may precipitate Wernicke's encephalopathy, so parenteral thiamine must come first. The original wording of the options was not read aloud in the transcript.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Question 3</w:t>
      </w:r>
      <w:r>
        <w:rPr>
          <w:rFonts w:ascii="Calibri" w:hAnsi="Calibri" w:cs="Calibri" w:eastAsia="PingFang SC"/>
          <w:color w:val="3D3A33"/>
          <w:sz w:val="22"/>
          <w:szCs w:val="22"/>
        </w:rPr>
        <w:t xml:space="preserve">: which of the following blood test results does </w:t>
      </w:r>
      <w:r>
        <w:rPr>
          <w:rFonts w:ascii="Calibri" w:hAnsi="Calibri" w:cs="Calibri" w:eastAsia="PingFang SC"/>
          <w:b/>
          <w:color w:val="3D3A33"/>
          <w:sz w:val="22"/>
          <w:szCs w:val="22"/>
        </w:rPr>
        <w:t xml:space="preserve">not</w:t>
      </w:r>
      <w:r>
        <w:rPr>
          <w:rFonts w:ascii="Calibri" w:hAnsi="Calibri" w:cs="Calibri" w:eastAsia="PingFang SC"/>
          <w:color w:val="3D3A33"/>
          <w:sz w:val="22"/>
          <w:szCs w:val="22"/>
        </w:rPr>
        <w:t xml:space="preserve"> suggest alcohol misuse? </w:t>
      </w:r>
      <w:r>
        <w:rPr>
          <w:rFonts w:ascii="Calibri" w:hAnsi="Calibri" w:cs="Calibri" w:eastAsia="PingFang SC"/>
          <w:b/>
          <w:color w:val="3D3A33"/>
          <w:sz w:val="22"/>
          <w:szCs w:val="22"/>
        </w:rPr>
        <w:t xml:space="preserve">Answer: option A, microcytosis (microcytosis).</w:t>
      </w:r>
      <w:r>
        <w:rPr>
          <w:rFonts w:ascii="Calibri" w:hAnsi="Calibri" w:cs="Calibri" w:eastAsia="PingFang SC"/>
          <w:color w:val="3D3A33"/>
          <w:sz w:val="22"/>
          <w:szCs w:val="22"/>
        </w:rPr>
        <w:t xml:space="preserve"> Explanation: what alcohol misuse is expected to produce is </w:t>
      </w:r>
      <w:r>
        <w:rPr>
          <w:rFonts w:ascii="Calibri" w:hAnsi="Calibri" w:cs="Calibri" w:eastAsia="PingFang SC"/>
          <w:b/>
          <w:color w:val="3D3A33"/>
          <w:sz w:val="22"/>
          <w:szCs w:val="22"/>
        </w:rPr>
        <w:t xml:space="preserve">macrocytosis (macrocytosis) or a raised MCV</w:t>
      </w:r>
      <w:r>
        <w:rPr>
          <w:rFonts w:ascii="Calibri" w:hAnsi="Calibri" w:cs="Calibri" w:eastAsia="PingFang SC"/>
          <w:color w:val="3D3A33"/>
          <w:sz w:val="22"/>
          <w:szCs w:val="22"/>
        </w:rPr>
        <w:t xml:space="preserve">, the opposite direction, so this is the correct answer; raised GGT, ALT/AST and CDT all support alcohol misuse.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Question 4</w:t>
      </w:r>
      <w:r>
        <w:rPr>
          <w:rFonts w:ascii="Calibri" w:hAnsi="Calibri" w:cs="Calibri" w:eastAsia="PingFang SC"/>
          <w:color w:val="3D3A33"/>
          <w:sz w:val="22"/>
          <w:szCs w:val="22"/>
        </w:rPr>
        <w:t xml:space="preserve">: which of the following is </w:t>
      </w:r>
      <w:r>
        <w:rPr>
          <w:rFonts w:ascii="Calibri" w:hAnsi="Calibri" w:cs="Calibri" w:eastAsia="PingFang SC"/>
          <w:b/>
          <w:color w:val="3D3A33"/>
          <w:sz w:val="22"/>
          <w:szCs w:val="22"/>
        </w:rPr>
        <w:t xml:space="preserve">not</w:t>
      </w:r>
      <w:r>
        <w:rPr>
          <w:rFonts w:ascii="Calibri" w:hAnsi="Calibri" w:cs="Calibri" w:eastAsia="PingFang SC"/>
          <w:color w:val="3D3A33"/>
          <w:sz w:val="22"/>
          <w:szCs w:val="22"/>
        </w:rPr>
        <w:t xml:space="preserve"> a technique commonly used in motivational interviewing? </w:t>
      </w:r>
      <w:r>
        <w:rPr>
          <w:rFonts w:ascii="Calibri" w:hAnsi="Calibri" w:cs="Calibri" w:eastAsia="PingFang SC"/>
          <w:b/>
          <w:color w:val="3D3A33"/>
          <w:sz w:val="22"/>
          <w:szCs w:val="22"/>
        </w:rPr>
        <w:t xml:space="preserve">Answer: option C.</w:t>
      </w:r>
      <w:r>
        <w:rPr>
          <w:rFonts w:ascii="Calibri" w:hAnsi="Calibri" w:cs="Calibri" w:eastAsia="PingFang SC"/>
          <w:color w:val="3D3A33"/>
          <w:sz w:val="22"/>
          <w:szCs w:val="22"/>
        </w:rPr>
        <w:t xml:space="preserve"> Explanation: asking open-ended questions (open-ended questions) is itself a technique of motivational interviewing, so the option that says it is "not a technique" is the answer; the exact wording of the options in this question was not read aloud in the transcript, the </w:t>
      </w:r>
      <w:r>
        <w:rPr>
          <w:rFonts w:ascii="Calibri" w:hAnsi="Calibri" w:cs="Calibri" w:eastAsia="PingFang SC"/>
          <w:b/>
          <w:color w:val="3D3A33"/>
          <w:sz w:val="22"/>
          <w:szCs w:val="22"/>
        </w:rPr>
        <w:t xml:space="preserve">transcript is incomplete</w:t>
      </w:r>
      <w:r>
        <w:rPr>
          <w:rFonts w:ascii="Calibri" w:hAnsi="Calibri" w:cs="Calibri" w:eastAsia="PingFang SC"/>
          <w:color w:val="3D3A33"/>
          <w:sz w:val="22"/>
          <w:szCs w:val="22"/>
        </w:rPr>
        <w:t xml:space="preserve">, and all that can be confirmed is that the answer falls on option C.</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Question 5</w:t>
      </w:r>
      <w:r>
        <w:rPr>
          <w:rFonts w:ascii="Calibri" w:hAnsi="Calibri" w:cs="Calibri" w:eastAsia="PingFang SC"/>
          <w:color w:val="3D3A33"/>
          <w:sz w:val="22"/>
          <w:szCs w:val="22"/>
        </w:rPr>
        <w:t xml:space="preserve">: which of the following applies to acamprosate (acamprosate)? </w:t>
      </w:r>
      <w:r>
        <w:rPr>
          <w:rFonts w:ascii="Calibri" w:hAnsi="Calibri" w:cs="Calibri" w:eastAsia="PingFang SC"/>
          <w:b/>
          <w:color w:val="3D3A33"/>
          <w:sz w:val="22"/>
          <w:szCs w:val="22"/>
        </w:rPr>
        <w:t xml:space="preserve">Answer: option D — a patient receiving acamprosate treatment who drinks at the same time is not a contraindication.</w:t>
      </w:r>
      <w:r>
        <w:rPr>
          <w:rFonts w:ascii="Calibri" w:hAnsi="Calibri" w:cs="Calibri" w:eastAsia="PingFang SC"/>
          <w:color w:val="3D3A33"/>
          <w:sz w:val="22"/>
          <w:szCs w:val="22"/>
        </w:rPr>
        <w:t xml:space="preserve"> Explanation: option A is incorrect, because "strict abstinence is mandatory" applies to </w:t>
      </w:r>
      <w:r>
        <w:rPr>
          <w:rFonts w:ascii="Calibri" w:hAnsi="Calibri" w:cs="Calibri" w:eastAsia="PingFang SC"/>
          <w:b/>
          <w:color w:val="3D3A33"/>
          <w:sz w:val="22"/>
          <w:szCs w:val="22"/>
        </w:rPr>
        <w:t xml:space="preserve">disulfiram</w:t>
      </w:r>
      <w:r>
        <w:rPr>
          <w:rFonts w:ascii="Calibri" w:hAnsi="Calibri" w:cs="Calibri" w:eastAsia="PingFang SC"/>
          <w:color w:val="3D3A33"/>
          <w:sz w:val="22"/>
          <w:szCs w:val="22"/>
        </w:rPr>
        <w:t xml:space="preserve">; option B is incorrect, because that statement applies to </w:t>
      </w:r>
      <w:r>
        <w:rPr>
          <w:rFonts w:ascii="Calibri" w:hAnsi="Calibri" w:cs="Calibri" w:eastAsia="PingFang SC"/>
          <w:b/>
          <w:color w:val="3D3A33"/>
          <w:sz w:val="22"/>
          <w:szCs w:val="22"/>
        </w:rPr>
        <w:t xml:space="preserve">naltrexone</w:t>
      </w:r>
      <w:r>
        <w:rPr>
          <w:rFonts w:ascii="Calibri" w:hAnsi="Calibri" w:cs="Calibri" w:eastAsia="PingFang SC"/>
          <w:color w:val="3D3A33"/>
          <w:sz w:val="22"/>
          <w:szCs w:val="22"/>
        </w:rPr>
        <w:t xml:space="preserve">; option C is incorrect, because for those who respond to acamprosate </w:t>
      </w:r>
      <w:r>
        <w:rPr>
          <w:rFonts w:ascii="Calibri" w:hAnsi="Calibri" w:cs="Calibri" w:eastAsia="PingFang SC"/>
          <w:b/>
          <w:color w:val="3D3A33"/>
          <w:sz w:val="22"/>
          <w:szCs w:val="22"/>
        </w:rPr>
        <w:t xml:space="preserve">maintenance treatment should be recommended for 1 year</w:t>
      </w:r>
      <w:r>
        <w:rPr>
          <w:rFonts w:ascii="Calibri" w:hAnsi="Calibri" w:cs="Calibri" w:eastAsia="PingFang SC"/>
          <w:color w:val="3D3A33"/>
          <w:sz w:val="22"/>
          <w:szCs w:val="22"/>
        </w:rPr>
        <w:t xml:space="preserve">, whereas a "7–10 day course" belongs to a </w:t>
      </w:r>
      <w:r>
        <w:rPr>
          <w:rFonts w:ascii="Calibri" w:hAnsi="Calibri" w:cs="Calibri" w:eastAsia="PingFang SC"/>
          <w:b/>
          <w:color w:val="3D3A33"/>
          <w:sz w:val="22"/>
          <w:szCs w:val="22"/>
        </w:rPr>
        <w:t xml:space="preserve">detoxification regimen</w:t>
      </w:r>
      <w:r>
        <w:rPr>
          <w:rFonts w:ascii="Calibri" w:hAnsi="Calibri" w:cs="Calibri" w:eastAsia="PingFang SC"/>
          <w:color w:val="3D3A33"/>
          <w:sz w:val="22"/>
          <w:szCs w:val="22"/>
        </w:rPr>
        <w:t xml:space="preserve">, used to prevent withdrawal symptoms. The original wording of options A/B/C was not read aloud in the transcript.</w:t>
      </w:r>
    </w:p>
    <w:p>
      <w:pPr>
        <w:spacing w:before="240" w:after="80" w:line="312" w:lineRule="auto"/>
      </w:pPr>
      <w:r>
        <w:rPr>
          <w:rFonts w:ascii="Calibri" w:hAnsi="Calibri" w:cs="Calibri" w:eastAsia="PingFang SC"/>
          <w:b/>
          <w:color w:val="9E3D34"/>
          <w:sz w:val="26"/>
          <w:szCs w:val="26"/>
        </w:rPr>
        <w:t xml:space="preserve">Key Quotations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"One unit of alcohol contains 8 g or 10 ml of pure alcohol."</w:t>
      </w:r>
    </w:p>
    <w:p>
      <w:pPr>
        <w:spacing w:before="0" w:after="160" w:line="312" w:lineRule="auto"/>
      </w:pPr>
      <w:r>
        <w:rPr>
          <w:rFonts w:ascii="Calibri" w:hAnsi="Calibri" w:cs="Calibri" w:eastAsia="PingFang SC"/>
          <w:color w:val="3D3A33"/>
          <w:sz w:val="22"/>
          <w:szCs w:val="22"/>
        </w:rPr>
        <w:t xml:space="preserve">One unit of alcohol contains 8 g or 10 ml of pure alcohol — the measurement cornerstone of every dose and every recommendation in this lecture.</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"Therefore, unless you address the alcohol problem, the symptoms will persist."</w:t>
      </w:r>
    </w:p>
    <w:p>
      <w:pPr>
        <w:spacing w:before="0" w:after="160" w:line="312" w:lineRule="auto"/>
      </w:pPr>
      <w:r>
        <w:rPr>
          <w:rFonts w:ascii="Calibri" w:hAnsi="Calibri" w:cs="Calibri" w:eastAsia="PingFang SC"/>
          <w:color w:val="3D3A33"/>
          <w:sz w:val="22"/>
          <w:szCs w:val="22"/>
        </w:rPr>
        <w:t xml:space="preserve">Therefore, unless the alcohol problem is dealt with, these symptoms will persist — this explains some of the depressed patients who do not respond to antidepressants.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"Withdrawal symptoms can be explained by the fact that the central nervous system becomes intensely hyperactive due to the sudden absence of the inhibiting effects of alcohol to which the body has become accustomed."</w:t>
      </w:r>
    </w:p>
    <w:p>
      <w:pPr>
        <w:spacing w:before="0" w:after="160" w:line="312" w:lineRule="auto"/>
      </w:pPr>
      <w:r>
        <w:rPr>
          <w:rFonts w:ascii="Calibri" w:hAnsi="Calibri" w:cs="Calibri" w:eastAsia="PingFang SC"/>
          <w:color w:val="3D3A33"/>
          <w:sz w:val="22"/>
          <w:szCs w:val="22"/>
        </w:rPr>
        <w:t xml:space="preserve">Withdrawal symptoms can be explained this way: because the inhibitory effect of alcohol to which the body has become accustomed suddenly disappears, the central nervous system becomes intensely hyperactive.</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"Delirium tremens is a medical emergency with significant mortality."</w:t>
      </w:r>
    </w:p>
    <w:p>
      <w:pPr>
        <w:spacing w:before="0" w:after="160" w:line="312" w:lineRule="auto"/>
      </w:pPr>
      <w:r>
        <w:rPr>
          <w:rFonts w:ascii="Calibri" w:hAnsi="Calibri" w:cs="Calibri" w:eastAsia="PingFang SC"/>
          <w:color w:val="3D3A33"/>
          <w:sz w:val="22"/>
          <w:szCs w:val="22"/>
        </w:rPr>
        <w:t xml:space="preserve">Delirium tremens is a medical emergency with significant mortality — which is why it must be managed in ICU or a medical ward.</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"Parenteral thiamine should be administered before any glucose or dextrose to reduce the risk of precipitating Wernicke's encephalopathy."</w:t>
      </w:r>
    </w:p>
    <w:p>
      <w:pPr>
        <w:spacing w:before="0" w:after="160" w:line="312" w:lineRule="auto"/>
      </w:pPr>
      <w:r>
        <w:rPr>
          <w:rFonts w:ascii="Calibri" w:hAnsi="Calibri" w:cs="Calibri" w:eastAsia="PingFang SC"/>
          <w:color w:val="3D3A33"/>
          <w:sz w:val="22"/>
          <w:szCs w:val="22"/>
        </w:rPr>
        <w:t xml:space="preserve">Parenteral thiamine should be given before any glucose or dextrose, to reduce the risk of precipitating Wernicke's encephalopathy.</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"It is not a form of cognitive-behavioral therapy. It is not a panacea for every clinical challenge and it is not a way to trick people into doing what you want."</w:t>
      </w:r>
    </w:p>
    <w:p>
      <w:pPr>
        <w:spacing w:before="0" w:after="160" w:line="312" w:lineRule="auto"/>
      </w:pPr>
      <w:r>
        <w:rPr>
          <w:rFonts w:ascii="Calibri" w:hAnsi="Calibri" w:cs="Calibri" w:eastAsia="PingFang SC"/>
          <w:color w:val="3D3A33"/>
          <w:sz w:val="22"/>
          <w:szCs w:val="22"/>
        </w:rPr>
        <w:t xml:space="preserve">Motivational interviewing is not a form of cognitive-behavioral therapy, not a panacea for every clinical challenge, and not a means of tricking people into doing what you want them to do — three negations that draw its boundaries very clearly.</w:t>
      </w:r>
    </w:p>
    <w:p>
      <w:pPr>
        <w:spacing w:before="240" w:after="80" w:line="312" w:lineRule="auto"/>
      </w:pPr>
      <w:r>
        <w:rPr>
          <w:rFonts w:ascii="Calibri" w:hAnsi="Calibri" w:cs="Calibri" w:eastAsia="PingFang SC"/>
          <w:b/>
          <w:color w:val="9E3D34"/>
          <w:sz w:val="26"/>
          <w:szCs w:val="26"/>
        </w:rPr>
        <w:t xml:space="preserve">Distinguishing Easily Confused Concepts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Alcohol misuse vs alcohol dependence (DSM-4 vs DSM-5)</w:t>
      </w:r>
      <w:r>
        <w:rPr>
          <w:rFonts w:ascii="Calibri" w:hAnsi="Calibri" w:cs="Calibri" w:eastAsia="PingFang SC"/>
          <w:color w:val="3D3A33"/>
          <w:sz w:val="22"/>
          <w:szCs w:val="22"/>
        </w:rPr>
        <w:t xml:space="preserve">: DSM-4 treats alcohol abuse and alcohol dependence as two separate diagnoses, dependence being more severe; DSM-5 merges them into the single diagnosis of AUD, graded mild, moderate and severe by the number of items met, and adds the craving item. Mnemonic: DSM-5 is "one diagnosis plus one severity ruler", while ICD-10 keeps the separate name "dependence syndrome".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Tolerance vs withdrawal</w:t>
      </w:r>
      <w:r>
        <w:rPr>
          <w:rFonts w:ascii="Calibri" w:hAnsi="Calibri" w:cs="Calibri" w:eastAsia="PingFang SC"/>
          <w:color w:val="3D3A33"/>
          <w:sz w:val="22"/>
          <w:szCs w:val="22"/>
        </w:rPr>
        <w:t xml:space="preserve">: tolerance is "the same amount has less effect, or you need more to get the original feeling"; withdrawal is "symptoms appear after cutting down or stopping, and drinking again relieves them". The two are the hallmarks of dependence, but one points to the amount used and the other to the physiological rebound after stopping, and exams often swap the definitions to set traps.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Withdrawal syndrome vs delirium tremens</w:t>
      </w:r>
      <w:r>
        <w:rPr>
          <w:rFonts w:ascii="Calibri" w:hAnsi="Calibri" w:cs="Calibri" w:eastAsia="PingFang SC"/>
          <w:color w:val="3D3A33"/>
          <w:sz w:val="22"/>
          <w:szCs w:val="22"/>
        </w:rPr>
        <w:t xml:space="preserve">: the withdrawal syndrome is the broader spectrum (tremor, sweating, anxiety, hallucinations, seizures), usually starting within 6 hours of the last drink and settling within 48 hours; DT is a </w:t>
      </w:r>
      <w:r>
        <w:rPr>
          <w:rFonts w:ascii="Calibri" w:hAnsi="Calibri" w:cs="Calibri" w:eastAsia="PingFang SC"/>
          <w:b/>
          <w:color w:val="3D3A33"/>
          <w:sz w:val="22"/>
          <w:szCs w:val="22"/>
        </w:rPr>
        <w:t xml:space="preserve">delirium</w:t>
      </w:r>
      <w:r>
        <w:rPr>
          <w:rFonts w:ascii="Calibri" w:hAnsi="Calibri" w:cs="Calibri" w:eastAsia="PingFang SC"/>
          <w:color w:val="3D3A33"/>
          <w:sz w:val="22"/>
          <w:szCs w:val="22"/>
        </w:rPr>
        <w:t xml:space="preserve"> on a withdrawal background (clouding of consciousness + disorientation + lack of attention) combined with </w:t>
      </w:r>
      <w:r>
        <w:rPr>
          <w:rFonts w:ascii="Calibri" w:hAnsi="Calibri" w:cs="Calibri" w:eastAsia="PingFang SC"/>
          <w:b/>
          <w:color w:val="3D3A33"/>
          <w:sz w:val="22"/>
          <w:szCs w:val="22"/>
        </w:rPr>
        <w:t xml:space="preserve">sympathetic overactivity causing autonomic instability</w:t>
      </w:r>
      <w:r>
        <w:rPr>
          <w:rFonts w:ascii="Calibri" w:hAnsi="Calibri" w:cs="Calibri" w:eastAsia="PingFang SC"/>
          <w:color w:val="3D3A33"/>
          <w:sz w:val="22"/>
          <w:szCs w:val="22"/>
        </w:rPr>
        <w:t xml:space="preserve">, usually within 48 hours of abstinence and occasionally as late as 1 week, an emergency carrying mortality. Mnemonic: DT = delirium + autonomic instability, with a later and longer time window than ordinary withdrawal.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Wernicke's encephalopathy vs Korsakoff's syndrome</w:t>
      </w:r>
      <w:r>
        <w:rPr>
          <w:rFonts w:ascii="Calibri" w:hAnsi="Calibri" w:cs="Calibri" w:eastAsia="PingFang SC"/>
          <w:color w:val="3D3A33"/>
          <w:sz w:val="22"/>
          <w:szCs w:val="22"/>
        </w:rPr>
        <w:t xml:space="preserve">: the former is </w:t>
      </w:r>
      <w:r>
        <w:rPr>
          <w:rFonts w:ascii="Calibri" w:hAnsi="Calibri" w:cs="Calibri" w:eastAsia="PingFang SC"/>
          <w:b/>
          <w:color w:val="3D3A33"/>
          <w:sz w:val="22"/>
          <w:szCs w:val="22"/>
        </w:rPr>
        <w:t xml:space="preserve">acute</w:t>
      </w:r>
      <w:r>
        <w:rPr>
          <w:rFonts w:ascii="Calibri" w:hAnsi="Calibri" w:cs="Calibri" w:eastAsia="PingFang SC"/>
          <w:color w:val="3D3A33"/>
          <w:sz w:val="22"/>
          <w:szCs w:val="22"/>
        </w:rPr>
        <w:t xml:space="preserve"> and reversible with high-dose parenteral thiamine, its three features being confusion, ataxia and nystagmus; the latter is </w:t>
      </w:r>
      <w:r>
        <w:rPr>
          <w:rFonts w:ascii="Calibri" w:hAnsi="Calibri" w:cs="Calibri" w:eastAsia="PingFang SC"/>
          <w:b/>
          <w:color w:val="3D3A33"/>
          <w:sz w:val="22"/>
          <w:szCs w:val="22"/>
        </w:rPr>
        <w:t xml:space="preserve">chronic</w:t>
      </w:r>
      <w:r>
        <w:rPr>
          <w:rFonts w:ascii="Calibri" w:hAnsi="Calibri" w:cs="Calibri" w:eastAsia="PingFang SC"/>
          <w:color w:val="3D3A33"/>
          <w:sz w:val="22"/>
          <w:szCs w:val="22"/>
        </w:rPr>
        <w:t xml:space="preserve">, often treatment-resistant, characterized by inability to learn or store new information plus confabulation. The relationship between the two is asymmetric: many cases of Wernicke's encephalopathy do not progress to Korsakoff's syndrome, and not all Korsakoff's syndrome has a clear Wernicke history preceding it.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Disulfiram vs acamprosate vs naltrexone</w:t>
      </w:r>
      <w:r>
        <w:rPr>
          <w:rFonts w:ascii="Calibri" w:hAnsi="Calibri" w:cs="Calibri" w:eastAsia="PingFang SC"/>
          <w:color w:val="3D3A33"/>
          <w:sz w:val="22"/>
          <w:szCs w:val="22"/>
        </w:rPr>
        <w:t xml:space="preserve">: disulfiram is an aversive agent (inhibits aldehyde dehydrogenase → acetaldehyde accumulation), so </w:t>
      </w:r>
      <w:r>
        <w:rPr>
          <w:rFonts w:ascii="Calibri" w:hAnsi="Calibri" w:cs="Calibri" w:eastAsia="PingFang SC"/>
          <w:b/>
          <w:color w:val="3D3A33"/>
          <w:sz w:val="22"/>
          <w:szCs w:val="22"/>
        </w:rPr>
        <w:t xml:space="preserve">drinking is absolutely forbidden</w:t>
      </w:r>
      <w:r>
        <w:rPr>
          <w:rFonts w:ascii="Calibri" w:hAnsi="Calibri" w:cs="Calibri" w:eastAsia="PingFang SC"/>
          <w:color w:val="3D3A33"/>
          <w:sz w:val="22"/>
          <w:szCs w:val="22"/>
        </w:rPr>
        <w:t xml:space="preserve">, with at least 24 hours between drinking and taking the drug and no alcohol for 2 weeks after stopping; acamprosate carries </w:t>
      </w:r>
      <w:r>
        <w:rPr>
          <w:rFonts w:ascii="Calibri" w:hAnsi="Calibri" w:cs="Calibri" w:eastAsia="PingFang SC"/>
          <w:b/>
          <w:color w:val="3D3A33"/>
          <w:sz w:val="22"/>
          <w:szCs w:val="22"/>
        </w:rPr>
        <w:t xml:space="preserve">no physical risk even when drinking at the same time</w:t>
      </w:r>
      <w:r>
        <w:rPr>
          <w:rFonts w:ascii="Calibri" w:hAnsi="Calibri" w:cs="Calibri" w:eastAsia="PingFang SC"/>
          <w:color w:val="3D3A33"/>
          <w:sz w:val="22"/>
          <w:szCs w:val="22"/>
        </w:rPr>
        <w:t xml:space="preserve">, and responders continue for 1 year; naltrexone is an </w:t>
      </w:r>
      <w:r>
        <w:rPr>
          <w:rFonts w:ascii="Calibri" w:hAnsi="Calibri" w:cs="Calibri" w:eastAsia="PingFang SC"/>
          <w:b/>
          <w:color w:val="3D3A33"/>
          <w:sz w:val="22"/>
          <w:szCs w:val="22"/>
        </w:rPr>
        <w:t xml:space="preserve">opioid receptor antagonist</w:t>
      </w:r>
      <w:r>
        <w:rPr>
          <w:rFonts w:ascii="Calibri" w:hAnsi="Calibri" w:cs="Calibri" w:eastAsia="PingFang SC"/>
          <w:color w:val="3D3A33"/>
          <w:sz w:val="22"/>
          <w:szCs w:val="22"/>
        </w:rPr>
        <w:t xml:space="preserve">, corresponding to μ-opioid-mediated craving. Mnemonic: disulfiram "must not drink", acamprosate "may drink, and keep it up for a year", naltrexone "acts against craving".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Macrocytosis vs microcytosis</w:t>
      </w:r>
      <w:r>
        <w:rPr>
          <w:rFonts w:ascii="Calibri" w:hAnsi="Calibri" w:cs="Calibri" w:eastAsia="PingFang SC"/>
          <w:color w:val="3D3A33"/>
          <w:sz w:val="22"/>
          <w:szCs w:val="22"/>
        </w:rPr>
        <w:t xml:space="preserve">: alcohol misuse is accompanied by a raised MCV, i.e. macrocytosis (macrocytosis); microcytosis (microcytosis) does not support alcohol misuse — this is exactly where the answer to MCQ 3 "which does not support alcohol misuse" lies, and it is the point most easily remembered the wrong way round in clinical practice.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Glucose vs thiamine</w:t>
      </w:r>
      <w:r>
        <w:rPr>
          <w:rFonts w:ascii="Calibri" w:hAnsi="Calibri" w:cs="Calibri" w:eastAsia="PingFang SC"/>
          <w:color w:val="3D3A33"/>
          <w:sz w:val="22"/>
          <w:szCs w:val="22"/>
        </w:rPr>
        <w:t xml:space="preserve">: the correct order is thiamine first, glucose/dextrose after; giving sugar first risks precipitating Wernicke's encephalopathy, with life-threatening hypoglycemia as the only exception. Any option whose stem says "give glucose first" is basically wrong.</w:t>
      </w:r>
    </w:p>
    <w:p>
      <w:pPr>
        <w:spacing w:before="240" w:after="80" w:line="312" w:lineRule="auto"/>
      </w:pPr>
      <w:r>
        <w:rPr>
          <w:rFonts w:ascii="Calibri" w:hAnsi="Calibri" w:cs="Calibri" w:eastAsia="PingFang SC"/>
          <w:b/>
          <w:color w:val="9E3D34"/>
          <w:sz w:val="26"/>
          <w:szCs w:val="26"/>
        </w:rPr>
        <w:t xml:space="preserve">Clinical Application / Memory Anchors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One formula for unit conversion</w:t>
      </w:r>
      <w:r>
        <w:rPr>
          <w:rFonts w:ascii="Calibri" w:hAnsi="Calibri" w:cs="Calibri" w:eastAsia="PingFang SC"/>
          <w:color w:val="3D3A33"/>
          <w:sz w:val="22"/>
          <w:szCs w:val="22"/>
        </w:rPr>
        <w:t xml:space="preserve">: units = ml × ABV% ÷ 1000. Three numbers to memorize: 1 unit = 8 g = 10 ml of pure alcohol; men fewer than 21 units a week and women fewer than 14; single-day binge thresholds more than 8 units for men and more than 6 for women, with at least 2 days a week free of alcohol.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order of history-taking and assessment</w:t>
      </w:r>
      <w:r>
        <w:rPr>
          <w:rFonts w:ascii="Calibri" w:hAnsi="Calibri" w:cs="Calibri" w:eastAsia="PingFang SC"/>
          <w:color w:val="3D3A33"/>
          <w:sz w:val="22"/>
          <w:szCs w:val="22"/>
        </w:rPr>
        <w:t xml:space="preserve">: drinking history (amount, frequency, </w:t>
      </w:r>
      <w:r>
        <w:rPr>
          <w:rFonts w:ascii="Calibri" w:hAnsi="Calibri" w:cs="Calibri" w:eastAsia="PingFang SC"/>
          <w:b/>
          <w:color w:val="3D3A33"/>
          <w:sz w:val="22"/>
          <w:szCs w:val="22"/>
        </w:rPr>
        <w:t xml:space="preserve">exact time of the last drink</w:t>
      </w:r>
      <w:r>
        <w:rPr>
          <w:rFonts w:ascii="Calibri" w:hAnsi="Calibri" w:cs="Calibri" w:eastAsia="PingFang SC"/>
          <w:color w:val="3D3A33"/>
          <w:sz w:val="22"/>
          <w:szCs w:val="22"/>
        </w:rPr>
        <w:t xml:space="preserve">) → CAGE screening (2 or more "yes" answers → continue) → AUDIT for severity (10 items, 0–4 points each, maximum 40, above 8 positive; the first 3 items are AUDIT-C) → ICD-10 / DSM-5 / Edwards &amp; Gross for diagnosis → laboratory tests (MCV↑, GGT↑, ALT/AST↑, CDT↑).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Withdrawal management in five steps</w:t>
      </w:r>
      <w:r>
        <w:rPr>
          <w:rFonts w:ascii="Calibri" w:hAnsi="Calibri" w:cs="Calibri" w:eastAsia="PingFang SC"/>
          <w:color w:val="3D3A33"/>
          <w:sz w:val="22"/>
          <w:szCs w:val="22"/>
        </w:rPr>
        <w:t xml:space="preserve">: assess (time of last drink, vital signs, severity scale, blood tests) → relatively long-acting benzodiazepine (chlordiazepoxide/diazepam) with the initial dose set by symptom severity, tapered and stopped over 7–10 days → thiamine to prevent Wernicke-Korsakoff → hospital detoxification for those with significant risk factors, otherwise outpatient management on condition of a reliable 24-hour carer → frequent monitoring of vital signs.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DT emergency checklist</w:t>
      </w:r>
      <w:r>
        <w:rPr>
          <w:rFonts w:ascii="Calibri" w:hAnsi="Calibri" w:cs="Calibri" w:eastAsia="PingFang SC"/>
          <w:color w:val="3D3A33"/>
          <w:sz w:val="22"/>
          <w:szCs w:val="22"/>
        </w:rPr>
        <w:t xml:space="preserve">: ICU or medical ward + vital sign monitoring + correcting fluids and electrolytes (including hypokalaemia) + finding and treating comorbid infection/head injury and the like + </w:t>
      </w:r>
      <w:r>
        <w:rPr>
          <w:rFonts w:ascii="Calibri" w:hAnsi="Calibri" w:cs="Calibri" w:eastAsia="PingFang SC"/>
          <w:b/>
          <w:color w:val="3D3A33"/>
          <w:sz w:val="22"/>
          <w:szCs w:val="22"/>
        </w:rPr>
        <w:t xml:space="preserve">thiamine first, glucose after</w:t>
      </w:r>
      <w:r>
        <w:rPr>
          <w:rFonts w:ascii="Calibri" w:hAnsi="Calibri" w:cs="Calibri" w:eastAsia="PingFang SC"/>
          <w:color w:val="3D3A33"/>
          <w:sz w:val="22"/>
          <w:szCs w:val="22"/>
        </w:rPr>
        <w:t xml:space="preserve"> + benzodiazepines (IM/IV if necessary, switching to oral as soon as possible; lorazepam for agitation) + antipsychotics with caution (they lower the seizure threshold) + deep sedation, intubation and mechanical ventilation in severe cases.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high-frequency quartet for exams</w:t>
      </w:r>
      <w:r>
        <w:rPr>
          <w:rFonts w:ascii="Calibri" w:hAnsi="Calibri" w:cs="Calibri" w:eastAsia="PingFang SC"/>
          <w:color w:val="3D3A33"/>
          <w:sz w:val="22"/>
          <w:szCs w:val="22"/>
        </w:rPr>
        <w:t xml:space="preserve">: ① thiamine must come before glucose; ② alcohol misuse produces macrocytosis, not microcytosis; ③ acamprosate does not require abstinence while disulfiram requires strict abstinence (24 hours after drinking, 2 weeks after stopping), and naltrexone acts against craving; ④ both DT and Wernicke's encephalopathy are emergencies, the former with significant mortality and the latter, untreated, carrying a high risk of progression to Korsakoff's syndrome.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One-sentence clinical stance</w:t>
      </w:r>
      <w:r>
        <w:rPr>
          <w:rFonts w:ascii="Calibri" w:hAnsi="Calibri" w:cs="Calibri" w:eastAsia="PingFang SC"/>
          <w:color w:val="3D3A33"/>
          <w:sz w:val="22"/>
          <w:szCs w:val="22"/>
        </w:rPr>
        <w:t xml:space="preserve">: alcohol misuse can create psychiatric symptoms, can mimic psychiatric symptoms, and can also mask psychiatric symptoms; if you do not actively ask about drinking history you will miss those "depressions that never get better" and those "deliriums that come out of nowhere".</w:t>
      </w:r>
    </w:p>
    <w:p>
      <w:pPr>
        <w:spacing w:before="0" w:after="160" w:line="312" w:lineRule="auto"/>
      </w:pPr>
      <w:r>
        <w:rPr>
          <w:rFonts w:ascii="Calibri" w:hAnsi="Calibri" w:cs="Calibri" w:eastAsia="PingFang SC"/>
          <w:color w:val="3D3A33"/>
          <w:sz w:val="22"/>
          <w:szCs w:val="22"/>
        </w:rPr>
        <w:t xml:space="preserve">&lt;!-- END OF NOTE --&gt;</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1">
    <w:nsid w:val="24A6B8DA"/>
    <w:multiLevelType w:val="multilevel"/>
    <w:lvl w:ilvl="0">
      <w:start w:val="1"/>
      <w:numFmt w:val="decimal"/>
      <w:lvlText w:val="%1."/>
      <w:lvlJc w:val="left"/>
      <w:pPr>
        <w:ind w:left="341" w:hanging="246"/>
      </w:pPr>
    </w:lvl>
    <w:lvl w:ilvl="1">
      <w:start w:val="1"/>
      <w:numFmt w:val="decimal"/>
      <w:lvlText w:val="%2."/>
      <w:lvlJc w:val="left"/>
      <w:pPr>
        <w:ind w:left="682" w:hanging="246"/>
      </w:pPr>
    </w:lvl>
    <w:lvl w:ilvl="2">
      <w:start w:val="1"/>
      <w:numFmt w:val="decimal"/>
      <w:lvlText w:val="%3."/>
      <w:lvlJc w:val="left"/>
      <w:pPr>
        <w:ind w:left="1023" w:hanging="246"/>
      </w:pPr>
    </w:lvl>
    <w:lvl w:ilvl="3">
      <w:start w:val="1"/>
      <w:numFmt w:val="decimal"/>
      <w:lvlText w:val="%4."/>
      <w:lvlJc w:val="left"/>
      <w:pPr>
        <w:ind w:left="1364" w:hanging="246"/>
      </w:pPr>
    </w:lvl>
    <w:lvl w:ilvl="4">
      <w:start w:val="1"/>
      <w:numFmt w:val="decimal"/>
      <w:lvlText w:val="%5."/>
      <w:lvlJc w:val="left"/>
      <w:pPr>
        <w:ind w:left="1705" w:hanging="246"/>
      </w:pPr>
    </w:lvl>
    <w:lvl w:ilvl="5">
      <w:start w:val="1"/>
      <w:numFmt w:val="decimal"/>
      <w:lvlText w:val="%6."/>
      <w:lvlJc w:val="left"/>
      <w:pPr>
        <w:ind w:left="2046" w:hanging="246"/>
      </w:pPr>
    </w:lvl>
    <w:lvl w:ilvl="6">
      <w:start w:val="1"/>
      <w:numFmt w:val="decimal"/>
      <w:lvlText w:val="%7."/>
      <w:lvlJc w:val="left"/>
      <w:pPr>
        <w:ind w:left="2387" w:hanging="246"/>
      </w:pPr>
    </w:lvl>
    <w:lvl w:ilvl="7">
      <w:start w:val="1"/>
      <w:numFmt w:val="decimal"/>
      <w:lvlText w:val="%8."/>
      <w:lvlJc w:val="left"/>
      <w:pPr>
        <w:ind w:left="2728" w:hanging="246"/>
      </w:pPr>
    </w:lvl>
    <w:lvl w:ilvl="8">
      <w:start w:val="1"/>
      <w:numFmt w:val="decimal"/>
      <w:lvlText w:val="%9."/>
      <w:lvlJc w:val="left"/>
      <w:pPr>
        <w:ind w:left="3069" w:hanging="246"/>
      </w:pPr>
    </w:lvl>
  </w:abstractNum>
</w:numbering>
</file>

<file path=word/_rels/document.xml.rels><?xml version="1.0" encoding="UTF-8" standalone="yes"?><Relationships xmlns="http://schemas.openxmlformats.org/package/2006/relationships"><Relationship Id="rId1" Type="http://schemas.openxmlformats.org/officeDocument/2006/relationships/numbering" Target="numbering.xml"/></Relationships>
</file>