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01 Introduction</w:t>
      </w:r>
    </w:p>
    <w:p>
      <w:pPr>
        <w:spacing w:before="240" w:after="80" w:line="312" w:lineRule="auto"/>
      </w:pPr>
      <w:r>
        <w:rPr>
          <w:rFonts w:ascii="Calibri" w:hAnsi="Calibri" w:cs="Calibri" w:eastAsia="PingFang SC"/>
          <w:b/>
          <w:color w:val="33302A"/>
          <w:sz w:val="32"/>
          <w:szCs w:val="32"/>
        </w:rPr>
        <w:t xml:space="preserve">Lecture 1 · Introduction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Psychology is presented as a state-of-the-art introduction to the most important subject—ourselves—asking how the mind works and what makes us who we are. The course covers neuroscience, developmental, cognitive, social, and clinical psychology, while insisting that studying the mind also requires evolution, economics, game theory, and computer science. Five examples establish its scope: brain damage and the physical basis of mind; nature, nurture, and individual differences in children; cross-cultural attractiveness revealed by composite faces; whether good and evil reflect character or circumstances, and the unpredictability of heroes; and extreme cases including Phineas Gage, multiple personality disorder, Capgras syndrome, and Cotard's syndrome. The organizing claim is that extreme cases are not curiosities: abnormalities expose the ordinary mind's taken-for-granted workings in unusually sharp contrast.</w:t>
      </w:r>
    </w:p>
    <w:p>
      <w:pPr>
        <w:spacing w:before="0" w:after="160" w:line="312" w:lineRule="auto"/>
      </w:pPr>
      <w:r>
        <w:rPr>
          <w:rFonts w:ascii="Calibri" w:hAnsi="Calibri" w:cs="Calibri" w:eastAsia="PingFang SC"/>
          <w:b/>
          <w:color w:val="3D3A33"/>
          <w:sz w:val="22"/>
          <w:szCs w:val="22"/>
        </w:rPr>
        <w:t xml:space="preserve">Points especially worth attending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Extreme cases serve as methodological tools rather than objects of morbid fascination. Syndromes such as Capgras and Cotard are not simply big problems in generally disordered people: the transcript relates them to particular brain locations “at a pinpoint level.” They are natural lesion experiments. Working backward from the boundaries of a deficit reveals functional components of the normal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Gage shows that brain damage and becoming intellectually impaired are entirely different things. An explosion drove a metal pipe through his head; it landed 100 feet away covered in brain tissue and blood. Yet he was neither blind, deaf, nor intellectually impaired, stopped for cider on his way to hospital, and later toured with a circus carrying the pipe. What disappeared was his sense of right and wrong and his self-control: he could not keep a job, remain faithful to his wife, or speak for five minutes without swearing. Morality and self-control can thus be selectively disrupted.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Recognizing something and knowing what it is are separable mechanisms. Capgras patients can recognize and name those they love while insisting that aliens, robots, Martians, CIA agents, or trained actors have replaced them. Their error concerns specifically whether this person is really present. Naming survives while the conviction of personal identity collapses: the case describes an architecture of mind, not merely a strange illness.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Good and evil cannot simply be attributed to personality, because heroes cannot be predicted in advance. Oskar Schindler during the Holocaust and Paul Rusesabagina in Rwanda saved many people at tremendous personal risk, yet nothing beforehand predicted their heroism. “What would I do?” becomes unavoidable, and experiments rather than introspection must disentangle nature and circumstances.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The Course's Two Goals: Practical Benefits and Understanding Human Nature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Psychology offers usable insights into studying, interacting with people, persuasion, and choosing effective therapy. Laboratory findings will repeatedly be tested against real situations rather than left as terminology. The lecturer's only reservation about practical benefits concerns sex; otherwise, many students' everyday aims might genuinely benefit from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Understanding takes precedence over self-improvement: the main aim is a state-of-the-art introduction to ourselves, explaining how minds work and what makes us who we are. The transcript says “provide a state of the art introduction to the most important topic that there is: us” and calls this “even more interesting” than practical applications. Usefulness connects abstract research to everyday life, but understanding human nature remains the course's defining purpose.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Students arrive wanting to become less crazy, study more efficiently, improve their sex lives, interpret dreams, or win friends and influence people. The transcript calls these “not necessarily bad reasons to take this course,” without demanding correction or shame. These motives bring its practical side into view: relevant laboratory research will be connected explicitly to such concerns.</w:t>
      </w:r>
    </w:p>
    <w:p>
      <w:pPr>
        <w:spacing w:before="240" w:after="80" w:line="312" w:lineRule="auto"/>
      </w:pPr>
      <w:r>
        <w:rPr>
          <w:rFonts w:ascii="Calibri" w:hAnsi="Calibri" w:cs="Calibri" w:eastAsia="PingFang SC"/>
          <w:b/>
          <w:color w:val="175244"/>
          <w:sz w:val="22"/>
          <w:szCs w:val="22"/>
        </w:rPr>
        <w:t xml:space="preserve">Five Branches of Psychology and Its Expanding Disciplinary Boundaries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divisions provide orientation: neuroscience studies the mind through the brain; developmental psychology studies growth and learning; cognitive psychology takes a computational approach, often comparing the mind to a computer, to examine language comprehension, object recognition, and chess; social psychology examines behavior in groups and interactions; clinical psychology studies mental health and illness. This is a traditional division—“traditionally, psychology is often broken up into”—for locating questions, not declaring independent territories. The course promises “we'll be covering all of those areas.”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the least familiar label for beginners, names a computational orientation rather than an object of study. It asks not which brain region lights up but what processing steps enable language comprehension, object recognition, and games. As an orientation, it cuts across the other branches rather than occupying a neatly separate territory.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Problems of mind cannot be solved within psychology alone: they extend into evolution, economics, game theory, philosophy, computer science, anthropology, literature, and theology. The lecturer states, “I am convinced that you cannot study the mind solely by looking at the discipline of psychology.” Economics and game theory are singled out as essential tools for understanding thought and behavior, making this a wide-ranging course.</w:t>
      </w:r>
    </w:p>
    <w:p>
      <w:pPr>
        <w:spacing w:before="240" w:after="80" w:line="312" w:lineRule="auto"/>
      </w:pPr>
      <w:r>
        <w:rPr>
          <w:rFonts w:ascii="Calibri" w:hAnsi="Calibri" w:cs="Calibri" w:eastAsia="PingFang SC"/>
          <w:b/>
          <w:color w:val="175244"/>
          <w:sz w:val="22"/>
          <w:szCs w:val="22"/>
        </w:rPr>
        <w:t xml:space="preserve">The Physical Basis of Mind: Terri Schiavo's Brain Image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starts with the brain. Its first image shows a real person's brain with a small white mark: Terri Schiavo's. Better known from photographs of her in a coma, she is here presented through a physical object. “It's her brain. It's Terri Schiavo's brain.” establishes a physical substrate for mind on which later topics rest.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Losing consciousness and entering a coma after brain damage is “a stark illustration of the physical nature of mental life.” Free will, consciousness, morality, and emotion—things we value most—have a physical foundation. This is a premise for the course, not merely a comment on one patient: if brain damage can remove consciousness and moral understanding, these must be investigated as physically interruptible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starting problem is therefore how a physical thing gives rise to mental life. This is not rhetoric but a technical difficulty to be addressed throughout the semester.</w:t>
      </w:r>
    </w:p>
    <w:p>
      <w:pPr>
        <w:spacing w:before="240" w:after="80" w:line="312" w:lineRule="auto"/>
      </w:pPr>
      <w:r>
        <w:rPr>
          <w:rFonts w:ascii="Calibri" w:hAnsi="Calibri" w:cs="Calibri" w:eastAsia="PingFang SC"/>
          <w:b/>
          <w:color w:val="175244"/>
          <w:sz w:val="22"/>
          <w:szCs w:val="22"/>
        </w:rPr>
        <w:t xml:space="preserve">Three Developmental Questions: Innateness, Continuity, and Individual Differences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does knowledge come from? Everyone present understands English, physical events, and other people's behavior. Developmental psychologists ask how much of this is hard-wired or innate and how much comes from culture, language, and schooling. Ingenious methods separate these sources to identify human nature's basic components.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continuous is development? Will a child remain that way as an adult, and how far is fate already sealed? Wordsworth's “The child is father to the man” becomes a hypothesis to test specifically against personality, interests, and intelligence.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do individual differences originate? People differ in food preferences, IQ, aggression or shyness, attraction to men, women, both or neither, musical ability, and politics. These differences can be framed in terms of genes, environment, or their interaction. The popular theory that parents shape us is highly controversial.</w:t>
      </w:r>
    </w:p>
    <w:p>
      <w:pPr>
        <w:spacing w:before="240" w:after="80" w:line="312" w:lineRule="auto"/>
      </w:pPr>
      <w:r>
        <w:rPr>
          <w:rFonts w:ascii="Calibri" w:hAnsi="Calibri" w:cs="Calibri" w:eastAsia="PingFang SC"/>
          <w:b/>
          <w:color w:val="175244"/>
          <w:sz w:val="22"/>
          <w:szCs w:val="22"/>
        </w:rPr>
        <w:t xml:space="preserve">Facial Attractiveness: Measuring Beauty Across Cultures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“very attractive faces” on screen are not real people but computer-generated Caucasian male and female faces. Combining generated stimuli with ratings removes contamination from actual identity, fame, and familiarity.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results provide an account of what makes faces attractive that applies both within and across cultures. This will be developed in discussions of social behavior, particularly sex.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 all beauty concerns sex: pandas provide an incidental example of cuteness. The aside also shows that attractiveness is only one route into a broader set of questions.</w:t>
      </w:r>
    </w:p>
    <w:p>
      <w:pPr>
        <w:spacing w:before="240" w:after="80" w:line="312" w:lineRule="auto"/>
      </w:pPr>
      <w:r>
        <w:rPr>
          <w:rFonts w:ascii="Calibri" w:hAnsi="Calibri" w:cs="Calibri" w:eastAsia="PingFang SC"/>
          <w:b/>
          <w:color w:val="175244"/>
          <w:sz w:val="22"/>
          <w:szCs w:val="22"/>
        </w:rPr>
        <w:t xml:space="preserve">Good and Evil: Circumstances, Nature, and Unpredictable Heroes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images distinguish forms of evil: institutional cruelty produced by circumstances rather than malice; a mass killer such as Osama bin Laden, driven by politics or something else; and Ted Bundy, even before the technical discussion of “crazy-evil.” The recurring question is whether goodness and evil belong to one's nature or arise from circumstances.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Goodness supplies a parallel: Schindler during the Holocaust and Rusesabagina in Rwanda saved many lives at immense personal risk. What matters is that neither could have been predicted to become a hero.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Remarkable experiments, not introspection, are expected to disentangle nature and circumstances in morality. Each listener is left to consider what they would do.</w:t>
      </w:r>
    </w:p>
    <w:p>
      <w:pPr>
        <w:spacing w:before="240" w:after="80" w:line="312" w:lineRule="auto"/>
      </w:pPr>
      <w:r>
        <w:rPr>
          <w:rFonts w:ascii="Calibri" w:hAnsi="Calibri" w:cs="Calibri" w:eastAsia="PingFang SC"/>
          <w:b/>
          <w:color w:val="175244"/>
          <w:sz w:val="22"/>
          <w:szCs w:val="22"/>
        </w:rPr>
        <w:t xml:space="preserve">Psychopathology: Gage, Multiple Personalities, Capgras, and Cotard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entire week will address consequential, fairly common student disorders such as depression and anxiety: current research, causes, and effective treatments. Many people in the room already experience mood or anxiety disorders, and some take medication; this makes the discussion immediately relevant.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Gage was a construction worker about a century ago. An explosion drove a metal pipe through his head; it landed 100 feet away coated in brain tissue and blood. Miraculously alive, neither blind, deaf, nor intellectually impaired, he stopped at a pub for cider on his way to hospital. Afterward he lost moral understanding and control, could not keep a job or remain faithful, could not speak five minutes without swearing, fought and drank, and eventually toured the country in a circus sideshow with the pipe.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Multiple personality disorder will be considered alongside controversy over whether these are genuine or manufactured phenomena. Such cases force questions about the self: how far each of us comprises multiple people and whether we remain a single unified person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Capgras syndrome, usually following a stroke, has hundreds of documented cases and very specific symptoms. Patients believe their most loved people have been replaced by aliens, robots, Martians, CIA agents, or trained actors. Associated with high violence, this can end tragically: an Australian man decapitated his father, believing him replaced by a robot.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Cotard's syndrome involves the same brain regions as Capgras. Patients believe they are dead while still walking, knowing they are walking, and recognizing people around them. These are striking not as indiscriminate disorders in generally confused people, but because of their precise correspondence to specific brain locations.</w:t>
      </w:r>
    </w:p>
    <w:p>
      <w:pPr>
        <w:spacing w:before="240" w:after="80" w:line="312" w:lineRule="auto"/>
      </w:pPr>
      <w:r>
        <w:rPr>
          <w:rFonts w:ascii="Calibri" w:hAnsi="Calibri" w:cs="Calibri" w:eastAsia="PingFang SC"/>
          <w:b/>
          <w:color w:val="175244"/>
          <w:sz w:val="22"/>
          <w:szCs w:val="22"/>
        </w:rPr>
        <w:t xml:space="preserve">Why Extreme Cases Illuminate Ordinary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cases matter neither because they are common—they are not—nor because of gruesome curiosity. Extremes help explain normal life by bringing taken-for-granted capacities into sharp contrast.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Psychopathy, involving absent moral understanding through injury or from birth, helps address free will, responsibility, and the relationship or distinction between illness and evil. Multiple personalities force the question of what a self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Capgras matters because it reveals how people apprehend the world: recognizing something well enough to name it differs from knowing what it is. Abnormalities thus provide a route into everyday mental life.</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 want to do is provide a state of the art introduction to the most important topic that there is: us."</w:t>
      </w:r>
    </w:p>
    <w:p>
      <w:pPr>
        <w:spacing w:before="0" w:after="160" w:line="312" w:lineRule="auto"/>
      </w:pPr>
      <w:r>
        <w:rPr>
          <w:rFonts w:ascii="Calibri" w:hAnsi="Calibri" w:cs="Calibri" w:eastAsia="PingFang SC"/>
          <w:color w:val="3D3A33"/>
          <w:sz w:val="22"/>
          <w:szCs w:val="22"/>
        </w:rPr>
        <w:t xml:space="preserve">This defines the course's purpose, making human beings themselves, rather than any subfield, psychology's overarching subject.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am convinced that you cannot study the mind solely by looking at the discipline of psychology."</w:t>
      </w:r>
    </w:p>
    <w:p>
      <w:pPr>
        <w:spacing w:before="0" w:after="160" w:line="312" w:lineRule="auto"/>
      </w:pPr>
      <w:r>
        <w:rPr>
          <w:rFonts w:ascii="Calibri" w:hAnsi="Calibri" w:cs="Calibri" w:eastAsia="PingFang SC"/>
          <w:color w:val="3D3A33"/>
          <w:sz w:val="22"/>
          <w:szCs w:val="22"/>
        </w:rPr>
        <w:t xml:space="preserve">A statement of the need to cross psychology's boundaries, preparing the introduction of evolution, economics, game theory, and other outside resources.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her brain. It's Terri Schiavo's brain."</w:t>
      </w:r>
    </w:p>
    <w:p>
      <w:pPr>
        <w:spacing w:before="0" w:after="160" w:line="312" w:lineRule="auto"/>
      </w:pPr>
      <w:r>
        <w:rPr>
          <w:rFonts w:ascii="Calibri" w:hAnsi="Calibri" w:cs="Calibri" w:eastAsia="PingFang SC"/>
          <w:color w:val="3D3A33"/>
          <w:sz w:val="22"/>
          <w:szCs w:val="22"/>
        </w:rPr>
        <w:t xml:space="preserve">Said over the first brain image: a familiar coma patient anchors “mind” directly to a physical organ.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what a case like this, where somebody is in a coma, is without consciousness as a result of damage to the brain, is a stark illustration of the physical nature of mental life."</w:t>
      </w:r>
    </w:p>
    <w:p>
      <w:pPr>
        <w:spacing w:before="0" w:after="160" w:line="312" w:lineRule="auto"/>
      </w:pPr>
      <w:r>
        <w:rPr>
          <w:rFonts w:ascii="Calibri" w:hAnsi="Calibri" w:cs="Calibri" w:eastAsia="PingFang SC"/>
          <w:color w:val="3D3A33"/>
          <w:sz w:val="22"/>
          <w:szCs w:val="22"/>
        </w:rPr>
        <w:t xml:space="preserve">The immediate inference is that consciousness, free will, morality, and emotion rest on a damageable physical basis—hence the course begins with the brain.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mess you up, your mum and dad.
They may not mean to but they do."</w:t>
      </w:r>
    </w:p>
    <w:p>
      <w:pPr>
        <w:spacing w:before="0" w:after="160" w:line="312" w:lineRule="auto"/>
      </w:pPr>
      <w:r>
        <w:rPr>
          <w:rFonts w:ascii="Calibri" w:hAnsi="Calibri" w:cs="Calibri" w:eastAsia="PingFang SC"/>
          <w:color w:val="3D3A33"/>
          <w:sz w:val="22"/>
          <w:szCs w:val="22"/>
        </w:rPr>
        <w:t xml:space="preserve">Philip Larkin's verse summarizes the popular view that parents shape us, subsequently identified as controversial rather than settled.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"What's on the screen are computer generated faces of a Caucasian male and a Caucasian female who don't exist in the real world."</w:t>
      </w:r>
    </w:p>
    <w:p>
      <w:pPr>
        <w:spacing w:before="0" w:after="160" w:line="312" w:lineRule="auto"/>
      </w:pPr>
      <w:r>
        <w:rPr>
          <w:rFonts w:ascii="Calibri" w:hAnsi="Calibri" w:cs="Calibri" w:eastAsia="PingFang SC"/>
          <w:color w:val="3D3A33"/>
          <w:sz w:val="22"/>
          <w:szCs w:val="22"/>
        </w:rPr>
        <w:t xml:space="preserve">The methodological point of facial-attractiveness research: nonexistent faces exclude identity, fame, and related confounds.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"Is it part of your nature to be good or bad or is it largely due to the situation that you fall in?"</w:t>
      </w:r>
    </w:p>
    <w:p>
      <w:pPr>
        <w:spacing w:before="0" w:after="160" w:line="312" w:lineRule="auto"/>
      </w:pPr>
      <w:r>
        <w:rPr>
          <w:rFonts w:ascii="Calibri" w:hAnsi="Calibri" w:cs="Calibri" w:eastAsia="PingFang SC"/>
          <w:color w:val="3D3A33"/>
          <w:sz w:val="22"/>
          <w:szCs w:val="22"/>
        </w:rPr>
        <w:t xml:space="preserve">The central moral question divides attribution between two competing explanations: nature and circumstances.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what's interesting with these cases is you couldn't have predicted ahead of time that they would be heroes."</w:t>
      </w:r>
    </w:p>
    <w:p>
      <w:pPr>
        <w:spacing w:before="0" w:after="160" w:line="312" w:lineRule="auto"/>
      </w:pPr>
      <w:r>
        <w:rPr>
          <w:rFonts w:ascii="Calibri" w:hAnsi="Calibri" w:cs="Calibri" w:eastAsia="PingFang SC"/>
          <w:color w:val="3D3A33"/>
          <w:sz w:val="22"/>
          <w:szCs w:val="22"/>
        </w:rPr>
        <w:t xml:space="preserve">Said after showing Schindler and Rusesabagina: prior personality information could not predict their heroism.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 lost his sense of right and wrong. He lost his control."</w:t>
      </w:r>
    </w:p>
    <w:p>
      <w:pPr>
        <w:spacing w:before="0" w:after="160" w:line="312" w:lineRule="auto"/>
      </w:pPr>
      <w:r>
        <w:rPr>
          <w:rFonts w:ascii="Calibri" w:hAnsi="Calibri" w:cs="Calibri" w:eastAsia="PingFang SC"/>
          <w:color w:val="3D3A33"/>
          <w:sz w:val="22"/>
          <w:szCs w:val="22"/>
        </w:rPr>
        <w:t xml:space="preserve">Gage's injury destroyed moral understanding and control, not intelligence, identifying separable functions.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"He couldn't hold a job. He couldn't stay faithful to his wife. He couldn't speak for five minutes without cursing."</w:t>
      </w:r>
    </w:p>
    <w:p>
      <w:pPr>
        <w:spacing w:before="0" w:after="160" w:line="312" w:lineRule="auto"/>
      </w:pPr>
      <w:r>
        <w:rPr>
          <w:rFonts w:ascii="Calibri" w:hAnsi="Calibri" w:cs="Calibri" w:eastAsia="PingFang SC"/>
          <w:color w:val="3D3A33"/>
          <w:sz w:val="22"/>
          <w:szCs w:val="22"/>
        </w:rPr>
        <w:t xml:space="preserve">Three concrete behaviors describe Gage's post-accident collapse, supporting the claim that brain damage can reshape a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 delusion is that the people you love the most have been replaced."</w:t>
      </w:r>
    </w:p>
    <w:p>
      <w:pPr>
        <w:spacing w:before="0" w:after="160" w:line="312" w:lineRule="auto"/>
      </w:pPr>
      <w:r>
        <w:rPr>
          <w:rFonts w:ascii="Calibri" w:hAnsi="Calibri" w:cs="Calibri" w:eastAsia="PingFang SC"/>
          <w:color w:val="3D3A33"/>
          <w:sz w:val="22"/>
          <w:szCs w:val="22"/>
        </w:rPr>
        <w:t xml:space="preserve">Capgras is defined by replacement specifically of those closest to the patient; that selectivity is itself a clue.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"Cotard's syndrome is you believe that you're dead; you are persuaded that you're dead."</w:t>
      </w:r>
    </w:p>
    <w:p>
      <w:pPr>
        <w:spacing w:before="0" w:after="160" w:line="312" w:lineRule="auto"/>
      </w:pPr>
      <w:r>
        <w:rPr>
          <w:rFonts w:ascii="Calibri" w:hAnsi="Calibri" w:cs="Calibri" w:eastAsia="PingFang SC"/>
          <w:color w:val="3D3A33"/>
          <w:sz w:val="22"/>
          <w:szCs w:val="22"/>
        </w:rPr>
        <w:t xml:space="preserve">A related delusion involving the same regions: action and perception survive alongside certainty of being dead.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tell us for instance that there is a difference between recognizing something in the sense that you could name it, and knowing what it is."</w:t>
      </w:r>
    </w:p>
    <w:p>
      <w:pPr>
        <w:spacing w:before="0" w:after="160" w:line="312" w:lineRule="auto"/>
      </w:pPr>
      <w:r>
        <w:rPr>
          <w:rFonts w:ascii="Calibri" w:hAnsi="Calibri" w:cs="Calibri" w:eastAsia="PingFang SC"/>
          <w:color w:val="3D3A33"/>
          <w:sz w:val="22"/>
          <w:szCs w:val="22"/>
        </w:rPr>
        <w:t xml:space="preserve">The cognitive lesson from Capgras: naming and knowing what something is depend on separable mechanisms.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"Rather, by looking at extreme cases, they can help us best understand normal life."</w:t>
      </w:r>
    </w:p>
    <w:p>
      <w:pPr>
        <w:spacing w:before="0" w:after="160" w:line="312" w:lineRule="auto"/>
      </w:pPr>
      <w:r>
        <w:rPr>
          <w:rFonts w:ascii="Calibri" w:hAnsi="Calibri" w:cs="Calibri" w:eastAsia="PingFang SC"/>
          <w:color w:val="3D3A33"/>
          <w:sz w:val="22"/>
          <w:szCs w:val="22"/>
        </w:rPr>
        <w:t xml:space="preserve">The key characterization of this psychopathology material converts rare cases from curiosities into tools for understanding normality.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"Often by looking at extremes it throws into sharp contrast things we naturally take for granted."</w:t>
      </w:r>
    </w:p>
    <w:p>
      <w:pPr>
        <w:spacing w:before="0" w:after="160" w:line="312" w:lineRule="auto"/>
      </w:pPr>
      <w:r>
        <w:rPr>
          <w:rFonts w:ascii="Calibri" w:hAnsi="Calibri" w:cs="Calibri" w:eastAsia="PingFang SC"/>
          <w:color w:val="3D3A33"/>
          <w:sz w:val="22"/>
          <w:szCs w:val="22"/>
        </w:rPr>
        <w:t xml:space="preserve">Extremes reveal normally invisible mechanisms by increasing contrast rather than supplying an entirely new phenomenon.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Psychology's primary task is understanding rather than self-improvement</w:t>
      </w:r>
      <w:r>
        <w:rPr>
          <w:rFonts w:ascii="Calibri" w:hAnsi="Calibri" w:cs="Calibri" w:eastAsia="PingFang SC"/>
          <w:color w:val="3D3A33"/>
          <w:sz w:val="22"/>
          <w:szCs w:val="22"/>
        </w:rPr>
        <w:t xml:space="preserve"> — The course acknowledges that psychology can improve study methods, interpersonal interactions, persuasion, and treatment choices, but ranks a state-of-the-art introduction to ourselves higher. This ranking is unconventional: popular psychology almost always sells itself through practical benefits, whereas here understanding itself is explicitly more interesting than being useful.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study of mind must seek answers across boundaries</w:t>
      </w:r>
      <w:r>
        <w:rPr>
          <w:rFonts w:ascii="Calibri" w:hAnsi="Calibri" w:cs="Calibri" w:eastAsia="PingFang SC"/>
          <w:color w:val="3D3A33"/>
          <w:sz w:val="22"/>
          <w:szCs w:val="22"/>
        </w:rPr>
        <w:t xml:space="preserve"> — The default assumption is that studying the mind belongs entirely inside a psychology department. The contrary claim here is that psychology necessarily extends into evolution, economics and game theory, philosophy, computer science, anthropology, and literature, because questions about mind do not respect disciplinary boundaries.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Abnormality is a high-contrast cross-section of normality</w:t>
      </w:r>
      <w:r>
        <w:rPr>
          <w:rFonts w:ascii="Calibri" w:hAnsi="Calibri" w:cs="Calibri" w:eastAsia="PingFang SC"/>
          <w:color w:val="3D3A33"/>
          <w:sz w:val="22"/>
          <w:szCs w:val="22"/>
        </w:rPr>
        <w:t xml:space="preserve"> — A familiar intuition holds that rare syndromes concern other people's problems and have nothing to do with normal people. The reasoning here reverses that: extreme cases display separately functions that normally operate automatically and thus entirely outside awareness. They offer a shortcut to understanding normality, not a departure from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Recognizing and knowing are two separable mechanisms</w:t>
      </w:r>
      <w:r>
        <w:rPr>
          <w:rFonts w:ascii="Calibri" w:hAnsi="Calibri" w:cs="Calibri" w:eastAsia="PingFang SC"/>
          <w:color w:val="3D3A33"/>
          <w:sz w:val="22"/>
          <w:szCs w:val="22"/>
        </w:rPr>
        <w:t xml:space="preserve"> — In ordinary language, “I recognized him” and “I know who he is” amount to almost the same thing. Capgras patients can name relatives yet firmly believe they have been replaced. This precisely demonstrates the independent operation of the two mechanisms and supplies a structure through which to analyze how people see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Morality and self-control are brain functions that can be locally disrupted</w:t>
      </w:r>
      <w:r>
        <w:rPr>
          <w:rFonts w:ascii="Calibri" w:hAnsi="Calibri" w:cs="Calibri" w:eastAsia="PingFang SC"/>
          <w:color w:val="3D3A33"/>
          <w:sz w:val="22"/>
          <w:szCs w:val="22"/>
        </w:rPr>
        <w:t xml:space="preserve"> — People usually treat moral sense as the core of personality and self-control as a quality of will. Gage lost specifically his sense of right and wrong and his self-control despite intact intelligence and senses. This suggests localizable, damageable functional modules rather than a general quality of character.</w:t>
      </w:r>
    </w:p>
    <w:p>
      <w:pPr>
        <w:spacing w:before="240" w:after="80" w:line="312" w:lineRule="auto"/>
      </w:pPr>
      <w:r>
        <w:rPr>
          <w:rFonts w:ascii="Calibri" w:hAnsi="Calibri" w:cs="Calibri" w:eastAsia="PingFang SC"/>
          <w:b/>
          <w:color w:val="9E3D34"/>
          <w:sz w:val="26"/>
          <w:szCs w:val="26"/>
        </w:rPr>
        <w:t xml:space="preserve">Counterintuitive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A steel pipe through the head must cause severe disability and confusion.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Gage was neither blind, deaf, nor intellectually impaired and could even stop at a pub for cider afterward. What disappeared was his sense of right and wrong and self-control. The transcript marks this extremely narrow but profound deficit through his inability to keep a job, remain faithful to his wife, or speak for five minutes without swearing.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Capgras patients cannot recognize relatives.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They recognize them and can name them; the missing element is certainty that the person is really here. They consequently conclude that robots or aliens have replaced their relatives. The transcript draws the distinction between being able to name something and knowing what it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Cotard patients have entirely lost contact with reality and are utterly confused.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They know they are walking and that people surround them, but err on the single proposition that they are dead. This delusion corresponds precisely to particular brain locations rather than generalized mental collapse.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Multiple personality is a rare spectacle irrelevant to ordinary people.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It forces questions about what a self is, whether we are already composed of multiple people to some degree, and whether we are genuinely unified across time. Whether cases are real or manufactured phenomena remains fiercely disputed in its own right.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Parents shape everything about children, with family determining personality and fate.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Statements that parents “mess you up” generate enormous controversy in popular culture. How much parents actually matter is repeatedly marked here as unresolved, not acceptable consensus.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Nature versus nurture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Universal language and understanding of objects and people suggest hard-wired, innate capacities—the basic components developmental psychologists seek.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Culture, language, and schooling also generate these abilities and may better explain differences. Ingenious methods must separate the sources rather than presume either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Genes, environment, and interaction provide three frameworks for much of the course; no conclusion is offered here.</w:t>
      </w:r>
    </w:p>
    <w:p>
      <w:pPr>
        <w:spacing w:before="0" w:after="160" w:line="312" w:lineRule="auto"/>
      </w:pPr>
      <w:r>
        <w:rPr>
          <w:rFonts w:ascii="Calibri" w:hAnsi="Calibri" w:cs="Calibri" w:eastAsia="PingFang SC"/>
          <w:b/>
          <w:color w:val="3D3A33"/>
          <w:sz w:val="22"/>
          <w:szCs w:val="22"/>
        </w:rPr>
        <w:t xml:space="preserve">Disposition versus situation: personality versus circumstances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Evil can reside in brain and nature; psychopathy may involve absent moral understanding through injury or from birth.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Circumstances can make ordinary people cruel, while unpredictable heroes suggest behavior is not simply stable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Open. Remarkable experiments will disentangle the alternatives, while each listener must ask what they would do.</w:t>
      </w:r>
    </w:p>
    <w:p>
      <w:pPr>
        <w:spacing w:before="0" w:after="160" w:line="312" w:lineRule="auto"/>
      </w:pPr>
      <w:r>
        <w:rPr>
          <w:rFonts w:ascii="Calibri" w:hAnsi="Calibri" w:cs="Calibri" w:eastAsia="PingFang SC"/>
          <w:b/>
          <w:color w:val="3D3A33"/>
          <w:sz w:val="22"/>
          <w:szCs w:val="22"/>
        </w:rPr>
        <w:t xml:space="preserve">Developmental continuity versus 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Wordsworth's child-as-father suggests an adult can be discerned in the child: meeting you at five might predict who you are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Differences in IQ, aggression, sexuality, music, and politics remain to be explained; whether fate is sealed requires testing.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continuity in personality, interests, and intelligence is a set of hypotheses, not an accepted conclusion.</w:t>
      </w:r>
    </w:p>
    <w:p>
      <w:pPr>
        <w:spacing w:before="0" w:after="160" w:line="312" w:lineRule="auto"/>
      </w:pPr>
      <w:r>
        <w:rPr>
          <w:rFonts w:ascii="Calibri" w:hAnsi="Calibri" w:cs="Calibri" w:eastAsia="PingFang SC"/>
          <w:b/>
          <w:color w:val="3D3A33"/>
          <w:sz w:val="22"/>
          <w:szCs w:val="22"/>
        </w:rPr>
        <w:t xml:space="preserve">Psychology's disciplinary boundaries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Five traditional branches could make psychology a self-contained source of mental 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side: Mental questions extend into evolution, economics, game theory, philosophy, computing, anthropology, literature, and theology; exclusively internal explanations are methodologically mistaken.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lecturer explicitly rejects studying mind through psychology alone; the exact boundaries remain open.</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Five-branch map:</w:t>
      </w:r>
      <w:r>
        <w:rPr>
          <w:rFonts w:ascii="Calibri" w:hAnsi="Calibri" w:cs="Calibri" w:eastAsia="PingFang SC"/>
          <w:color w:val="3D3A33"/>
          <w:sz w:val="22"/>
          <w:szCs w:val="22"/>
        </w:rPr>
        <w:t xml:space="preserve"> Divide the field into workable areas to locate questions rather than use “psychology” as a vague label.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level: brain mechanisms, development, information processing, interpersonal and group behavior, or health and pathology.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Recognize overlap—eating can involve clinical, neural, and cognitive questions—and combine answers rather than choose one branch.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Interdisciplinary extension:</w:t>
      </w:r>
      <w:r>
        <w:rPr>
          <w:rFonts w:ascii="Calibri" w:hAnsi="Calibri" w:cs="Calibri" w:eastAsia="PingFang SC"/>
          <w:color w:val="3D3A33"/>
          <w:sz w:val="22"/>
          <w:szCs w:val="22"/>
        </w:rPr>
        <w:t xml:space="preserve"> Translate mental questions into established external tools, then test their implications in people.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Locate equivalent problems in evolution, economics, game theory, philosophy, computing, or anthropology.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Derive testable hypotheses with those tools and verify them through psychological experiments with human participants.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Computer-generated stimuli plus ratings:</w:t>
      </w:r>
      <w:r>
        <w:rPr>
          <w:rFonts w:ascii="Calibri" w:hAnsi="Calibri" w:cs="Calibri" w:eastAsia="PingFang SC"/>
          <w:color w:val="3D3A33"/>
          <w:sz w:val="22"/>
          <w:szCs w:val="22"/>
        </w:rPr>
        <w:t xml:space="preserve"> Remove identity, fame, and familiarity from facial-attractiveness research.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Generate many faces and have participants rate them individually.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Compare ratings within and across cultures to identify stable preference structures.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Extreme-case comparison:</w:t>
      </w:r>
      <w:r>
        <w:rPr>
          <w:rFonts w:ascii="Calibri" w:hAnsi="Calibri" w:cs="Calibri" w:eastAsia="PingFang SC"/>
          <w:color w:val="3D3A33"/>
          <w:sz w:val="22"/>
          <w:szCs w:val="22"/>
        </w:rPr>
        <w:t xml:space="preserve"> Treat rare syndromes as natural lesion experiments, inferring normal components from deficits.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Select precisely localized syndromes such as Capgras and Cotard, rather than generalized collapse.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Specify preserved and lost capacities: naming may survive while knowing who someone is does not.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Infer normal architecture from dissociable components, making automatic functions visible through extreme contrast.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nature/nurture and nature/situation:</w:t>
      </w:r>
      <w:r>
        <w:rPr>
          <w:rFonts w:ascii="Calibri" w:hAnsi="Calibri" w:cs="Calibri" w:eastAsia="PingFang SC"/>
          <w:color w:val="3D3A33"/>
          <w:sz w:val="22"/>
          <w:szCs w:val="22"/>
        </w:rPr>
        <w:t xml:space="preserve"> Use ingenious methods and striking experiments to disentangle explanatory variables.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pair: innate endowment versus culture, language, and schooling, or personality versus circumstances.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Vary one while holding the other constant, introducing interaction models if necessary, to determine what explains differences.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subfields — The traditional neuroscience, developmental, cognitive, social, and clinical divisions, all covered by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Five example topics — Brain, children, attractiveness, morality, and mental illness illustrate the course's scope.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100 years ago — The stated timing of construction worker Gage's accident.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100 feet — Distance traveled by the pipe, which landed covered in brain tissue and blood.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Hundreds of cases — Capgras is described as having hundreds of cases, but not many.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Hundreds of participants — The experimental participation requirement supplies laboratories with subjects.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guest lecturers — Cognitive neuroscience, particularly faces; depression and sex differences; eating psychology; and love and intimate relationships.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Age five — The continuity question: could meeting someone then predict who they are now?</w:t>
      </w:r>
    </w:p>
    <w:p>
      <w:pPr>
        <w:spacing w:before="240" w:after="80" w:line="312" w:lineRule="auto"/>
      </w:pPr>
      <w:r>
        <w:rPr>
          <w:rFonts w:ascii="Calibri" w:hAnsi="Calibri" w:cs="Calibri" w:eastAsia="PingFang SC"/>
          <w:b/>
          <w:color w:val="9E3D34"/>
          <w:sz w:val="26"/>
          <w:szCs w:val="26"/>
        </w:rPr>
        <w:t xml:space="preserve">Terminology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18"/>
        <w:gridCol w:w="2018"/>
        <w:gridCol w:w="5325"/>
      </w:tblGrid>
      <w:tr>
        <w:trPr>
          <w:tblHeader/>
        </w:trPr>
        <w:tc>
          <w:tcPr>
            <w:tcW w:w="2018"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018" w:type="dxa"/>
            <w:shd w:val="clear" w:color="auto" w:fill="EAE7DD"/>
          </w:tcPr>
          <w:p>
            <w:pPr>
              <w:spacing w:before="0" w:after="0" w:line="312" w:lineRule="auto"/>
            </w:pPr>
            <w:r>
              <w:rPr>
                <w:rFonts w:ascii="Calibri" w:hAnsi="Calibri" w:cs="Calibri" w:eastAsia="PingFang SC"/>
                <w:b/>
                <w:color w:val="3D3A33"/>
                <w:sz w:val="22"/>
                <w:szCs w:val="22"/>
              </w:rPr>
              <w:t xml:space="preserve">Translated term</w:t>
            </w:r>
          </w:p>
        </w:tc>
        <w:tc>
          <w:tcPr>
            <w:tcW w:w="5325"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r>
      <w:tr>
        <w:tc>
          <w:tcPr>
            <w:tcW w:w="2018" w:type="dxa"/>
          </w:tcPr>
          <w:p>
            <w:pPr>
              <w:spacing w:before="0" w:after="0" w:line="312" w:lineRule="auto"/>
            </w:pPr>
            <w:r>
              <w:rPr>
                <w:rFonts w:ascii="Calibri" w:hAnsi="Calibri" w:cs="Calibri" w:eastAsia="PingFang SC"/>
                <w:color w:val="3D3A33"/>
                <w:sz w:val="22"/>
                <w:szCs w:val="22"/>
              </w:rPr>
              <w:t xml:space="preserve">Neuroscience</w:t>
            </w:r>
          </w:p>
        </w:tc>
        <w:tc>
          <w:tcPr>
            <w:tcW w:w="2018" w:type="dxa"/>
          </w:tcPr>
          <w:p>
            <w:pPr>
              <w:spacing w:before="0" w:after="0" w:line="312" w:lineRule="auto"/>
            </w:pPr>
            <w:r>
              <w:rPr>
                <w:rFonts w:ascii="Calibri" w:hAnsi="Calibri" w:cs="Calibri" w:eastAsia="PingFang SC"/>
                <w:color w:val="3D3A33"/>
                <w:sz w:val="22"/>
                <w:szCs w:val="22"/>
              </w:rPr>
              <w:t xml:space="preserve">Neuroscience</w:t>
            </w:r>
          </w:p>
        </w:tc>
        <w:tc>
          <w:tcPr>
            <w:tcW w:w="5325" w:type="dxa"/>
          </w:tcPr>
          <w:p>
            <w:pPr>
              <w:spacing w:before="0" w:after="0" w:line="312" w:lineRule="auto"/>
            </w:pPr>
            <w:r>
              <w:rPr>
                <w:rFonts w:ascii="Calibri" w:hAnsi="Calibri" w:cs="Calibri" w:eastAsia="PingFang SC"/>
                <w:color w:val="3D3A33"/>
                <w:sz w:val="22"/>
                <w:szCs w:val="22"/>
              </w:rPr>
              <w:t xml:space="preserve">Studies mind through brain; the course's starting point.</w:t>
            </w:r>
          </w:p>
        </w:tc>
      </w:tr>
      <w:tr>
        <w:tc>
          <w:tcPr>
            <w:tcW w:w="2018" w:type="dxa"/>
          </w:tcPr>
          <w:p>
            <w:pPr>
              <w:spacing w:before="0" w:after="0" w:line="312" w:lineRule="auto"/>
            </w:pPr>
            <w:r>
              <w:rPr>
                <w:rFonts w:ascii="Calibri" w:hAnsi="Calibri" w:cs="Calibri" w:eastAsia="PingFang SC"/>
                <w:color w:val="3D3A33"/>
                <w:sz w:val="22"/>
                <w:szCs w:val="22"/>
              </w:rPr>
              <w:t xml:space="preserve">Developmental psychology</w:t>
            </w:r>
          </w:p>
        </w:tc>
        <w:tc>
          <w:tcPr>
            <w:tcW w:w="2018" w:type="dxa"/>
          </w:tcPr>
          <w:p>
            <w:pPr>
              <w:spacing w:before="0" w:after="0" w:line="312" w:lineRule="auto"/>
            </w:pPr>
            <w:r>
              <w:rPr>
                <w:rFonts w:ascii="Calibri" w:hAnsi="Calibri" w:cs="Calibri" w:eastAsia="PingFang SC"/>
                <w:color w:val="3D3A33"/>
                <w:sz w:val="22"/>
                <w:szCs w:val="22"/>
              </w:rPr>
              <w:t xml:space="preserve">Developmental psychology</w:t>
            </w:r>
          </w:p>
        </w:tc>
        <w:tc>
          <w:tcPr>
            <w:tcW w:w="5325" w:type="dxa"/>
          </w:tcPr>
          <w:p>
            <w:pPr>
              <w:spacing w:before="0" w:after="0" w:line="312" w:lineRule="auto"/>
            </w:pPr>
            <w:r>
              <w:rPr>
                <w:rFonts w:ascii="Calibri" w:hAnsi="Calibri" w:cs="Calibri" w:eastAsia="PingFang SC"/>
                <w:color w:val="3D3A33"/>
                <w:sz w:val="22"/>
                <w:szCs w:val="22"/>
              </w:rPr>
              <w:t xml:space="preserve">Studies growth, learning, and change; raises innateness, continuity, and difference questions.</w:t>
            </w:r>
          </w:p>
        </w:tc>
      </w:tr>
      <w:tr>
        <w:tc>
          <w:tcPr>
            <w:tcW w:w="2018" w:type="dxa"/>
          </w:tcPr>
          <w:p>
            <w:pPr>
              <w:spacing w:before="0" w:after="0" w:line="312" w:lineRule="auto"/>
            </w:pPr>
            <w:r>
              <w:rPr>
                <w:rFonts w:ascii="Calibri" w:hAnsi="Calibri" w:cs="Calibri" w:eastAsia="PingFang SC"/>
                <w:color w:val="3D3A33"/>
                <w:sz w:val="22"/>
                <w:szCs w:val="22"/>
              </w:rPr>
              <w:t xml:space="preserve">Cognitive psychology</w:t>
            </w:r>
          </w:p>
        </w:tc>
        <w:tc>
          <w:tcPr>
            <w:tcW w:w="2018" w:type="dxa"/>
          </w:tcPr>
          <w:p>
            <w:pPr>
              <w:spacing w:before="0" w:after="0" w:line="312" w:lineRule="auto"/>
            </w:pPr>
            <w:r>
              <w:rPr>
                <w:rFonts w:ascii="Calibri" w:hAnsi="Calibri" w:cs="Calibri" w:eastAsia="PingFang SC"/>
                <w:color w:val="3D3A33"/>
                <w:sz w:val="22"/>
                <w:szCs w:val="22"/>
              </w:rPr>
              <w:t xml:space="preserve">Cognitive psychology</w:t>
            </w:r>
          </w:p>
        </w:tc>
        <w:tc>
          <w:tcPr>
            <w:tcW w:w="5325" w:type="dxa"/>
          </w:tcPr>
          <w:p>
            <w:pPr>
              <w:spacing w:before="0" w:after="0" w:line="312" w:lineRule="auto"/>
            </w:pPr>
            <w:r>
              <w:rPr>
                <w:rFonts w:ascii="Calibri" w:hAnsi="Calibri" w:cs="Calibri" w:eastAsia="PingFang SC"/>
                <w:color w:val="3D3A33"/>
                <w:sz w:val="22"/>
                <w:szCs w:val="22"/>
              </w:rPr>
              <w:t xml:space="preserve">Computational approach to language, recognition, chess, and other processing.</w:t>
            </w:r>
          </w:p>
        </w:tc>
      </w:tr>
      <w:tr>
        <w:tc>
          <w:tcPr>
            <w:tcW w:w="2018" w:type="dxa"/>
          </w:tcPr>
          <w:p>
            <w:pPr>
              <w:spacing w:before="0" w:after="0" w:line="312" w:lineRule="auto"/>
            </w:pPr>
            <w:r>
              <w:rPr>
                <w:rFonts w:ascii="Calibri" w:hAnsi="Calibri" w:cs="Calibri" w:eastAsia="PingFang SC"/>
                <w:color w:val="3D3A33"/>
                <w:sz w:val="22"/>
                <w:szCs w:val="22"/>
              </w:rPr>
              <w:t xml:space="preserve">Social psychology</w:t>
            </w:r>
          </w:p>
        </w:tc>
        <w:tc>
          <w:tcPr>
            <w:tcW w:w="2018" w:type="dxa"/>
          </w:tcPr>
          <w:p>
            <w:pPr>
              <w:spacing w:before="0" w:after="0" w:line="312" w:lineRule="auto"/>
            </w:pPr>
            <w:r>
              <w:rPr>
                <w:rFonts w:ascii="Calibri" w:hAnsi="Calibri" w:cs="Calibri" w:eastAsia="PingFang SC"/>
                <w:color w:val="3D3A33"/>
                <w:sz w:val="22"/>
                <w:szCs w:val="22"/>
              </w:rPr>
              <w:t xml:space="preserve">Social psychology</w:t>
            </w:r>
          </w:p>
        </w:tc>
        <w:tc>
          <w:tcPr>
            <w:tcW w:w="5325" w:type="dxa"/>
          </w:tcPr>
          <w:p>
            <w:pPr>
              <w:spacing w:before="0" w:after="0" w:line="312" w:lineRule="auto"/>
            </w:pPr>
            <w:r>
              <w:rPr>
                <w:rFonts w:ascii="Calibri" w:hAnsi="Calibri" w:cs="Calibri" w:eastAsia="PingFang SC"/>
                <w:color w:val="3D3A33"/>
                <w:sz w:val="22"/>
                <w:szCs w:val="22"/>
              </w:rPr>
              <w:t xml:space="preserve">Studies groups and interactions, including attractiveness and morality.</w:t>
            </w:r>
          </w:p>
        </w:tc>
      </w:tr>
      <w:tr>
        <w:tc>
          <w:tcPr>
            <w:tcW w:w="2018" w:type="dxa"/>
          </w:tcPr>
          <w:p>
            <w:pPr>
              <w:spacing w:before="0" w:after="0" w:line="312" w:lineRule="auto"/>
            </w:pPr>
            <w:r>
              <w:rPr>
                <w:rFonts w:ascii="Calibri" w:hAnsi="Calibri" w:cs="Calibri" w:eastAsia="PingFang SC"/>
                <w:color w:val="3D3A33"/>
                <w:sz w:val="22"/>
                <w:szCs w:val="22"/>
              </w:rPr>
              <w:t xml:space="preserve">Clinical psychology</w:t>
            </w:r>
          </w:p>
        </w:tc>
        <w:tc>
          <w:tcPr>
            <w:tcW w:w="2018" w:type="dxa"/>
          </w:tcPr>
          <w:p>
            <w:pPr>
              <w:spacing w:before="0" w:after="0" w:line="312" w:lineRule="auto"/>
            </w:pPr>
            <w:r>
              <w:rPr>
                <w:rFonts w:ascii="Calibri" w:hAnsi="Calibri" w:cs="Calibri" w:eastAsia="PingFang SC"/>
                <w:color w:val="3D3A33"/>
                <w:sz w:val="22"/>
                <w:szCs w:val="22"/>
              </w:rPr>
              <w:t xml:space="preserve">Clinical psychology</w:t>
            </w:r>
          </w:p>
        </w:tc>
        <w:tc>
          <w:tcPr>
            <w:tcW w:w="5325" w:type="dxa"/>
          </w:tcPr>
          <w:p>
            <w:pPr>
              <w:spacing w:before="0" w:after="0" w:line="312" w:lineRule="auto"/>
            </w:pPr>
            <w:r>
              <w:rPr>
                <w:rFonts w:ascii="Calibri" w:hAnsi="Calibri" w:cs="Calibri" w:eastAsia="PingFang SC"/>
                <w:color w:val="3D3A33"/>
                <w:sz w:val="22"/>
                <w:szCs w:val="22"/>
              </w:rPr>
              <w:t xml:space="preserve">Mental health and illness; a full week will address depression and anxiety.</w:t>
            </w:r>
          </w:p>
        </w:tc>
      </w:tr>
      <w:tr>
        <w:tc>
          <w:tcPr>
            <w:tcW w:w="2018" w:type="dxa"/>
          </w:tcPr>
          <w:p>
            <w:pPr>
              <w:spacing w:before="0" w:after="0" w:line="312" w:lineRule="auto"/>
            </w:pPr>
            <w:r>
              <w:rPr>
                <w:rFonts w:ascii="Calibri" w:hAnsi="Calibri" w:cs="Calibri" w:eastAsia="PingFang SC"/>
                <w:color w:val="3D3A33"/>
                <w:sz w:val="22"/>
                <w:szCs w:val="22"/>
              </w:rPr>
              <w:t xml:space="preserve">Innate / hard-wired</w:t>
            </w:r>
          </w:p>
        </w:tc>
        <w:tc>
          <w:tcPr>
            <w:tcW w:w="2018" w:type="dxa"/>
          </w:tcPr>
          <w:p>
            <w:pPr>
              <w:spacing w:before="0" w:after="0" w:line="312" w:lineRule="auto"/>
            </w:pPr>
            <w:r>
              <w:rPr>
                <w:rFonts w:ascii="Calibri" w:hAnsi="Calibri" w:cs="Calibri" w:eastAsia="PingFang SC"/>
                <w:color w:val="3D3A33"/>
                <w:sz w:val="22"/>
                <w:szCs w:val="22"/>
              </w:rPr>
              <w:t xml:space="preserve">Inborn / built in</w:t>
            </w:r>
          </w:p>
        </w:tc>
        <w:tc>
          <w:tcPr>
            <w:tcW w:w="5325" w:type="dxa"/>
          </w:tcPr>
          <w:p>
            <w:pPr>
              <w:spacing w:before="0" w:after="0" w:line="312" w:lineRule="auto"/>
            </w:pPr>
            <w:r>
              <w:rPr>
                <w:rFonts w:ascii="Calibri" w:hAnsi="Calibri" w:cs="Calibri" w:eastAsia="PingFang SC"/>
                <w:color w:val="3D3A33"/>
                <w:sz w:val="22"/>
                <w:szCs w:val="22"/>
              </w:rPr>
              <w:t xml:space="preserve">Components present without learning, contrasted with culture, language, and schooling.</w:t>
            </w:r>
          </w:p>
        </w:tc>
      </w:tr>
      <w:tr>
        <w:tc>
          <w:tcPr>
            <w:tcW w:w="2018" w:type="dxa"/>
          </w:tcPr>
          <w:p>
            <w:pPr>
              <w:spacing w:before="0" w:after="0" w:line="312" w:lineRule="auto"/>
            </w:pPr>
            <w:r>
              <w:rPr>
                <w:rFonts w:ascii="Calibri" w:hAnsi="Calibri" w:cs="Calibri" w:eastAsia="PingFang SC"/>
                <w:color w:val="3D3A33"/>
                <w:sz w:val="22"/>
                <w:szCs w:val="22"/>
              </w:rPr>
              <w:t xml:space="preserve">Genes and environment</w:t>
            </w:r>
          </w:p>
        </w:tc>
        <w:tc>
          <w:tcPr>
            <w:tcW w:w="2018" w:type="dxa"/>
          </w:tcPr>
          <w:p>
            <w:pPr>
              <w:spacing w:before="0" w:after="0" w:line="312" w:lineRule="auto"/>
            </w:pPr>
            <w:r>
              <w:rPr>
                <w:rFonts w:ascii="Calibri" w:hAnsi="Calibri" w:cs="Calibri" w:eastAsia="PingFang SC"/>
                <w:color w:val="3D3A33"/>
                <w:sz w:val="22"/>
                <w:szCs w:val="22"/>
              </w:rPr>
              <w:t xml:space="preserve">Genes and environment</w:t>
            </w:r>
          </w:p>
        </w:tc>
        <w:tc>
          <w:tcPr>
            <w:tcW w:w="5325" w:type="dxa"/>
          </w:tcPr>
          <w:p>
            <w:pPr>
              <w:spacing w:before="0" w:after="0" w:line="312" w:lineRule="auto"/>
            </w:pPr>
            <w:r>
              <w:rPr>
                <w:rFonts w:ascii="Calibri" w:hAnsi="Calibri" w:cs="Calibri" w:eastAsia="PingFang SC"/>
                <w:color w:val="3D3A33"/>
                <w:sz w:val="22"/>
                <w:szCs w:val="22"/>
              </w:rPr>
              <w:t xml:space="preserve">Sources of differences, alongside their interaction.</w:t>
            </w:r>
          </w:p>
        </w:tc>
      </w:tr>
      <w:tr>
        <w:tc>
          <w:tcPr>
            <w:tcW w:w="2018" w:type="dxa"/>
          </w:tcPr>
          <w:p>
            <w:pPr>
              <w:spacing w:before="0" w:after="0" w:line="312" w:lineRule="auto"/>
            </w:pPr>
            <w:r>
              <w:rPr>
                <w:rFonts w:ascii="Calibri" w:hAnsi="Calibri" w:cs="Calibri" w:eastAsia="PingFang SC"/>
                <w:color w:val="3D3A33"/>
                <w:sz w:val="22"/>
                <w:szCs w:val="22"/>
              </w:rPr>
              <w:t xml:space="preserve">Continuity</w:t>
            </w:r>
          </w:p>
        </w:tc>
        <w:tc>
          <w:tcPr>
            <w:tcW w:w="2018" w:type="dxa"/>
          </w:tcPr>
          <w:p>
            <w:pPr>
              <w:spacing w:before="0" w:after="0" w:line="312" w:lineRule="auto"/>
            </w:pPr>
            <w:r>
              <w:rPr>
                <w:rFonts w:ascii="Calibri" w:hAnsi="Calibri" w:cs="Calibri" w:eastAsia="PingFang SC"/>
                <w:color w:val="3D3A33"/>
                <w:sz w:val="22"/>
                <w:szCs w:val="22"/>
              </w:rPr>
              <w:t xml:space="preserve">Continuity</w:t>
            </w:r>
          </w:p>
        </w:tc>
        <w:tc>
          <w:tcPr>
            <w:tcW w:w="5325" w:type="dxa"/>
          </w:tcPr>
          <w:p>
            <w:pPr>
              <w:spacing w:before="0" w:after="0" w:line="312" w:lineRule="auto"/>
            </w:pPr>
            <w:r>
              <w:rPr>
                <w:rFonts w:ascii="Calibri" w:hAnsi="Calibri" w:cs="Calibri" w:eastAsia="PingFang SC"/>
                <w:color w:val="3D3A33"/>
                <w:sz w:val="22"/>
                <w:szCs w:val="22"/>
              </w:rPr>
              <w:t xml:space="preserve">Persistence of childhood characteristics into adulthood; the child-as-father hypothesis.</w:t>
            </w:r>
          </w:p>
        </w:tc>
      </w:tr>
      <w:tr>
        <w:tc>
          <w:tcPr>
            <w:tcW w:w="2018" w:type="dxa"/>
          </w:tcPr>
          <w:p>
            <w:pPr>
              <w:spacing w:before="0" w:after="0" w:line="312" w:lineRule="auto"/>
            </w:pPr>
            <w:r>
              <w:rPr>
                <w:rFonts w:ascii="Calibri" w:hAnsi="Calibri" w:cs="Calibri" w:eastAsia="PingFang SC"/>
                <w:color w:val="3D3A33"/>
                <w:sz w:val="22"/>
                <w:szCs w:val="22"/>
              </w:rPr>
              <w:t xml:space="preserve">Phineas Gage</w:t>
            </w:r>
          </w:p>
        </w:tc>
        <w:tc>
          <w:tcPr>
            <w:tcW w:w="2018" w:type="dxa"/>
          </w:tcPr>
          <w:p>
            <w:pPr>
              <w:spacing w:before="0" w:after="0" w:line="312" w:lineRule="auto"/>
            </w:pPr>
            <w:r>
              <w:rPr>
                <w:rFonts w:ascii="Calibri" w:hAnsi="Calibri" w:cs="Calibri" w:eastAsia="PingFang SC"/>
                <w:color w:val="3D3A33"/>
                <w:sz w:val="22"/>
                <w:szCs w:val="22"/>
              </w:rPr>
              <w:t xml:space="preserve">Phineas Gage</w:t>
            </w:r>
          </w:p>
        </w:tc>
        <w:tc>
          <w:tcPr>
            <w:tcW w:w="5325" w:type="dxa"/>
          </w:tcPr>
          <w:p>
            <w:pPr>
              <w:spacing w:before="0" w:after="0" w:line="312" w:lineRule="auto"/>
            </w:pPr>
            <w:r>
              <w:rPr>
                <w:rFonts w:ascii="Calibri" w:hAnsi="Calibri" w:cs="Calibri" w:eastAsia="PingFang SC"/>
                <w:color w:val="3D3A33"/>
                <w:sz w:val="22"/>
                <w:szCs w:val="22"/>
              </w:rPr>
              <w:t xml:space="preserve">Construction worker injured about a century ago; lost morality and control while retaining intelligence.</w:t>
            </w:r>
          </w:p>
        </w:tc>
      </w:tr>
      <w:tr>
        <w:tc>
          <w:tcPr>
            <w:tcW w:w="2018" w:type="dxa"/>
          </w:tcPr>
          <w:p>
            <w:pPr>
              <w:spacing w:before="0" w:after="0" w:line="312" w:lineRule="auto"/>
            </w:pPr>
            <w:r>
              <w:rPr>
                <w:rFonts w:ascii="Calibri" w:hAnsi="Calibri" w:cs="Calibri" w:eastAsia="PingFang SC"/>
                <w:color w:val="3D3A33"/>
                <w:sz w:val="22"/>
                <w:szCs w:val="22"/>
              </w:rPr>
              <w:t xml:space="preserve">Multiple personality disorder</w:t>
            </w:r>
          </w:p>
        </w:tc>
        <w:tc>
          <w:tcPr>
            <w:tcW w:w="2018" w:type="dxa"/>
          </w:tcPr>
          <w:p>
            <w:pPr>
              <w:spacing w:before="0" w:after="0" w:line="312" w:lineRule="auto"/>
            </w:pPr>
            <w:r>
              <w:rPr>
                <w:rFonts w:ascii="Calibri" w:hAnsi="Calibri" w:cs="Calibri" w:eastAsia="PingFang SC"/>
                <w:color w:val="3D3A33"/>
                <w:sz w:val="22"/>
                <w:szCs w:val="22"/>
              </w:rPr>
              <w:t xml:space="preserve">Multiple personality disorder</w:t>
            </w:r>
          </w:p>
        </w:tc>
        <w:tc>
          <w:tcPr>
            <w:tcW w:w="5325" w:type="dxa"/>
          </w:tcPr>
          <w:p>
            <w:pPr>
              <w:spacing w:before="0" w:after="0" w:line="312" w:lineRule="auto"/>
            </w:pPr>
            <w:r>
              <w:rPr>
                <w:rFonts w:ascii="Calibri" w:hAnsi="Calibri" w:cs="Calibri" w:eastAsia="PingFang SC"/>
                <w:color w:val="3D3A33"/>
                <w:sz w:val="22"/>
                <w:szCs w:val="22"/>
              </w:rPr>
              <w:t xml:space="preserve">More than one personality; authenticity is disputed and raises selfhood questions.</w:t>
            </w:r>
          </w:p>
        </w:tc>
      </w:tr>
      <w:tr>
        <w:tc>
          <w:tcPr>
            <w:tcW w:w="2018" w:type="dxa"/>
          </w:tcPr>
          <w:p>
            <w:pPr>
              <w:spacing w:before="0" w:after="0" w:line="312" w:lineRule="auto"/>
            </w:pPr>
            <w:r>
              <w:rPr>
                <w:rFonts w:ascii="Calibri" w:hAnsi="Calibri" w:cs="Calibri" w:eastAsia="PingFang SC"/>
                <w:color w:val="3D3A33"/>
                <w:sz w:val="22"/>
                <w:szCs w:val="22"/>
              </w:rPr>
              <w:t xml:space="preserve">Capgras syndrome</w:t>
            </w:r>
          </w:p>
        </w:tc>
        <w:tc>
          <w:tcPr>
            <w:tcW w:w="2018" w:type="dxa"/>
          </w:tcPr>
          <w:p>
            <w:pPr>
              <w:spacing w:before="0" w:after="0" w:line="312" w:lineRule="auto"/>
            </w:pPr>
            <w:r>
              <w:rPr>
                <w:rFonts w:ascii="Calibri" w:hAnsi="Calibri" w:cs="Calibri" w:eastAsia="PingFang SC"/>
                <w:color w:val="3D3A33"/>
                <w:sz w:val="22"/>
                <w:szCs w:val="22"/>
              </w:rPr>
              <w:t xml:space="preserve">Capgras syndrome</w:t>
            </w:r>
          </w:p>
        </w:tc>
        <w:tc>
          <w:tcPr>
            <w:tcW w:w="5325" w:type="dxa"/>
          </w:tcPr>
          <w:p>
            <w:pPr>
              <w:spacing w:before="0" w:after="0" w:line="312" w:lineRule="auto"/>
            </w:pPr>
            <w:r>
              <w:rPr>
                <w:rFonts w:ascii="Calibri" w:hAnsi="Calibri" w:cs="Calibri" w:eastAsia="PingFang SC"/>
                <w:color w:val="3D3A33"/>
                <w:sz w:val="22"/>
                <w:szCs w:val="22"/>
              </w:rPr>
              <w:t xml:space="preserve">Usually follows stroke; loved people are believed replaced by aliens or robots; associated with violence.</w:t>
            </w:r>
          </w:p>
        </w:tc>
      </w:tr>
      <w:tr>
        <w:tc>
          <w:tcPr>
            <w:tcW w:w="2018" w:type="dxa"/>
          </w:tcPr>
          <w:p>
            <w:pPr>
              <w:spacing w:before="0" w:after="0" w:line="312" w:lineRule="auto"/>
            </w:pPr>
            <w:r>
              <w:rPr>
                <w:rFonts w:ascii="Calibri" w:hAnsi="Calibri" w:cs="Calibri" w:eastAsia="PingFang SC"/>
                <w:color w:val="3D3A33"/>
                <w:sz w:val="22"/>
                <w:szCs w:val="22"/>
              </w:rPr>
              <w:t xml:space="preserve">Cotard's syndrome</w:t>
            </w:r>
          </w:p>
        </w:tc>
        <w:tc>
          <w:tcPr>
            <w:tcW w:w="2018" w:type="dxa"/>
          </w:tcPr>
          <w:p>
            <w:pPr>
              <w:spacing w:before="0" w:after="0" w:line="312" w:lineRule="auto"/>
            </w:pPr>
            <w:r>
              <w:rPr>
                <w:rFonts w:ascii="Calibri" w:hAnsi="Calibri" w:cs="Calibri" w:eastAsia="PingFang SC"/>
                <w:color w:val="3D3A33"/>
                <w:sz w:val="22"/>
                <w:szCs w:val="22"/>
              </w:rPr>
              <w:t xml:space="preserve">Cotard's syndrome</w:t>
            </w:r>
          </w:p>
        </w:tc>
        <w:tc>
          <w:tcPr>
            <w:tcW w:w="5325" w:type="dxa"/>
          </w:tcPr>
          <w:p>
            <w:pPr>
              <w:spacing w:before="0" w:after="0" w:line="312" w:lineRule="auto"/>
            </w:pPr>
            <w:r>
              <w:rPr>
                <w:rFonts w:ascii="Calibri" w:hAnsi="Calibri" w:cs="Calibri" w:eastAsia="PingFang SC"/>
                <w:color w:val="3D3A33"/>
                <w:sz w:val="22"/>
                <w:szCs w:val="22"/>
              </w:rPr>
              <w:t xml:space="preserve">Related brain regions; certainty of being dead despite preserved action and perception.</w:t>
            </w:r>
          </w:p>
        </w:tc>
      </w:tr>
      <w:tr>
        <w:tc>
          <w:tcPr>
            <w:tcW w:w="2018" w:type="dxa"/>
          </w:tcPr>
          <w:p>
            <w:pPr>
              <w:spacing w:before="0" w:after="0" w:line="312" w:lineRule="auto"/>
            </w:pPr>
            <w:r>
              <w:rPr>
                <w:rFonts w:ascii="Calibri" w:hAnsi="Calibri" w:cs="Calibri" w:eastAsia="PingFang SC"/>
                <w:color w:val="3D3A33"/>
                <w:sz w:val="22"/>
                <w:szCs w:val="22"/>
              </w:rPr>
              <w:t xml:space="preserve">Delusion</w:t>
            </w:r>
          </w:p>
        </w:tc>
        <w:tc>
          <w:tcPr>
            <w:tcW w:w="2018" w:type="dxa"/>
          </w:tcPr>
          <w:p>
            <w:pPr>
              <w:spacing w:before="0" w:after="0" w:line="312" w:lineRule="auto"/>
            </w:pPr>
            <w:r>
              <w:rPr>
                <w:rFonts w:ascii="Calibri" w:hAnsi="Calibri" w:cs="Calibri" w:eastAsia="PingFang SC"/>
                <w:color w:val="3D3A33"/>
                <w:sz w:val="22"/>
                <w:szCs w:val="22"/>
              </w:rPr>
              <w:t xml:space="preserve">Delusion</w:t>
            </w:r>
          </w:p>
        </w:tc>
        <w:tc>
          <w:tcPr>
            <w:tcW w:w="5325" w:type="dxa"/>
          </w:tcPr>
          <w:p>
            <w:pPr>
              <w:spacing w:before="0" w:after="0" w:line="312" w:lineRule="auto"/>
            </w:pPr>
            <w:r>
              <w:rPr>
                <w:rFonts w:ascii="Calibri" w:hAnsi="Calibri" w:cs="Calibri" w:eastAsia="PingFang SC"/>
                <w:color w:val="3D3A33"/>
                <w:sz w:val="22"/>
                <w:szCs w:val="22"/>
              </w:rPr>
              <w:t xml:space="preserve">Firmly held false belief central to Capgras and Cotard.</w:t>
            </w:r>
          </w:p>
        </w:tc>
      </w:tr>
      <w:tr>
        <w:tc>
          <w:tcPr>
            <w:tcW w:w="2018" w:type="dxa"/>
          </w:tcPr>
          <w:p>
            <w:pPr>
              <w:spacing w:before="0" w:after="0" w:line="312" w:lineRule="auto"/>
            </w:pPr>
            <w:r>
              <w:rPr>
                <w:rFonts w:ascii="Calibri" w:hAnsi="Calibri" w:cs="Calibri" w:eastAsia="PingFang SC"/>
                <w:color w:val="3D3A33"/>
                <w:sz w:val="22"/>
                <w:szCs w:val="22"/>
              </w:rPr>
              <w:t xml:space="preserve">Psychopathy</w:t>
            </w:r>
          </w:p>
        </w:tc>
        <w:tc>
          <w:tcPr>
            <w:tcW w:w="2018" w:type="dxa"/>
          </w:tcPr>
          <w:p>
            <w:pPr>
              <w:spacing w:before="0" w:after="0" w:line="312" w:lineRule="auto"/>
            </w:pPr>
            <w:r>
              <w:rPr>
                <w:rFonts w:ascii="Calibri" w:hAnsi="Calibri" w:cs="Calibri" w:eastAsia="PingFang SC"/>
                <w:color w:val="3D3A33"/>
                <w:sz w:val="22"/>
                <w:szCs w:val="22"/>
              </w:rPr>
              <w:t xml:space="preserve">Psychopathy</w:t>
            </w:r>
          </w:p>
        </w:tc>
        <w:tc>
          <w:tcPr>
            <w:tcW w:w="5325" w:type="dxa"/>
          </w:tcPr>
          <w:p>
            <w:pPr>
              <w:spacing w:before="0" w:after="0" w:line="312" w:lineRule="auto"/>
            </w:pPr>
            <w:r>
              <w:rPr>
                <w:rFonts w:ascii="Calibri" w:hAnsi="Calibri" w:cs="Calibri" w:eastAsia="PingFang SC"/>
                <w:color w:val="3D3A33"/>
                <w:sz w:val="22"/>
                <w:szCs w:val="22"/>
              </w:rPr>
              <w:t xml:space="preserve">Absent moral understanding through injury or from birth; raises responsibility, freedom, and evil questions.</w:t>
            </w:r>
          </w:p>
        </w:tc>
      </w:tr>
      <w:tr>
        <w:tc>
          <w:tcPr>
            <w:tcW w:w="2018" w:type="dxa"/>
          </w:tcPr>
          <w:p>
            <w:pPr>
              <w:spacing w:before="0" w:after="0" w:line="312" w:lineRule="auto"/>
            </w:pPr>
            <w:r>
              <w:rPr>
                <w:rFonts w:ascii="Calibri" w:hAnsi="Calibri" w:cs="Calibri" w:eastAsia="PingFang SC"/>
                <w:color w:val="3D3A33"/>
                <w:sz w:val="22"/>
                <w:szCs w:val="22"/>
              </w:rPr>
              <w:t xml:space="preserve">Game theory</w:t>
            </w:r>
          </w:p>
        </w:tc>
        <w:tc>
          <w:tcPr>
            <w:tcW w:w="2018" w:type="dxa"/>
          </w:tcPr>
          <w:p>
            <w:pPr>
              <w:spacing w:before="0" w:after="0" w:line="312" w:lineRule="auto"/>
            </w:pPr>
            <w:r>
              <w:rPr>
                <w:rFonts w:ascii="Calibri" w:hAnsi="Calibri" w:cs="Calibri" w:eastAsia="PingFang SC"/>
                <w:color w:val="3D3A33"/>
                <w:sz w:val="22"/>
                <w:szCs w:val="22"/>
              </w:rPr>
              <w:t xml:space="preserve">Game theory</w:t>
            </w:r>
          </w:p>
        </w:tc>
        <w:tc>
          <w:tcPr>
            <w:tcW w:w="5325" w:type="dxa"/>
          </w:tcPr>
          <w:p>
            <w:pPr>
              <w:spacing w:before="0" w:after="0" w:line="312" w:lineRule="auto"/>
            </w:pPr>
            <w:r>
              <w:rPr>
                <w:rFonts w:ascii="Calibri" w:hAnsi="Calibri" w:cs="Calibri" w:eastAsia="PingFang SC"/>
                <w:color w:val="3D3A33"/>
                <w:sz w:val="22"/>
                <w:szCs w:val="22"/>
              </w:rPr>
              <w:t xml:space="preserve">Named with economics as essential for understanding thought and behavior; exemplifies interdisciplinarity.</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