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13 Why Are People Different? Differences</w:t>
      </w:r>
    </w:p>
    <w:p>
      <w:pPr>
        <w:spacing w:before="240" w:after="80" w:line="312" w:lineRule="auto"/>
      </w:pPr>
      <w:r>
        <w:rPr>
          <w:rFonts w:ascii="Calibri" w:hAnsi="Calibri" w:cs="Calibri" w:eastAsia="PingFang SC"/>
          <w:b/>
          <w:color w:val="33302A"/>
          <w:sz w:val="32"/>
          <w:szCs w:val="32"/>
        </w:rPr>
        <w:t xml:space="preserve">Lecture 13 · Why Are People Different?: Differences</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Personality and intelligence are the two main axes of individual psychological differences. Tools assessing either must satisfy reliability—consistent results on retesting—and validity—actually measuring what they claim to measure. Using birth dates as an intelligence test is perfectly reliable but invalid; the Rorschach inkblot test lacks even reliability yet is used by about 80 percent of clinical psychologists. Personality models developed from Allport's 18,000 traits through Eysenck's two dimensions and Cattell's sixteen factors to the consensual Big Five: openness, conscientiousness, extroversion, agreeableness, and neuroticism, or OCEAN. The model is supported by stability across years, observer agreement, and prediction of real behavior. For intelligence, Spearman divides test performance into specific ability s and general factor g, analogous to correlations among ten athletic tests in a gym. Wechsler scales set the mean at 100: 68% score 85–115, 95% score 70–130, and only 0.13% exceed 145. Controversy around </w:t>
      </w:r>
      <w:r>
        <w:rPr>
          <w:rFonts w:ascii="Calibri" w:hAnsi="Calibri" w:cs="Calibri" w:eastAsia="PingFang SC"/>
          <w:i/>
          <w:color w:val="3D3A33"/>
          <w:sz w:val="22"/>
          <w:szCs w:val="22"/>
        </w:rPr>
        <w:t xml:space="preserve">The Bell Curve</w:t>
      </w:r>
      <w:r>
        <w:rPr>
          <w:rFonts w:ascii="Calibri" w:hAnsi="Calibri" w:cs="Calibri" w:eastAsia="PingFang SC"/>
          <w:color w:val="3D3A33"/>
          <w:sz w:val="22"/>
          <w:szCs w:val="22"/>
        </w:rPr>
        <w:t xml:space="preserve"> prompted an American Psychological Association report by fifty experts: IQ relates to educational, occupational, economic, and social outcomes more strongly than any other single measurable trait. How much of this is a self-fulfilling consequence of society taking IQ seriously remains unsettled.</w:t>
      </w:r>
    </w:p>
    <w:p>
      <w:pPr>
        <w:spacing w:before="0" w:after="160" w:line="312" w:lineRule="auto"/>
      </w:pPr>
      <w:r>
        <w:rPr>
          <w:rFonts w:ascii="Calibri" w:hAnsi="Calibri" w:cs="Calibri" w:eastAsia="PingFang SC"/>
          <w:color w:val="3D3A33"/>
          <w:sz w:val="22"/>
          <w:szCs w:val="22"/>
        </w:rPr>
        <w:t xml:space="preserve">Sources of differences divide into heredity, shared environment, and non-shared environment, summing to one. Behavioral genetics separates them using identical twins with 100% genetic overlap, fraternal twins with 50%, adopted children with 0%, and the gold standard of identical twins reared apart. It yields two conclusions: almost all traits are highly heritable, and almost everything else belongs to non-shared environment, with shared environment contributing nearly zero. But high within-group heritability cannot imply genetic between-group differences. In Lewontin's two wheat plots, genes explain plant-height differences within a plot while fertilizer entirely explains differences between plots. The Flynn effect likewise shows large IQ gains over decades without genetic change. Robust parent-child correlations therefore need reinterpretation: shared genes, children shaping parents rather than vice versa—good children stay home for dinner rather than dinner making children good—or third variables. Rejecting the nurture assumption does not license cruelty to children; reasons for kindness instead become love, their happiness, and the relationship itself.</w:t>
      </w:r>
    </w:p>
    <w:p>
      <w:pPr>
        <w:spacing w:before="0" w:after="160" w:line="312" w:lineRule="auto"/>
      </w:pPr>
      <w:r>
        <w:rPr>
          <w:rFonts w:ascii="Calibri" w:hAnsi="Calibri" w:cs="Calibri" w:eastAsia="PingFang SC"/>
          <w:b/>
          <w:color w:val="3D3A33"/>
          <w:sz w:val="22"/>
          <w:szCs w:val="22"/>
        </w:rPr>
        <w:t xml:space="preserve">Points most worth attending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Reliability and validity are independent: a test can be perfectly reliable and completely invalid. Birth-date IQ testing gives the same score today, tomorrow, and on one's deathbed, but has nothing to do with intelligence. This criterion condemns both Rorschach inkblots and “which superhero are you?” tests.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Non-shared environment accounts for nearly all environmental explanatory power; shared environment contributes close to zero. Adopted children's IQ correlation with their adoptive family is about zero. The Bloom family's IQ cannot predict that of a child they raise from infancy to twenty.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Identical twins reared apart resemble one another beyond intuition, often even having indistinguishable brain scans. Their attitudes toward capital punishment, religion, and modern music and rates of crime, gambling, and divorce are similar. Examples include brothers who both pretend to sneeze in elevators and the Giggle Twins.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High within-group heritability never implies genetic between-group differences; these are logically independent claims. Lewontin's wheat illustrates genes determining relative height within each field while fertilizer alone produces the gap between fields.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Flynn effect exposes IQ's supposed absolute scale. A father scoring 122 and son scoring 120 appears slightly ahead, but the son's test is much harder because every generation is recalibrated to a mean of 100.</w:t>
      </w:r>
    </w:p>
    <w:p>
      <w:pPr>
        <w:spacing w:before="240" w:after="80" w:line="312" w:lineRule="auto"/>
      </w:pPr>
      <w:r>
        <w:rPr>
          <w:rFonts w:ascii="Calibri" w:hAnsi="Calibri" w:cs="Calibri" w:eastAsia="PingFang SC"/>
          <w:b/>
          <w:color w:val="9E3D34"/>
          <w:sz w:val="26"/>
          <w:szCs w:val="26"/>
        </w:rPr>
        <w:t xml:space="preserve">Topics</w:t>
      </w:r>
    </w:p>
    <w:p>
      <w:pPr>
        <w:spacing w:before="240" w:after="80" w:line="312" w:lineRule="auto"/>
      </w:pPr>
      <w:r>
        <w:rPr>
          <w:rFonts w:ascii="Calibri" w:hAnsi="Calibri" w:cs="Calibri" w:eastAsia="PingFang SC"/>
          <w:b/>
          <w:color w:val="175244"/>
          <w:sz w:val="22"/>
          <w:szCs w:val="22"/>
        </w:rPr>
        <w:t xml:space="preserve">Defining Personality and Two Criteria for Measurement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Personality means traits stable across situations and time, not situational responses. Anger when someone hits your head reflects the situation—anyone would be angry. Constant anger, by contrast, is a stable trait deserving the label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Any good personality assessment needs both reliability and validity, which can separate. Birth-date intelligence testing is the ideal counterexample: repeated tests are identical, making it reliable, but it measures no intelligence and is invalid.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thoroughly rejects the Rorschach inkblot test. Inventor Herman Rorschach really was nicknamed Inkblot as a teenager. About 80% of clinical psychologists claim to use it; most APA-accredited graduate programs teach it; Catholic seminaries screen applicants with it; and it enters child-custody disputes. Yet extensive study shows it is as useless a psychological measure as dice or tea leaves.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good tests measure only one of a few basic dimensions. The question is not how many descriptive adjectives exist but how many parameters locate a personality. Allport collected 18,000 personality traits from a dictionary, but friendly, sociable, warm, and hospitable describe essentially one thing. Independent directions are far fewer.</w:t>
      </w:r>
    </w:p>
    <w:p>
      <w:pPr>
        <w:spacing w:before="240" w:after="80" w:line="312" w:lineRule="auto"/>
      </w:pPr>
      <w:r>
        <w:rPr>
          <w:rFonts w:ascii="Calibri" w:hAnsi="Calibri" w:cs="Calibri" w:eastAsia="PingFang SC"/>
          <w:b/>
          <w:color w:val="175244"/>
          <w:sz w:val="22"/>
          <w:szCs w:val="22"/>
        </w:rPr>
        <w:t xml:space="preserve">From Two Dimensions and Sixteen Factors to the Big Five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Big Five claims thousands of interpersonal descriptors reduce to five underlying dimensions: openness, conscientiousness, extroversion, agreeableness, and neuroticism, or OCEAN. A good personality test measures one of them, and these are what matter in everyday interaction.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theory merits attention because it combines temporal stability and observer agreement. Scores now and five years later change little, especially after thirty. Mentally score your parents on the five dimensions and they will remain similarly placed ten years later.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Big Five predicts behavior, not merely words. Conscientiousness relates to spousal fidelity, openness to job changes, and extroversion to eye contact and more sexual partners. Batman, Hulk, and Wonder Woman tests, by contrast, correspond to nothing real.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Ratings of </w:t>
      </w:r>
      <w:r>
        <w:rPr>
          <w:rFonts w:ascii="Calibri" w:hAnsi="Calibri" w:cs="Calibri" w:eastAsia="PingFang SC"/>
          <w:i/>
          <w:color w:val="3D3A33"/>
          <w:sz w:val="22"/>
          <w:szCs w:val="22"/>
        </w:rPr>
        <w:t xml:space="preserve">The Simpsons</w:t>
      </w:r>
      <w:r>
        <w:rPr>
          <w:rFonts w:ascii="Calibri" w:hAnsi="Calibri" w:cs="Calibri" w:eastAsia="PingFang SC"/>
          <w:color w:val="3D3A33"/>
          <w:sz w:val="22"/>
          <w:szCs w:val="22"/>
        </w:rPr>
        <w:t xml:space="preserve"> characters demonstrate observer agreement. Thirteen participants scored five dimensions with considerable consensus. Ned Flanders and Marge Simpson were most agreeable, at 6.27 and 5.46; Mr. Burns and Nelson were lowest. Nelson is the child who responds to trouble with “Ha ha.”</w:t>
      </w:r>
    </w:p>
    <w:p>
      <w:pPr>
        <w:spacing w:before="240" w:after="80" w:line="312" w:lineRule="auto"/>
      </w:pPr>
      <w:r>
        <w:rPr>
          <w:rFonts w:ascii="Calibri" w:hAnsi="Calibri" w:cs="Calibri" w:eastAsia="PingFang SC"/>
          <w:b/>
          <w:color w:val="175244"/>
          <w:sz w:val="22"/>
          <w:szCs w:val="22"/>
        </w:rPr>
        <w:t xml:space="preserve">Intelligence: Definition, Structure, and Score Distribution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Intelligence is hard to define, but a survey of a thousand experts found agreement on a few abilities: almost everyone named abstract reasoning, problem solving, and acquiring knowledge. Other suggestions included attention, memory, mental speed, language, mathematics, knowledge, and creativity. Despite difficulty defining it, intuitive judgments substantially agree.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Spearman distinguishes g and s. General factor g is the common component brought to every subtest. Without correlations among subtests, g would be unnecessary. Repeated findings instead show common correlations across intellectual tasks, just as people good at running and swimming among ten gym tests are likely good at climbing.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Modern Wechsler scales, for adults and children, force the average to 100. Normal-distribution intervals follow: 68% score between 85 and 115, 95% between 70 and 130, and 0.13% above 145.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i/>
          <w:color w:val="3D3A33"/>
          <w:sz w:val="22"/>
          <w:szCs w:val="22"/>
        </w:rPr>
        <w:t xml:space="preserve">The Bell Curve</w:t>
      </w:r>
      <w:r>
        <w:rPr>
          <w:rFonts w:ascii="Calibri" w:hAnsi="Calibri" w:cs="Calibri" w:eastAsia="PingFang SC"/>
          <w:color w:val="3D3A33"/>
          <w:sz w:val="22"/>
          <w:szCs w:val="22"/>
        </w:rPr>
        <w:t xml:space="preserve"> made IQ's social importance controversial, arguing that status, wealth, and success follow from standard IQ scores. The dispute generated two major reports, including an APA panel of fifty leading intelligence researchers assessing what IQ means.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Expert consensus has levels of strength. Correlations are very strong for academic and military-training success, moderate but robust for social competence, and smaller but consistent for law-abidingness. Overall, whatever IQ tests measure has major practical and social significance.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utility may be self-fulfilling. Yale requires the SAT and graduate schools the GRE, both disguised IQ tests, so institutions manufacture a substantial part of the association with educational achievement. If society excluded everyone under six feet from school, future professors would likewise announce deep correlations between height and educational attainment.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Yet IQ is clearly not wholly socially constructed: it correlates with mental speed and memory span. Scores partly reflect thinking speed and memory capacity, providing validity beyond institutional construction.</w:t>
      </w:r>
    </w:p>
    <w:p>
      <w:pPr>
        <w:spacing w:before="240" w:after="80" w:line="312" w:lineRule="auto"/>
      </w:pPr>
      <w:r>
        <w:rPr>
          <w:rFonts w:ascii="Calibri" w:hAnsi="Calibri" w:cs="Calibri" w:eastAsia="PingFang SC"/>
          <w:b/>
          <w:color w:val="175244"/>
          <w:sz w:val="22"/>
          <w:szCs w:val="22"/>
        </w:rPr>
        <w:t xml:space="preserve">Behavioral-Genetic Tools for Separating Genes and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Before heredity, clarify that the target is differences, not a trait's origin. Height variation is largely heritable, but number-of-legs variation is scarcely so: most have two legs, and fewer usually results from accidents. Legs are genetically determined, while differences in their number generally are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Environment divides into shared and non-shared components, which sum with heredity to one. Shared environment includes experiences common to children in a household, such as bad parents. Non-shared environment is everything else, such as being hit in the head by a snowball at five or having one's life ruined by lottery winnings at twenty-one.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Genes and environment are naturally entangled, requiring three behavioral-genetic comparison groups. Identical twins are clones with 100% shared genes; fraternal twins, like ordinary siblings, share 50%; adopted siblings have no overlap above chance. By definition, people raised in the same house by the same parents have 100% the same shared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Testable comparisons follow. Greater similarity in identical than fraternal twins suggests genes matter strongly. Equal similarity suggests extra genetic overlap does not matter. Strong resemblance between adoptees and their adoptive parents' biological children points to shared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Identical twins reared apart are the gold standard: clones growing up in different families. Similar attitudes to capital punishment, religion, and modern music; similar crime, gambling, and divorce rates; and hard-to-distinguish brain scans together indicate genetic influence.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design has limitations: identical twins look more alike and may receive more similar treatment. Greater identical-twin similarity strongly suggests genetic influence but is not decisive proof.</w:t>
      </w:r>
    </w:p>
    <w:p>
      <w:pPr>
        <w:spacing w:before="240" w:after="80" w:line="312" w:lineRule="auto"/>
      </w:pPr>
      <w:r>
        <w:rPr>
          <w:rFonts w:ascii="Calibri" w:hAnsi="Calibri" w:cs="Calibri" w:eastAsia="PingFang SC"/>
          <w:b/>
          <w:color w:val="175244"/>
          <w:sz w:val="22"/>
          <w:szCs w:val="22"/>
        </w:rPr>
        <w:t xml:space="preserve">Two Startling Behavioral-Genetic Conclusions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nearly everything is highly heritable. Intelligence, personality, happiness, religiosity, political orientation, and sexual orientation show strong genetic effects. This does not conflict with common sense and is not the most surprising 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almost everything beyond genes belongs to non-shared environment; shared environment contributes little. For personality and intelligence, adopted children are no more like siblings than strangers. Genetically unrelated adults raised together have an IQ correlation around zero.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Parents thus do profoundly influence intelligence and personality, but at conception, with a genetic contribution around 0.5. Afterward, they do little to shape who one becomes. </w:t>
      </w:r>
      <w:r>
        <w:rPr>
          <w:rFonts w:ascii="Calibri" w:hAnsi="Calibri" w:cs="Calibri" w:eastAsia="PingFang SC"/>
          <w:i/>
          <w:color w:val="3D3A33"/>
          <w:sz w:val="22"/>
          <w:szCs w:val="22"/>
        </w:rPr>
        <w:t xml:space="preserve">Newsweek</w:t>
      </w:r>
      <w:r>
        <w:rPr>
          <w:rFonts w:ascii="Calibri" w:hAnsi="Calibri" w:cs="Calibri" w:eastAsia="PingFang SC"/>
          <w:color w:val="3D3A33"/>
          <w:sz w:val="22"/>
          <w:szCs w:val="22"/>
        </w:rPr>
        <w:t xml:space="preserve"> captured the implication with “Do parents matter?”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Judith Harris's </w:t>
      </w:r>
      <w:r>
        <w:rPr>
          <w:rFonts w:ascii="Calibri" w:hAnsi="Calibri" w:cs="Calibri" w:eastAsia="PingFang SC"/>
          <w:i/>
          <w:color w:val="3D3A33"/>
          <w:sz w:val="22"/>
          <w:szCs w:val="22"/>
        </w:rPr>
        <w:t xml:space="preserve">The Nurture Assumption</w:t>
      </w:r>
      <w:r>
        <w:rPr>
          <w:rFonts w:ascii="Calibri" w:hAnsi="Calibri" w:cs="Calibri" w:eastAsia="PingFang SC"/>
          <w:color w:val="3D3A33"/>
          <w:sz w:val="22"/>
          <w:szCs w:val="22"/>
        </w:rPr>
        <w:t xml:space="preserve"> brought this case to the public, subtitled “Why Children Turn Out the Way They Do: Parents Matter Less Than You Think and Peers Matter More.” Her history is ironic: expelled from Harvard graduate school, she was told by department chair George Miller that she would not amount to much, then won the George Miller Award in 1997.</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does not mean children may be mistreated; reasons for kindness change. Be kind because you love them, want them happy, or want good relationships with them.</w:t>
      </w:r>
    </w:p>
    <w:p>
      <w:pPr>
        <w:spacing w:before="240" w:after="80" w:line="312" w:lineRule="auto"/>
      </w:pPr>
      <w:r>
        <w:rPr>
          <w:rFonts w:ascii="Calibri" w:hAnsi="Calibri" w:cs="Calibri" w:eastAsia="PingFang SC"/>
          <w:b/>
          <w:color w:val="175244"/>
          <w:sz w:val="22"/>
          <w:szCs w:val="22"/>
        </w:rPr>
        <w:t xml:space="preserve">Correlation Is Not Causation: Three Accounts of Parent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Robust parent-child correlations are real but admit multiple explanations. Bookish parents with many books have reading children; religious parents have religious children; Bonnie and Clyde would raise a young thug; poor parents tend to have poor children and smart parents smart children. The correlation is unquestionable; interpretation is the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alternative is shared genes: nearly all parents share genes with children, so resemblance may simply reflect inheritance. Another is reversed direction: children influence parents, illustrated vividly by family-meal research.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 calls that study the worst in scientific history, virtually a catalogue of methodological errors. Telephone questions about teen drug use and meals found good children ate with parents more, prompting the conclusion that meals prevent smoking, drinking, and drugs. But the opposite direction fits: teens outside smoking marijuana and misbehaving do not come home, while good children have nothing else to do and eat with Mom and Dad.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Third variables also work: good families may produce both drug-free children and family meals. Worse, age was uncontrolled across ages twelve to seventeen. Twelve-year-olds generally use fewer drugs and eat at home; seventeen-year-olds get high and eat elsewhere.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Similar problems affect plausible claims. Reading to children may help, but bookish children may demand reading. Parents who hit children statistically have more violent children, yet troublesome children may elicit hitting. Violence is also substantially heritable, so children might inherit that tendency even if not raised by the hitting parent.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Personal experience scarcely identifies causal direction. “Mom hit me, making me rotten” and “I was rotten, so she hit me” are hard to separate. Unless adopted, one cannot even begin attributing problems to upbringing without acknowledging resemblance may simply reflect shared genes.</w:t>
      </w:r>
    </w:p>
    <w:p>
      <w:pPr>
        <w:spacing w:before="240" w:after="80" w:line="312" w:lineRule="auto"/>
      </w:pPr>
      <w:r>
        <w:rPr>
          <w:rFonts w:ascii="Calibri" w:hAnsi="Calibri" w:cs="Calibri" w:eastAsia="PingFang SC"/>
          <w:b/>
          <w:color w:val="175244"/>
          <w:sz w:val="22"/>
          <w:szCs w:val="22"/>
        </w:rPr>
        <w:t xml:space="preserve">Why Group Differences Do Not Imply Genetic Explanations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Clear, stable IQ-score differences occur among groups such as white, Asian, African American, and Ashkenazi Jewish populations. But group membership is partly socially constructed. Jewish identity depends not only on genes but Reform versus Orthodox rules and recognition of children of Jewish fathers and non-Jewish mothers. African American, white, and Asian categories only partly overlap broad genetic groupings and are not fully coherent genetic divisions.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Real genetic group differences also exist, such as Ashkenazi susceptibility to Tay-Sachs, so groups cannot simply be dismissed as unreal. The real question is whether high within-group heritability requires genetic explanations between groups. It does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Lewontin's wheat analogy gives the cleanest logic. Identical seed sets are planted in two fields, heavily versus lightly fertilized. Within each, height largely depends on seed genes, producing high heritability. Between-field differences have no genetic cause and reflect fertilizer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classroom midterms provide a human thought experiment. Deliberately give the right half an extremely hard exam and the left an easy “dog or elephant: which is bigger?” exam. The left scores higher. Within-group variation may reflect genes or effort, while the between-group gap is wholly caused by the assigned exam.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Flynn effect supplies strong empirical support: IQ rises greatly over decades without genetic change. It is hidden because tests reset the mean to 100. A son scoring 120 and father recalling 122 miss that the son's test is much harder; tests are made harder as performance improves.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average person in 1980 would score 120 on the 1950 test. An average modern person sent back twenty or thirty years would far exceed the earlier mean, and nobody knows exactly why people are becoming smarter. Large environmental changes over decades leave open the possibility that present group IQ differences arise from similar environmental effects.</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not dualism. It's not evolution. It's this because the scientific findings on human psychological differences are, to many of us, shocking and unbelievable."</w:t>
      </w:r>
    </w:p>
    <w:p>
      <w:pPr>
        <w:spacing w:before="0" w:after="160" w:line="312" w:lineRule="auto"/>
      </w:pPr>
      <w:r>
        <w:rPr>
          <w:rFonts w:ascii="Calibri" w:hAnsi="Calibri" w:cs="Calibri" w:eastAsia="PingFang SC"/>
          <w:color w:val="3D3A33"/>
          <w:sz w:val="22"/>
          <w:szCs w:val="22"/>
        </w:rPr>
        <w:t xml:space="preserve">The opening positions this as the course's most uncomfortable lecture because findings about psychological differences are shocking and hard to believe.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"personality" if you walk around all the time angry. That'd be a stable trait."</w:t>
      </w:r>
    </w:p>
    <w:p>
      <w:pPr>
        <w:spacing w:before="0" w:after="160" w:line="312" w:lineRule="auto"/>
      </w:pPr>
      <w:r>
        <w:rPr>
          <w:rFonts w:ascii="Calibri" w:hAnsi="Calibri" w:cs="Calibri" w:eastAsia="PingFang SC"/>
          <w:color w:val="3D3A33"/>
          <w:sz w:val="22"/>
          <w:szCs w:val="22"/>
        </w:rPr>
        <w:t xml:space="preserve">Anger after a blow is situational; enduring anger is a stable trait and therefore personality.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"Something can be reliable but not valid and something can be valid and not reliable."</w:t>
      </w:r>
    </w:p>
    <w:p>
      <w:pPr>
        <w:spacing w:before="0" w:after="160" w:line="312" w:lineRule="auto"/>
      </w:pPr>
      <w:r>
        <w:rPr>
          <w:rFonts w:ascii="Calibri" w:hAnsi="Calibri" w:cs="Calibri" w:eastAsia="PingFang SC"/>
          <w:color w:val="3D3A33"/>
          <w:sz w:val="22"/>
          <w:szCs w:val="22"/>
        </w:rPr>
        <w:t xml:space="preserve">After the birth-date counterexample, this emphasizes reliability and validity as independent dimensions.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"Now, the Rorschach test is transcendently useless. It has been studied and explored and it is as useless as throwing dice."</w:t>
      </w:r>
    </w:p>
    <w:p>
      <w:pPr>
        <w:spacing w:before="0" w:after="160" w:line="312" w:lineRule="auto"/>
      </w:pPr>
      <w:r>
        <w:rPr>
          <w:rFonts w:ascii="Calibri" w:hAnsi="Calibri" w:cs="Calibri" w:eastAsia="PingFang SC"/>
          <w:color w:val="3D3A33"/>
          <w:sz w:val="22"/>
          <w:szCs w:val="22"/>
        </w:rPr>
        <w:t xml:space="preserve">Following its widespread use, the lecturer comprehensively rejects Rorschach as a psychological measure.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claim is IQ is strongly related more so — probably more so than any other single measurable human trait to many important educational, occupational, economic, and social outcomes."</w:t>
      </w:r>
    </w:p>
    <w:p>
      <w:pPr>
        <w:spacing w:before="0" w:after="160" w:line="312" w:lineRule="auto"/>
      </w:pPr>
      <w:r>
        <w:rPr>
          <w:rFonts w:ascii="Calibri" w:hAnsi="Calibri" w:cs="Calibri" w:eastAsia="PingFang SC"/>
          <w:color w:val="3D3A33"/>
          <w:sz w:val="22"/>
          <w:szCs w:val="22"/>
        </w:rPr>
        <w:t xml:space="preserve">The overall judgment of IQ's associations from the APA's fifty-expert report.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some extent, it's a self-fulfilling prophecy."</w:t>
      </w:r>
    </w:p>
    <w:p>
      <w:pPr>
        <w:spacing w:before="0" w:after="160" w:line="312" w:lineRule="auto"/>
      </w:pPr>
      <w:r>
        <w:rPr>
          <w:rFonts w:ascii="Calibri" w:hAnsi="Calibri" w:cs="Calibri" w:eastAsia="PingFang SC"/>
          <w:color w:val="3D3A33"/>
          <w:sz w:val="22"/>
          <w:szCs w:val="22"/>
        </w:rPr>
        <w:t xml:space="preserve">SAT and GRE testing partly create IQ's strong educational association: social importance makes it important.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am talking about the role of genes and also the role of environment in explaining human differences, not in explaining human characteristics."</w:t>
      </w:r>
    </w:p>
    <w:p>
      <w:pPr>
        <w:spacing w:before="0" w:after="160" w:line="312" w:lineRule="auto"/>
      </w:pPr>
      <w:r>
        <w:rPr>
          <w:rFonts w:ascii="Calibri" w:hAnsi="Calibri" w:cs="Calibri" w:eastAsia="PingFang SC"/>
          <w:color w:val="3D3A33"/>
          <w:sz w:val="22"/>
          <w:szCs w:val="22"/>
        </w:rPr>
        <w:t xml:space="preserve">Before discussing heredity and environment, this clarifies differences rather than traits' origins as the target.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not due to their genes. So, of course, whether or not you have legs is a very genetic matter but the differences in number of legs is not usually genetic."</w:t>
      </w:r>
    </w:p>
    <w:p>
      <w:pPr>
        <w:spacing w:before="0" w:after="160" w:line="312" w:lineRule="auto"/>
      </w:pPr>
      <w:r>
        <w:rPr>
          <w:rFonts w:ascii="Calibri" w:hAnsi="Calibri" w:cs="Calibri" w:eastAsia="PingFang SC"/>
          <w:color w:val="3D3A33"/>
          <w:sz w:val="22"/>
          <w:szCs w:val="22"/>
        </w:rPr>
        <w:t xml:space="preserve">Leg numbers show heritability concerns differences, not the origin of traits.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"One of the hugely surprising findings from behavioral genetics is how alike identical twins reared apart are."</w:t>
      </w:r>
    </w:p>
    <w:p>
      <w:pPr>
        <w:spacing w:before="0" w:after="160" w:line="312" w:lineRule="auto"/>
      </w:pPr>
      <w:r>
        <w:rPr>
          <w:rFonts w:ascii="Calibri" w:hAnsi="Calibri" w:cs="Calibri" w:eastAsia="PingFang SC"/>
          <w:color w:val="3D3A33"/>
          <w:sz w:val="22"/>
          <w:szCs w:val="22"/>
        </w:rPr>
        <w:t xml:space="preserve">The gold-standard design reveals unexpectedly strong resemblance despite separate upbringing.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high heritability for almost everything."</w:t>
      </w:r>
    </w:p>
    <w:p>
      <w:pPr>
        <w:spacing w:before="0" w:after="160" w:line="312" w:lineRule="auto"/>
      </w:pPr>
      <w:r>
        <w:rPr>
          <w:rFonts w:ascii="Calibri" w:hAnsi="Calibri" w:cs="Calibri" w:eastAsia="PingFang SC"/>
          <w:color w:val="3D3A33"/>
          <w:sz w:val="22"/>
          <w:szCs w:val="22"/>
        </w:rPr>
        <w:t xml:space="preserve">The first conclusion covers intelligence, personality, happiness, religiosity, political orientation, and sexual orientation.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"All I'm saying is the question of the phenomena of — within-group genetic differences does not mean that there is across-group genetic — sorry, between-group genetic differences."</w:t>
      </w:r>
    </w:p>
    <w:p>
      <w:pPr>
        <w:spacing w:before="0" w:after="160" w:line="312" w:lineRule="auto"/>
      </w:pPr>
      <w:r>
        <w:rPr>
          <w:rFonts w:ascii="Calibri" w:hAnsi="Calibri" w:cs="Calibri" w:eastAsia="PingFang SC"/>
          <w:color w:val="3D3A33"/>
          <w:sz w:val="22"/>
          <w:szCs w:val="22"/>
        </w:rPr>
        <w:t xml:space="preserve">The essential logical limit: genetic within-group variation does not entail genetic between-group variation.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the difference between groups has no genetic cause at all. It's caused by which groups you fertilize more than others."</w:t>
      </w:r>
    </w:p>
    <w:p>
      <w:pPr>
        <w:spacing w:before="0" w:after="160" w:line="312" w:lineRule="auto"/>
      </w:pPr>
      <w:r>
        <w:rPr>
          <w:rFonts w:ascii="Calibri" w:hAnsi="Calibri" w:cs="Calibri" w:eastAsia="PingFang SC"/>
          <w:color w:val="3D3A33"/>
          <w:sz w:val="22"/>
          <w:szCs w:val="22"/>
        </w:rPr>
        <w:t xml:space="preserve">Lewontin's fields combine high within-field heritability with wholly environmental between-field differences.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behavioral genetic analyses suggest that shared environment counts for little or nothing."</w:t>
      </w:r>
    </w:p>
    <w:p>
      <w:pPr>
        <w:spacing w:before="0" w:after="160" w:line="312" w:lineRule="auto"/>
      </w:pPr>
      <w:r>
        <w:rPr>
          <w:rFonts w:ascii="Calibri" w:hAnsi="Calibri" w:cs="Calibri" w:eastAsia="PingFang SC"/>
          <w:color w:val="3D3A33"/>
          <w:sz w:val="22"/>
          <w:szCs w:val="22"/>
        </w:rPr>
        <w:t xml:space="preserve">The second, more startling conclusion assigns almost everything beyond genes to non-shared environment.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parents had a huge effect on your intelligence and your personality, around 0.5 actually. They had this effect at the moment of conception."</w:t>
      </w:r>
    </w:p>
    <w:p>
      <w:pPr>
        <w:spacing w:before="0" w:after="160" w:line="312" w:lineRule="auto"/>
      </w:pPr>
      <w:r>
        <w:rPr>
          <w:rFonts w:ascii="Calibri" w:hAnsi="Calibri" w:cs="Calibri" w:eastAsia="PingFang SC"/>
          <w:color w:val="3D3A33"/>
          <w:sz w:val="22"/>
          <w:szCs w:val="22"/>
        </w:rPr>
        <w:t xml:space="preserve">Parental effects are large but principally genetic and effective at conception.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might actually be not family meals make good kids but rather good kids stick around to have — if they have nothing better to do and have meals with Mom and Dad."</w:t>
      </w:r>
    </w:p>
    <w:p>
      <w:pPr>
        <w:spacing w:before="0" w:after="160" w:line="312" w:lineRule="auto"/>
      </w:pPr>
      <w:r>
        <w:rPr>
          <w:rFonts w:ascii="Calibri" w:hAnsi="Calibri" w:cs="Calibri" w:eastAsia="PingFang SC"/>
          <w:color w:val="3D3A33"/>
          <w:sz w:val="22"/>
          <w:szCs w:val="22"/>
        </w:rPr>
        <w:t xml:space="preserve">Reverse causation undermines the family-meal headline.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IQ's 100 is a continually recalibrated ruler</w:t>
      </w:r>
      <w:r>
        <w:rPr>
          <w:rFonts w:ascii="Calibri" w:hAnsi="Calibri" w:cs="Calibri" w:eastAsia="PingFang SC"/>
          <w:color w:val="3D3A33"/>
          <w:sz w:val="22"/>
          <w:szCs w:val="22"/>
        </w:rPr>
        <w:t xml:space="preserve"> — Defining the mean as 100 aids short-term standardization but systematically erases generational gains. A father's 122 versus a son's 120 really involves a much harder test for the son. The Flynn effect reveals the traces of repeated recalibration.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Within-group heritability cannot establish genetic group differences</w:t>
      </w:r>
      <w:r>
        <w:rPr>
          <w:rFonts w:ascii="Calibri" w:hAnsi="Calibri" w:cs="Calibri" w:eastAsia="PingFang SC"/>
          <w:color w:val="3D3A33"/>
          <w:sz w:val="22"/>
          <w:szCs w:val="22"/>
        </w:rPr>
        <w:t xml:space="preserve"> — In Lewontin's analogy, seed genes explain height variation within fields while fertilizer alone explains the between-field gap. Moving from genetic individual differences to genetic group differences is logically invalid.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Non-shared environment, not family experience, is environment's main arena</w:t>
      </w:r>
      <w:r>
        <w:rPr>
          <w:rFonts w:ascii="Calibri" w:hAnsi="Calibri" w:cs="Calibri" w:eastAsia="PingFang SC"/>
          <w:color w:val="3D3A33"/>
          <w:sz w:val="22"/>
          <w:szCs w:val="22"/>
        </w:rPr>
        <w:t xml:space="preserve"> — Environment is usually imagined as parents, homes, and neighborhoods, but behavioral genetics reduces shared environment nearly to zero. Differences are shaped by chance experiences specific to one child and not represented by family variables.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Robust parent-child correlations cannot themselves establish effective nurture</w:t>
      </w:r>
      <w:r>
        <w:rPr>
          <w:rFonts w:ascii="Calibri" w:hAnsi="Calibri" w:cs="Calibri" w:eastAsia="PingFang SC"/>
          <w:color w:val="3D3A33"/>
          <w:sz w:val="22"/>
          <w:szCs w:val="22"/>
        </w:rPr>
        <w:t xml:space="preserve"> — Strong correlations allow shared genes, child-to-parent effects, and good-family third variables as alternatives. Everyday certainty that parents affect children offers almost no causal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Separated identical twins' resemblance extends to brain structure</w:t>
      </w:r>
      <w:r>
        <w:rPr>
          <w:rFonts w:ascii="Calibri" w:hAnsi="Calibri" w:cs="Calibri" w:eastAsia="PingFang SC"/>
          <w:color w:val="3D3A33"/>
          <w:sz w:val="22"/>
          <w:szCs w:val="22"/>
        </w:rPr>
        <w:t xml:space="preserve"> — Brain scans can be so alike that twins raised in different homes are indistinguishable. This goes beyond attitudes and preferences to direct evidence of genetic shaping of neural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Rejecting nurture assumptions does not dictate ethics toward children</w:t>
      </w:r>
      <w:r>
        <w:rPr>
          <w:rFonts w:ascii="Calibri" w:hAnsi="Calibri" w:cs="Calibri" w:eastAsia="PingFang SC"/>
          <w:color w:val="3D3A33"/>
          <w:sz w:val="22"/>
          <w:szCs w:val="22"/>
        </w:rPr>
        <w:t xml:space="preserve"> — To “why be kind if parents cannot shape outcomes?” the answer replaces instrumental shaping with love, children's happiness, and relationships. Noninstrumental reasons rebuild ethical motivation.</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Upbringing determines children; book-filled homes create readers and family education creates personality.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Shared environment contributes almost zero; adoptees' IQ correlation with adoptive biological siblings is about zero. Adoption and separated-twin evidence points to genes and non-shared environment rather than common family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Siblings resemble each other because of common parents and rules.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Shared genes explain most resemblance; the household contributes little. Adoptees are no more like their adoptive parents' biological children than strangers, challenging family-experience explanations.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Family dinners prevent smoking, drinking, and drugs, proving nurture works.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study did not control age from twelve to seventeen, which relates oppositely to drug use and family meals. More fundamentally, misbehaving teens may simply not come home for dinner.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 group's lower average psychological score probably reflects genetic differences.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Flynn effect shows large IQ gains without genetic change, demonstrating large environmental effects; group categories are also partly social rather than coherent genetic divisions.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Hitting parents' violent children prove social transmission of violence.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Trouble may elicit punishment, while violence itself is substantially heritable and might be inherited without upbringing by that parent. Any of the three alternative explanations could account for the statistics.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A stable, reliable test must at least be good.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Birth-date IQ testing remains identical today, tomorrow, next year, and at death but measures no intelligence. Reliability is consistency, validity is measuring the intended construct; each needs separate scrutiny.</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Do parents shape their children?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Robust correlations link parents' reading, religion, and intelligence to children's; Bonnie and Clyde would raise a thug. Personal experience makes parental influence seem undeniable, hence the discomfort of “Do parents matter?”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Shared genes, reverse causation, and third variables explain these correlations. Adoption and separated-twin designs leave shared environment nearly zero. Parents matter greatly through conception-time genes, around 0.5, not subsequent daily nurture.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explicitly concludes shared environment has little or no effect and experienced parental influence instead reflects genes or non-shared environment. Real correlations are acknowledged, while room remains for effects on happiness and relationships rather than personality-shaping.</w:t>
      </w:r>
    </w:p>
    <w:p>
      <w:pPr>
        <w:spacing w:before="0" w:after="160" w:line="312" w:lineRule="auto"/>
      </w:pPr>
      <w:r>
        <w:rPr>
          <w:rFonts w:ascii="Calibri" w:hAnsi="Calibri" w:cs="Calibri" w:eastAsia="PingFang SC"/>
          <w:b/>
          <w:color w:val="3D3A33"/>
          <w:sz w:val="22"/>
          <w:szCs w:val="22"/>
        </w:rPr>
        <w:t xml:space="preserve">Does IQ reflect ability or institutional self-fulfillment?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IQ correlates strongly, moderately, or modestly but consistently with academic success, military training, social competence, and law-abidingness. Expert consensus ranks its predictive value above other single measurable traits. Mental-speed and memory-span correlations suggest something real.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SAT and GRE are effectively IQ gatekeepers, making much educational association institutional. A six-foot Yale requirement would likewise manufacture height-achievement correlations.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IQ is not wholly constructed, since mental speed and memory provide external support. The proportion attributable to social construction is left to students without quantitative resolution.</w:t>
      </w:r>
    </w:p>
    <w:p>
      <w:pPr>
        <w:spacing w:before="0" w:after="160" w:line="312" w:lineRule="auto"/>
      </w:pPr>
      <w:r>
        <w:rPr>
          <w:rFonts w:ascii="Calibri" w:hAnsi="Calibri" w:cs="Calibri" w:eastAsia="PingFang SC"/>
          <w:b/>
          <w:color w:val="3D3A33"/>
          <w:sz w:val="22"/>
          <w:szCs w:val="22"/>
        </w:rPr>
        <w:t xml:space="preserve">Explaining group differences: environment or genes?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Stable group IQ differences exist, as do verifiable genetic differences such as Tay-Sachs susceptibility, giving groups some genetic reality.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Social rules partly define boundaries; within-group heritability cannot imply genetic group gaps, as wheat illustrates. The Flynn effect's gains without genetic change suggest environmental explanations.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Only the logical nonimplication is established, alongside two reasons favoring environmental explanations. The lecturer explicitly does not claim all group differences lack genetic explanations. The substantive question remains open.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Dual criteria: reliability and validity:</w:t>
      </w:r>
      <w:r>
        <w:rPr>
          <w:rFonts w:ascii="Calibri" w:hAnsi="Calibri" w:cs="Calibri" w:eastAsia="PingFang SC"/>
          <w:color w:val="3D3A33"/>
          <w:sz w:val="22"/>
          <w:szCs w:val="22"/>
        </w:rPr>
        <w:t xml:space="preserve"> Psychological tools must pass both before serving as evidence, screening out most superficially professional but useless tests.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Test measurement error and repeatability today, tomorrow, and next year, as a scale should not fluctuate ten pounds in a day.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Test whether the intended construct is measured; birth dates are perfectly reliable but absurdly invalid for intelligence.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Examine prediction of grades, likability, number of girlfriends, and other real outcomes. Popularity does not validate superhero tests that predict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Validating the Big Five:</w:t>
      </w:r>
      <w:r>
        <w:rPr>
          <w:rFonts w:ascii="Calibri" w:hAnsi="Calibri" w:cs="Calibri" w:eastAsia="PingFang SC"/>
          <w:color w:val="3D3A33"/>
          <w:sz w:val="22"/>
          <w:szCs w:val="22"/>
        </w:rPr>
        <w:t xml:space="preserve"> Determine whether personality-structure theory deserves attention rather than merely sounding plausible.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Check stability over five years, especially after thirty.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Check agreement among roommates, professors, and mothers; personality leaves traces in observers' minds.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Check real behavior: conscientiousness and fidelity, openness and job changes, extroversion and gaze or sexual partners.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Four behavioral-genetic comparisons:</w:t>
      </w:r>
      <w:r>
        <w:rPr>
          <w:rFonts w:ascii="Calibri" w:hAnsi="Calibri" w:cs="Calibri" w:eastAsia="PingFang SC"/>
          <w:color w:val="3D3A33"/>
          <w:sz w:val="22"/>
          <w:szCs w:val="22"/>
        </w:rPr>
        <w:t xml:space="preserve"> Separate entangled genes and environment using different combinations of genetic overlap and shared environment.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Compare identical twins, with 100% shared genes, and fraternal twins, with 50%; greater identical-twin resemblance suggests genetic influence.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Compare adoptees with adoptive biological siblings: resemblance suggests shared environment; no relation suggests little effect.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Use identical twins reared apart, the gold standard: same genes, different homes, attributing similarity to genes.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Watch confounds such as similar-looking identical twins receiving similar treatment; resemblance is suggestive, not conclusive.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Checking three explanations of parent-child correlations:</w:t>
      </w:r>
      <w:r>
        <w:rPr>
          <w:rFonts w:ascii="Calibri" w:hAnsi="Calibri" w:cs="Calibri" w:eastAsia="PingFang SC"/>
          <w:color w:val="3D3A33"/>
          <w:sz w:val="22"/>
          <w:szCs w:val="22"/>
        </w:rPr>
        <w:t xml:space="preserve"> For every “parents do X, children become Y” claim, examine causal attribution rather than assuming nurture works.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Check shared genes; resemblance may be inherited.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Check reverse causation: dinners making children good versus good children coming home, punishment causing misconduct versus misconduct eliciting punishment.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Check common causes such as good families causing both meals and drug avoidance.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Check controls, such as age: twelve- and seventeen-year-olds differ on both variables.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heritability inferences about groups:</w:t>
      </w:r>
      <w:r>
        <w:rPr>
          <w:rFonts w:ascii="Calibri" w:hAnsi="Calibri" w:cs="Calibri" w:eastAsia="PingFang SC"/>
          <w:color w:val="3D3A33"/>
          <w:sz w:val="22"/>
          <w:szCs w:val="22"/>
        </w:rPr>
        <w:t xml:space="preserve"> Prevent conclusions about individuals from crossing unjustifiably to groups.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differences rather than trait origins, as in nonheritable leg-number variation despite genetic legs.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Check socially constructed membership rules such as Jewish identity or racial categories rather than DNA.</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Apply the wheat analogy to test logical links between within-group heritability and between-group gaps.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Find large purely environmental differences, such as the Flynn effect, to gauge environmental effects' potential magnitude.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18,000 — Context: Allport's dictionary-derived personality traits, many not independent.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0.13% — Context: The population above IQ 145 under Wechsler's normal-curve scoring.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68% — Context: The population scoring 85–115, the central normal-curve band.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95% — Context: The population scoring 70–130.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100 — Context: The imposed mean of modern adult and child Wechsler scales, irrespective of difficulty.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1,000 experts — Context: The intelligence-definition survey repeatedly naming reasoning, problem solving, and knowledge acquisition.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Fifty leading researchers — Context: The APA panel responding to </w:t>
      </w:r>
      <w:r>
        <w:rPr>
          <w:rFonts w:ascii="Calibri" w:hAnsi="Calibri" w:cs="Calibri" w:eastAsia="PingFang SC"/>
          <w:i/>
          <w:color w:val="3D3A33"/>
          <w:sz w:val="22"/>
          <w:szCs w:val="22"/>
        </w:rPr>
        <w:t xml:space="preserve">The Bell Curve</w:t>
      </w:r>
      <w:r>
        <w:rPr>
          <w:rFonts w:ascii="Calibri" w:hAnsi="Calibri" w:cs="Calibri" w:eastAsia="PingFang SC"/>
          <w:color w:val="3D3A33"/>
          <w:sz w:val="22"/>
          <w:szCs w:val="22"/>
        </w:rPr>
        <w:t xml:space="preserve">, concluding IQ relates strongly to important outcomes.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Thirteen participants / 6.27 and 5.46 — Context: Big Five ratings of </w:t>
      </w:r>
      <w:r>
        <w:rPr>
          <w:rFonts w:ascii="Calibri" w:hAnsi="Calibri" w:cs="Calibri" w:eastAsia="PingFang SC"/>
          <w:i/>
          <w:color w:val="3D3A33"/>
          <w:sz w:val="22"/>
          <w:szCs w:val="22"/>
        </w:rPr>
        <w:t xml:space="preserve">The Simpsons</w:t>
      </w:r>
      <w:r>
        <w:rPr>
          <w:rFonts w:ascii="Calibri" w:hAnsi="Calibri" w:cs="Calibri" w:eastAsia="PingFang SC"/>
          <w:color w:val="3D3A33"/>
          <w:sz w:val="22"/>
          <w:szCs w:val="22"/>
        </w:rPr>
        <w:t xml:space="preserve">: Flanders and Marge's agreeableness scores; Burns and Nelson were 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0.5 — Context: The lecturer's magnitude for parental contributions to intelligence and personality, effective at conception.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zero — Context: IQ correlation of genetically unrelated adults raised together, showing little shared-environment effect.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120 — Context: An average 1980 American's score on a 1950 test; graph lines represented America and the Netherlands.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Ages twelve to seventeen — Context: The uncontrolled age range in the meal study, whose ends have opposite meal/drug-use patterns.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1997 — Context: Harris's George Miller Award, after Miller had predicted she would not amount to much.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80% — Context: Clinical psychologists claiming Rorschach use despite its demonstrated invalidity.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Six feet — Context: The imagined Yale height threshold manufacturing height-achievement correlations.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Ten pounds — Context: Unacceptable within-day scale variation illustrating reliability as absence of measurement error.</w:t>
      </w:r>
    </w:p>
    <w:p>
      <w:pPr>
        <w:spacing w:before="240" w:after="80" w:line="312" w:lineRule="auto"/>
      </w:pPr>
      <w:r>
        <w:rPr>
          <w:rFonts w:ascii="Calibri" w:hAnsi="Calibri" w:cs="Calibri" w:eastAsia="PingFang SC"/>
          <w:b/>
          <w:color w:val="9E3D34"/>
          <w:sz w:val="26"/>
          <w:szCs w:val="26"/>
        </w:rPr>
        <w:t xml:space="preserve">Terminology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67"/>
        <w:gridCol w:w="2387"/>
        <w:gridCol w:w="5106"/>
      </w:tblGrid>
      <w:tr>
        <w:trPr>
          <w:tblHeader/>
        </w:trPr>
        <w:tc>
          <w:tcPr>
            <w:tcW w:w="1867"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387" w:type="dxa"/>
            <w:shd w:val="clear" w:color="auto" w:fill="EAE7DD"/>
          </w:tcPr>
          <w:p>
            <w:pPr>
              <w:spacing w:before="0" w:after="0" w:line="312" w:lineRule="auto"/>
            </w:pPr>
            <w:r>
              <w:rPr>
                <w:rFonts w:ascii="Calibri" w:hAnsi="Calibri" w:cs="Calibri" w:eastAsia="PingFang SC"/>
                <w:b/>
                <w:color w:val="3D3A33"/>
                <w:sz w:val="22"/>
                <w:szCs w:val="22"/>
              </w:rPr>
              <w:t xml:space="preserve">Equivalent</w:t>
            </w:r>
          </w:p>
        </w:tc>
        <w:tc>
          <w:tcPr>
            <w:tcW w:w="5106"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1867" w:type="dxa"/>
          </w:tcPr>
          <w:p>
            <w:pPr>
              <w:spacing w:before="0" w:after="0" w:line="312" w:lineRule="auto"/>
            </w:pPr>
            <w:r>
              <w:rPr>
                <w:rFonts w:ascii="Calibri" w:hAnsi="Calibri" w:cs="Calibri" w:eastAsia="PingFang SC"/>
                <w:color w:val="3D3A33"/>
                <w:sz w:val="22"/>
                <w:szCs w:val="22"/>
              </w:rPr>
              <w:t xml:space="preserve">Personality</w:t>
            </w:r>
          </w:p>
        </w:tc>
        <w:tc>
          <w:tcPr>
            <w:tcW w:w="2387" w:type="dxa"/>
          </w:tcPr>
          <w:p>
            <w:pPr>
              <w:spacing w:before="0" w:after="0" w:line="312" w:lineRule="auto"/>
            </w:pPr>
            <w:r>
              <w:rPr>
                <w:rFonts w:ascii="Calibri" w:hAnsi="Calibri" w:cs="Calibri" w:eastAsia="PingFang SC"/>
                <w:color w:val="3D3A33"/>
                <w:sz w:val="22"/>
                <w:szCs w:val="22"/>
              </w:rPr>
              <w:t xml:space="preserve">personality</w:t>
            </w:r>
          </w:p>
        </w:tc>
        <w:tc>
          <w:tcPr>
            <w:tcW w:w="5106" w:type="dxa"/>
          </w:tcPr>
          <w:p>
            <w:pPr>
              <w:spacing w:before="0" w:after="0" w:line="312" w:lineRule="auto"/>
            </w:pPr>
            <w:r>
              <w:rPr>
                <w:rFonts w:ascii="Calibri" w:hAnsi="Calibri" w:cs="Calibri" w:eastAsia="PingFang SC"/>
                <w:color w:val="3D3A33"/>
                <w:sz w:val="22"/>
                <w:szCs w:val="22"/>
              </w:rPr>
              <w:t xml:space="preserve">Stable cross-situation, cross-time behavioral and interpersonal styles; the first main axis of differences.</w:t>
            </w:r>
          </w:p>
        </w:tc>
      </w:tr>
      <w:tr>
        <w:tc>
          <w:tcPr>
            <w:tcW w:w="1867" w:type="dxa"/>
          </w:tcPr>
          <w:p>
            <w:pPr>
              <w:spacing w:before="0" w:after="0" w:line="312" w:lineRule="auto"/>
            </w:pPr>
            <w:r>
              <w:rPr>
                <w:rFonts w:ascii="Calibri" w:hAnsi="Calibri" w:cs="Calibri" w:eastAsia="PingFang SC"/>
                <w:color w:val="3D3A33"/>
                <w:sz w:val="22"/>
                <w:szCs w:val="22"/>
              </w:rPr>
              <w:t xml:space="preserve">Reliability</w:t>
            </w:r>
          </w:p>
        </w:tc>
        <w:tc>
          <w:tcPr>
            <w:tcW w:w="2387" w:type="dxa"/>
          </w:tcPr>
          <w:p>
            <w:pPr>
              <w:spacing w:before="0" w:after="0" w:line="312" w:lineRule="auto"/>
            </w:pPr>
            <w:r>
              <w:rPr>
                <w:rFonts w:ascii="Calibri" w:hAnsi="Calibri" w:cs="Calibri" w:eastAsia="PingFang SC"/>
                <w:color w:val="3D3A33"/>
                <w:sz w:val="22"/>
                <w:szCs w:val="22"/>
              </w:rPr>
              <w:t xml:space="preserve">reliability</w:t>
            </w:r>
          </w:p>
        </w:tc>
        <w:tc>
          <w:tcPr>
            <w:tcW w:w="5106" w:type="dxa"/>
          </w:tcPr>
          <w:p>
            <w:pPr>
              <w:spacing w:before="0" w:after="0" w:line="312" w:lineRule="auto"/>
            </w:pPr>
            <w:r>
              <w:rPr>
                <w:rFonts w:ascii="Calibri" w:hAnsi="Calibri" w:cs="Calibri" w:eastAsia="PingFang SC"/>
                <w:color w:val="3D3A33"/>
                <w:sz w:val="22"/>
                <w:szCs w:val="22"/>
              </w:rPr>
              <w:t xml:space="preserve">Measurement consistency without error; birth-date intelligence tests show why it must be separated from validity.</w:t>
            </w:r>
          </w:p>
        </w:tc>
      </w:tr>
      <w:tr>
        <w:tc>
          <w:tcPr>
            <w:tcW w:w="1867" w:type="dxa"/>
          </w:tcPr>
          <w:p>
            <w:pPr>
              <w:spacing w:before="0" w:after="0" w:line="312" w:lineRule="auto"/>
            </w:pPr>
            <w:r>
              <w:rPr>
                <w:rFonts w:ascii="Calibri" w:hAnsi="Calibri" w:cs="Calibri" w:eastAsia="PingFang SC"/>
                <w:color w:val="3D3A33"/>
                <w:sz w:val="22"/>
                <w:szCs w:val="22"/>
              </w:rPr>
              <w:t xml:space="preserve">Validity</w:t>
            </w:r>
          </w:p>
        </w:tc>
        <w:tc>
          <w:tcPr>
            <w:tcW w:w="2387" w:type="dxa"/>
          </w:tcPr>
          <w:p>
            <w:pPr>
              <w:spacing w:before="0" w:after="0" w:line="312" w:lineRule="auto"/>
            </w:pPr>
            <w:r>
              <w:rPr>
                <w:rFonts w:ascii="Calibri" w:hAnsi="Calibri" w:cs="Calibri" w:eastAsia="PingFang SC"/>
                <w:color w:val="3D3A33"/>
                <w:sz w:val="22"/>
                <w:szCs w:val="22"/>
              </w:rPr>
              <w:t xml:space="preserve">validity</w:t>
            </w:r>
          </w:p>
        </w:tc>
        <w:tc>
          <w:tcPr>
            <w:tcW w:w="5106" w:type="dxa"/>
          </w:tcPr>
          <w:p>
            <w:pPr>
              <w:spacing w:before="0" w:after="0" w:line="312" w:lineRule="auto"/>
            </w:pPr>
            <w:r>
              <w:rPr>
                <w:rFonts w:ascii="Calibri" w:hAnsi="Calibri" w:cs="Calibri" w:eastAsia="PingFang SC"/>
                <w:color w:val="3D3A33"/>
                <w:sz w:val="22"/>
                <w:szCs w:val="22"/>
              </w:rPr>
              <w:t xml:space="preserve">Measuring what a test claims; paired with reliability to evaluate psychological measures.</w:t>
            </w:r>
          </w:p>
        </w:tc>
      </w:tr>
      <w:tr>
        <w:tc>
          <w:tcPr>
            <w:tcW w:w="1867" w:type="dxa"/>
          </w:tcPr>
          <w:p>
            <w:pPr>
              <w:spacing w:before="0" w:after="0" w:line="312" w:lineRule="auto"/>
            </w:pPr>
            <w:r>
              <w:rPr>
                <w:rFonts w:ascii="Calibri" w:hAnsi="Calibri" w:cs="Calibri" w:eastAsia="PingFang SC"/>
                <w:color w:val="3D3A33"/>
                <w:sz w:val="22"/>
                <w:szCs w:val="22"/>
              </w:rPr>
              <w:t xml:space="preserve">Rorschach test</w:t>
            </w:r>
          </w:p>
        </w:tc>
        <w:tc>
          <w:tcPr>
            <w:tcW w:w="2387" w:type="dxa"/>
          </w:tcPr>
          <w:p>
            <w:pPr>
              <w:spacing w:before="0" w:after="0" w:line="312" w:lineRule="auto"/>
            </w:pPr>
            <w:r>
              <w:rPr>
                <w:rFonts w:ascii="Calibri" w:hAnsi="Calibri" w:cs="Calibri" w:eastAsia="PingFang SC"/>
                <w:color w:val="3D3A33"/>
                <w:sz w:val="22"/>
                <w:szCs w:val="22"/>
              </w:rPr>
              <w:t xml:space="preserve">Rorschach inkblot test</w:t>
            </w:r>
          </w:p>
        </w:tc>
        <w:tc>
          <w:tcPr>
            <w:tcW w:w="5106" w:type="dxa"/>
          </w:tcPr>
          <w:p>
            <w:pPr>
              <w:spacing w:before="0" w:after="0" w:line="312" w:lineRule="auto"/>
            </w:pPr>
            <w:r>
              <w:rPr>
                <w:rFonts w:ascii="Calibri" w:hAnsi="Calibri" w:cs="Calibri" w:eastAsia="PingFang SC"/>
                <w:color w:val="3D3A33"/>
                <w:sz w:val="22"/>
                <w:szCs w:val="22"/>
              </w:rPr>
              <w:t xml:space="preserve">A projective personality test based on inkblot interpretations, used here as a widespread but unreliable, invalid measure.</w:t>
            </w:r>
          </w:p>
        </w:tc>
      </w:tr>
      <w:tr>
        <w:tc>
          <w:tcPr>
            <w:tcW w:w="1867" w:type="dxa"/>
          </w:tcPr>
          <w:p>
            <w:pPr>
              <w:spacing w:before="0" w:after="0" w:line="312" w:lineRule="auto"/>
            </w:pPr>
            <w:r>
              <w:rPr>
                <w:rFonts w:ascii="Calibri" w:hAnsi="Calibri" w:cs="Calibri" w:eastAsia="PingFang SC"/>
                <w:color w:val="3D3A33"/>
                <w:sz w:val="22"/>
                <w:szCs w:val="22"/>
              </w:rPr>
              <w:t xml:space="preserve">The Big Five</w:t>
            </w:r>
          </w:p>
        </w:tc>
        <w:tc>
          <w:tcPr>
            <w:tcW w:w="2387" w:type="dxa"/>
          </w:tcPr>
          <w:p>
            <w:pPr>
              <w:spacing w:before="0" w:after="0" w:line="312" w:lineRule="auto"/>
            </w:pPr>
            <w:r>
              <w:rPr>
                <w:rFonts w:ascii="Calibri" w:hAnsi="Calibri" w:cs="Calibri" w:eastAsia="PingFang SC"/>
                <w:color w:val="3D3A33"/>
                <w:sz w:val="22"/>
                <w:szCs w:val="22"/>
              </w:rPr>
              <w:t xml:space="preserve">Big Five personality traits</w:t>
            </w:r>
          </w:p>
        </w:tc>
        <w:tc>
          <w:tcPr>
            <w:tcW w:w="5106" w:type="dxa"/>
          </w:tcPr>
          <w:p>
            <w:pPr>
              <w:spacing w:before="0" w:after="0" w:line="312" w:lineRule="auto"/>
            </w:pPr>
            <w:r>
              <w:rPr>
                <w:rFonts w:ascii="Calibri" w:hAnsi="Calibri" w:cs="Calibri" w:eastAsia="PingFang SC"/>
                <w:color w:val="3D3A33"/>
                <w:sz w:val="22"/>
                <w:szCs w:val="22"/>
              </w:rPr>
              <w:t xml:space="preserve">Openness, conscientiousness, extroversion, agreeableness, neuroticism: OCEAN, the consensual personality structure.</w:t>
            </w:r>
          </w:p>
        </w:tc>
      </w:tr>
      <w:tr>
        <w:tc>
          <w:tcPr>
            <w:tcW w:w="1867" w:type="dxa"/>
          </w:tcPr>
          <w:p>
            <w:pPr>
              <w:spacing w:before="0" w:after="0" w:line="312" w:lineRule="auto"/>
            </w:pPr>
            <w:r>
              <w:rPr>
                <w:rFonts w:ascii="Calibri" w:hAnsi="Calibri" w:cs="Calibri" w:eastAsia="PingFang SC"/>
                <w:color w:val="3D3A33"/>
                <w:sz w:val="22"/>
                <w:szCs w:val="22"/>
              </w:rPr>
              <w:t xml:space="preserve">g and s</w:t>
            </w:r>
          </w:p>
        </w:tc>
        <w:tc>
          <w:tcPr>
            <w:tcW w:w="2387" w:type="dxa"/>
          </w:tcPr>
          <w:p>
            <w:pPr>
              <w:spacing w:before="0" w:after="0" w:line="312" w:lineRule="auto"/>
            </w:pPr>
            <w:r>
              <w:rPr>
                <w:rFonts w:ascii="Calibri" w:hAnsi="Calibri" w:cs="Calibri" w:eastAsia="PingFang SC"/>
                <w:color w:val="3D3A33"/>
                <w:sz w:val="22"/>
                <w:szCs w:val="22"/>
              </w:rPr>
              <w:t xml:space="preserve">general and specific intelligence factors</w:t>
            </w:r>
          </w:p>
        </w:tc>
        <w:tc>
          <w:tcPr>
            <w:tcW w:w="5106" w:type="dxa"/>
          </w:tcPr>
          <w:p>
            <w:pPr>
              <w:spacing w:before="0" w:after="0" w:line="312" w:lineRule="auto"/>
            </w:pPr>
            <w:r>
              <w:rPr>
                <w:rFonts w:ascii="Calibri" w:hAnsi="Calibri" w:cs="Calibri" w:eastAsia="PingFang SC"/>
                <w:color w:val="3D3A33"/>
                <w:sz w:val="22"/>
                <w:szCs w:val="22"/>
              </w:rPr>
              <w:t xml:space="preserve">Spearman's s describes subtest-specific performance, g the shared component explaining correlated intellectual scores.</w:t>
            </w:r>
          </w:p>
        </w:tc>
      </w:tr>
      <w:tr>
        <w:tc>
          <w:tcPr>
            <w:tcW w:w="1867" w:type="dxa"/>
          </w:tcPr>
          <w:p>
            <w:pPr>
              <w:spacing w:before="0" w:after="0" w:line="312" w:lineRule="auto"/>
            </w:pPr>
            <w:r>
              <w:rPr>
                <w:rFonts w:ascii="Calibri" w:hAnsi="Calibri" w:cs="Calibri" w:eastAsia="PingFang SC"/>
                <w:color w:val="3D3A33"/>
                <w:sz w:val="22"/>
                <w:szCs w:val="22"/>
              </w:rPr>
              <w:t xml:space="preserve">Wechsler test</w:t>
            </w:r>
          </w:p>
        </w:tc>
        <w:tc>
          <w:tcPr>
            <w:tcW w:w="2387" w:type="dxa"/>
          </w:tcPr>
          <w:p>
            <w:pPr>
              <w:spacing w:before="0" w:after="0" w:line="312" w:lineRule="auto"/>
            </w:pPr>
            <w:r>
              <w:rPr>
                <w:rFonts w:ascii="Calibri" w:hAnsi="Calibri" w:cs="Calibri" w:eastAsia="PingFang SC"/>
                <w:color w:val="3D3A33"/>
                <w:sz w:val="22"/>
                <w:szCs w:val="22"/>
              </w:rPr>
              <w:t xml:space="preserve">Wechsler intelligence scales</w:t>
            </w:r>
          </w:p>
        </w:tc>
        <w:tc>
          <w:tcPr>
            <w:tcW w:w="5106" w:type="dxa"/>
          </w:tcPr>
          <w:p>
            <w:pPr>
              <w:spacing w:before="0" w:after="0" w:line="312" w:lineRule="auto"/>
            </w:pPr>
            <w:r>
              <w:rPr>
                <w:rFonts w:ascii="Calibri" w:hAnsi="Calibri" w:cs="Calibri" w:eastAsia="PingFang SC"/>
                <w:color w:val="3D3A33"/>
                <w:sz w:val="22"/>
                <w:szCs w:val="22"/>
              </w:rPr>
              <w:t xml:space="preserve">Adult and child IQ tests with mean 100, 68% scoring 85–115 and 95% 70–130.</w:t>
            </w:r>
          </w:p>
        </w:tc>
      </w:tr>
      <w:tr>
        <w:tc>
          <w:tcPr>
            <w:tcW w:w="1867" w:type="dxa"/>
          </w:tcPr>
          <w:p>
            <w:pPr>
              <w:spacing w:before="0" w:after="0" w:line="312" w:lineRule="auto"/>
            </w:pPr>
            <w:r>
              <w:rPr>
                <w:rFonts w:ascii="Calibri" w:hAnsi="Calibri" w:cs="Calibri" w:eastAsia="PingFang SC"/>
                <w:color w:val="3D3A33"/>
                <w:sz w:val="22"/>
                <w:szCs w:val="22"/>
              </w:rPr>
              <w:t xml:space="preserve">The Bell Curve</w:t>
            </w:r>
          </w:p>
        </w:tc>
        <w:tc>
          <w:tcPr>
            <w:tcW w:w="2387" w:type="dxa"/>
          </w:tcPr>
          <w:p>
            <w:pPr>
              <w:spacing w:before="0" w:after="0" w:line="312" w:lineRule="auto"/>
            </w:pPr>
            <w:r>
              <w:rPr>
                <w:rFonts w:ascii="Calibri" w:hAnsi="Calibri" w:cs="Calibri" w:eastAsia="PingFang SC"/>
                <w:color w:val="3D3A33"/>
                <w:sz w:val="22"/>
                <w:szCs w:val="22"/>
              </w:rPr>
              <w:t xml:space="preserve">The Bell Curve</w:t>
            </w:r>
          </w:p>
        </w:tc>
        <w:tc>
          <w:tcPr>
            <w:tcW w:w="5106" w:type="dxa"/>
          </w:tcPr>
          <w:p>
            <w:pPr>
              <w:spacing w:before="0" w:after="0" w:line="312" w:lineRule="auto"/>
            </w:pPr>
            <w:r>
              <w:rPr>
                <w:rFonts w:ascii="Calibri" w:hAnsi="Calibri" w:cs="Calibri" w:eastAsia="PingFang SC"/>
                <w:color w:val="3D3A33"/>
                <w:sz w:val="22"/>
                <w:szCs w:val="22"/>
              </w:rPr>
              <w:t xml:space="preserve">Herrnstein and Murray's book arguing IQ strongly determines status and success, prompting APA review.</w:t>
            </w:r>
          </w:p>
        </w:tc>
      </w:tr>
      <w:tr>
        <w:tc>
          <w:tcPr>
            <w:tcW w:w="1867" w:type="dxa"/>
          </w:tcPr>
          <w:p>
            <w:pPr>
              <w:spacing w:before="0" w:after="0" w:line="312" w:lineRule="auto"/>
            </w:pPr>
            <w:r>
              <w:rPr>
                <w:rFonts w:ascii="Calibri" w:hAnsi="Calibri" w:cs="Calibri" w:eastAsia="PingFang SC"/>
                <w:color w:val="3D3A33"/>
                <w:sz w:val="22"/>
                <w:szCs w:val="22"/>
              </w:rPr>
              <w:t xml:space="preserve">Heritability</w:t>
            </w:r>
          </w:p>
        </w:tc>
        <w:tc>
          <w:tcPr>
            <w:tcW w:w="2387" w:type="dxa"/>
          </w:tcPr>
          <w:p>
            <w:pPr>
              <w:spacing w:before="0" w:after="0" w:line="312" w:lineRule="auto"/>
            </w:pPr>
            <w:r>
              <w:rPr>
                <w:rFonts w:ascii="Calibri" w:hAnsi="Calibri" w:cs="Calibri" w:eastAsia="PingFang SC"/>
                <w:color w:val="3D3A33"/>
                <w:sz w:val="22"/>
                <w:szCs w:val="22"/>
              </w:rPr>
              <w:t xml:space="preserve">heritability</w:t>
            </w:r>
          </w:p>
        </w:tc>
        <w:tc>
          <w:tcPr>
            <w:tcW w:w="5106" w:type="dxa"/>
          </w:tcPr>
          <w:p>
            <w:pPr>
              <w:spacing w:before="0" w:after="0" w:line="312" w:lineRule="auto"/>
            </w:pPr>
            <w:r>
              <w:rPr>
                <w:rFonts w:ascii="Calibri" w:hAnsi="Calibri" w:cs="Calibri" w:eastAsia="PingFang SC"/>
                <w:color w:val="3D3A33"/>
                <w:sz w:val="22"/>
                <w:szCs w:val="22"/>
              </w:rPr>
              <w:t xml:space="preserve">The proportion of trait variation attributable to genetic differences, not trait origins or genetic explanations of group gaps.</w:t>
            </w:r>
          </w:p>
        </w:tc>
      </w:tr>
      <w:tr>
        <w:tc>
          <w:tcPr>
            <w:tcW w:w="1867" w:type="dxa"/>
          </w:tcPr>
          <w:p>
            <w:pPr>
              <w:spacing w:before="0" w:after="0" w:line="312" w:lineRule="auto"/>
            </w:pPr>
            <w:r>
              <w:rPr>
                <w:rFonts w:ascii="Calibri" w:hAnsi="Calibri" w:cs="Calibri" w:eastAsia="PingFang SC"/>
                <w:color w:val="3D3A33"/>
                <w:sz w:val="22"/>
                <w:szCs w:val="22"/>
              </w:rPr>
              <w:t xml:space="preserve">Shared environment</w:t>
            </w:r>
          </w:p>
        </w:tc>
        <w:tc>
          <w:tcPr>
            <w:tcW w:w="2387" w:type="dxa"/>
          </w:tcPr>
          <w:p>
            <w:pPr>
              <w:spacing w:before="0" w:after="0" w:line="312" w:lineRule="auto"/>
            </w:pPr>
            <w:r>
              <w:rPr>
                <w:rFonts w:ascii="Calibri" w:hAnsi="Calibri" w:cs="Calibri" w:eastAsia="PingFang SC"/>
                <w:color w:val="3D3A33"/>
                <w:sz w:val="22"/>
                <w:szCs w:val="22"/>
              </w:rPr>
              <w:t xml:space="preserve">shared environment</w:t>
            </w:r>
          </w:p>
        </w:tc>
        <w:tc>
          <w:tcPr>
            <w:tcW w:w="5106" w:type="dxa"/>
          </w:tcPr>
          <w:p>
            <w:pPr>
              <w:spacing w:before="0" w:after="0" w:line="312" w:lineRule="auto"/>
            </w:pPr>
            <w:r>
              <w:rPr>
                <w:rFonts w:ascii="Calibri" w:hAnsi="Calibri" w:cs="Calibri" w:eastAsia="PingFang SC"/>
                <w:color w:val="3D3A33"/>
                <w:sz w:val="22"/>
                <w:szCs w:val="22"/>
              </w:rPr>
              <w:t xml:space="preserve">Household-common experiences such as parenting and books, contributing nearly zero to personality and intelligence here.</w:t>
            </w:r>
          </w:p>
        </w:tc>
      </w:tr>
      <w:tr>
        <w:tc>
          <w:tcPr>
            <w:tcW w:w="1867" w:type="dxa"/>
          </w:tcPr>
          <w:p>
            <w:pPr>
              <w:spacing w:before="0" w:after="0" w:line="312" w:lineRule="auto"/>
            </w:pPr>
            <w:r>
              <w:rPr>
                <w:rFonts w:ascii="Calibri" w:hAnsi="Calibri" w:cs="Calibri" w:eastAsia="PingFang SC"/>
                <w:color w:val="3D3A33"/>
                <w:sz w:val="22"/>
                <w:szCs w:val="22"/>
              </w:rPr>
              <w:t xml:space="preserve">Non-shared environment</w:t>
            </w:r>
          </w:p>
        </w:tc>
        <w:tc>
          <w:tcPr>
            <w:tcW w:w="2387" w:type="dxa"/>
          </w:tcPr>
          <w:p>
            <w:pPr>
              <w:spacing w:before="0" w:after="0" w:line="312" w:lineRule="auto"/>
            </w:pPr>
            <w:r>
              <w:rPr>
                <w:rFonts w:ascii="Calibri" w:hAnsi="Calibri" w:cs="Calibri" w:eastAsia="PingFang SC"/>
                <w:color w:val="3D3A33"/>
                <w:sz w:val="22"/>
                <w:szCs w:val="22"/>
              </w:rPr>
              <w:t xml:space="preserve">non-shared environment</w:t>
            </w:r>
          </w:p>
        </w:tc>
        <w:tc>
          <w:tcPr>
            <w:tcW w:w="5106" w:type="dxa"/>
          </w:tcPr>
          <w:p>
            <w:pPr>
              <w:spacing w:before="0" w:after="0" w:line="312" w:lineRule="auto"/>
            </w:pPr>
            <w:r>
              <w:rPr>
                <w:rFonts w:ascii="Calibri" w:hAnsi="Calibri" w:cs="Calibri" w:eastAsia="PingFang SC"/>
                <w:color w:val="3D3A33"/>
                <w:sz w:val="22"/>
                <w:szCs w:val="22"/>
              </w:rPr>
              <w:t xml:space="preserve">Everything neither inherited nor shared, such as a snowball at five or lottery winnings at twenty-one; absorbs nearly all environmental explanation.</w:t>
            </w:r>
          </w:p>
        </w:tc>
      </w:tr>
      <w:tr>
        <w:tc>
          <w:tcPr>
            <w:tcW w:w="1867" w:type="dxa"/>
          </w:tcPr>
          <w:p>
            <w:pPr>
              <w:spacing w:before="0" w:after="0" w:line="312" w:lineRule="auto"/>
            </w:pPr>
            <w:r>
              <w:rPr>
                <w:rFonts w:ascii="Calibri" w:hAnsi="Calibri" w:cs="Calibri" w:eastAsia="PingFang SC"/>
                <w:color w:val="3D3A33"/>
                <w:sz w:val="22"/>
                <w:szCs w:val="22"/>
              </w:rPr>
              <w:t xml:space="preserve">Behavioral genetics</w:t>
            </w:r>
          </w:p>
        </w:tc>
        <w:tc>
          <w:tcPr>
            <w:tcW w:w="2387" w:type="dxa"/>
          </w:tcPr>
          <w:p>
            <w:pPr>
              <w:spacing w:before="0" w:after="0" w:line="312" w:lineRule="auto"/>
            </w:pPr>
            <w:r>
              <w:rPr>
                <w:rFonts w:ascii="Calibri" w:hAnsi="Calibri" w:cs="Calibri" w:eastAsia="PingFang SC"/>
                <w:color w:val="3D3A33"/>
                <w:sz w:val="22"/>
                <w:szCs w:val="22"/>
              </w:rPr>
              <w:t xml:space="preserve">behavioral genetics</w:t>
            </w:r>
          </w:p>
        </w:tc>
        <w:tc>
          <w:tcPr>
            <w:tcW w:w="5106" w:type="dxa"/>
          </w:tcPr>
          <w:p>
            <w:pPr>
              <w:spacing w:before="0" w:after="0" w:line="312" w:lineRule="auto"/>
            </w:pPr>
            <w:r>
              <w:rPr>
                <w:rFonts w:ascii="Calibri" w:hAnsi="Calibri" w:cs="Calibri" w:eastAsia="PingFang SC"/>
                <w:color w:val="3D3A33"/>
                <w:sz w:val="22"/>
                <w:szCs w:val="22"/>
              </w:rPr>
              <w:t xml:space="preserve">Separating genetic and environmental effects with identical/fraternal twins, adoptees, and separated identical twins.</w:t>
            </w:r>
          </w:p>
        </w:tc>
      </w:tr>
      <w:tr>
        <w:tc>
          <w:tcPr>
            <w:tcW w:w="1867" w:type="dxa"/>
          </w:tcPr>
          <w:p>
            <w:pPr>
              <w:spacing w:before="0" w:after="0" w:line="312" w:lineRule="auto"/>
            </w:pPr>
            <w:r>
              <w:rPr>
                <w:rFonts w:ascii="Calibri" w:hAnsi="Calibri" w:cs="Calibri" w:eastAsia="PingFang SC"/>
                <w:color w:val="3D3A33"/>
                <w:sz w:val="22"/>
                <w:szCs w:val="22"/>
              </w:rPr>
              <w:t xml:space="preserve">Identical twins reared apart</w:t>
            </w:r>
          </w:p>
        </w:tc>
        <w:tc>
          <w:tcPr>
            <w:tcW w:w="2387" w:type="dxa"/>
          </w:tcPr>
          <w:p>
            <w:pPr>
              <w:spacing w:before="0" w:after="0" w:line="312" w:lineRule="auto"/>
            </w:pPr>
            <w:r>
              <w:rPr>
                <w:rFonts w:ascii="Calibri" w:hAnsi="Calibri" w:cs="Calibri" w:eastAsia="PingFang SC"/>
                <w:color w:val="3D3A33"/>
                <w:sz w:val="22"/>
                <w:szCs w:val="22"/>
              </w:rPr>
              <w:t xml:space="preserve">identical twins reared apart</w:t>
            </w:r>
          </w:p>
        </w:tc>
        <w:tc>
          <w:tcPr>
            <w:tcW w:w="5106" w:type="dxa"/>
          </w:tcPr>
          <w:p>
            <w:pPr>
              <w:spacing w:before="0" w:after="0" w:line="312" w:lineRule="auto"/>
            </w:pPr>
            <w:r>
              <w:rPr>
                <w:rFonts w:ascii="Calibri" w:hAnsi="Calibri" w:cs="Calibri" w:eastAsia="PingFang SC"/>
                <w:color w:val="3D3A33"/>
                <w:sz w:val="22"/>
                <w:szCs w:val="22"/>
              </w:rPr>
              <w:t xml:space="preserve">Same genes, different families: the gold-standard quasi-experimental group, similar in attitudes, behavior, and brain scans.</w:t>
            </w:r>
          </w:p>
        </w:tc>
      </w:tr>
      <w:tr>
        <w:tc>
          <w:tcPr>
            <w:tcW w:w="1867" w:type="dxa"/>
          </w:tcPr>
          <w:p>
            <w:pPr>
              <w:spacing w:before="0" w:after="0" w:line="312" w:lineRule="auto"/>
            </w:pPr>
            <w:r>
              <w:rPr>
                <w:rFonts w:ascii="Calibri" w:hAnsi="Calibri" w:cs="Calibri" w:eastAsia="PingFang SC"/>
                <w:color w:val="3D3A33"/>
                <w:sz w:val="22"/>
                <w:szCs w:val="22"/>
              </w:rPr>
              <w:t xml:space="preserve">The Flynn effect</w:t>
            </w:r>
          </w:p>
        </w:tc>
        <w:tc>
          <w:tcPr>
            <w:tcW w:w="2387" w:type="dxa"/>
          </w:tcPr>
          <w:p>
            <w:pPr>
              <w:spacing w:before="0" w:after="0" w:line="312" w:lineRule="auto"/>
            </w:pPr>
            <w:r>
              <w:rPr>
                <w:rFonts w:ascii="Calibri" w:hAnsi="Calibri" w:cs="Calibri" w:eastAsia="PingFang SC"/>
                <w:color w:val="3D3A33"/>
                <w:sz w:val="22"/>
                <w:szCs w:val="22"/>
              </w:rPr>
              <w:t xml:space="preserve">Flynn effect</w:t>
            </w:r>
          </w:p>
        </w:tc>
        <w:tc>
          <w:tcPr>
            <w:tcW w:w="5106" w:type="dxa"/>
          </w:tcPr>
          <w:p>
            <w:pPr>
              <w:spacing w:before="0" w:after="0" w:line="312" w:lineRule="auto"/>
            </w:pPr>
            <w:r>
              <w:rPr>
                <w:rFonts w:ascii="Calibri" w:hAnsi="Calibri" w:cs="Calibri" w:eastAsia="PingFang SC"/>
                <w:color w:val="3D3A33"/>
                <w:sz w:val="22"/>
                <w:szCs w:val="22"/>
              </w:rPr>
              <w:t xml:space="preserve">Rising IQ across decades, hidden by mean-100 recalibration, showing large change without genetic change.</w:t>
            </w:r>
          </w:p>
        </w:tc>
      </w:tr>
      <w:tr>
        <w:tc>
          <w:tcPr>
            <w:tcW w:w="1867" w:type="dxa"/>
          </w:tcPr>
          <w:p>
            <w:pPr>
              <w:spacing w:before="0" w:after="0" w:line="312" w:lineRule="auto"/>
            </w:pPr>
            <w:r>
              <w:rPr>
                <w:rFonts w:ascii="Calibri" w:hAnsi="Calibri" w:cs="Calibri" w:eastAsia="PingFang SC"/>
                <w:color w:val="3D3A33"/>
                <w:sz w:val="22"/>
                <w:szCs w:val="22"/>
              </w:rPr>
              <w:t xml:space="preserve">The Nurture Assumption</w:t>
            </w:r>
          </w:p>
        </w:tc>
        <w:tc>
          <w:tcPr>
            <w:tcW w:w="2387" w:type="dxa"/>
          </w:tcPr>
          <w:p>
            <w:pPr>
              <w:spacing w:before="0" w:after="0" w:line="312" w:lineRule="auto"/>
            </w:pPr>
            <w:r>
              <w:rPr>
                <w:rFonts w:ascii="Calibri" w:hAnsi="Calibri" w:cs="Calibri" w:eastAsia="PingFang SC"/>
                <w:color w:val="3D3A33"/>
                <w:sz w:val="22"/>
                <w:szCs w:val="22"/>
              </w:rPr>
              <w:t xml:space="preserve">The Nurture Assumption</w:t>
            </w:r>
          </w:p>
        </w:tc>
        <w:tc>
          <w:tcPr>
            <w:tcW w:w="5106" w:type="dxa"/>
          </w:tcPr>
          <w:p>
            <w:pPr>
              <w:spacing w:before="0" w:after="0" w:line="312" w:lineRule="auto"/>
            </w:pPr>
            <w:r>
              <w:rPr>
                <w:rFonts w:ascii="Calibri" w:hAnsi="Calibri" w:cs="Calibri" w:eastAsia="PingFang SC"/>
                <w:color w:val="3D3A33"/>
                <w:sz w:val="22"/>
                <w:szCs w:val="22"/>
              </w:rPr>
              <w:t xml:space="preserve">Harris's book arguing parents matter less and peers more than usually assumed, prompting “Do parents matter?”</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