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16 A Person in the World of People Self and Other, Part I</w:t>
      </w:r>
    </w:p>
    <w:p>
      <w:pPr>
        <w:spacing w:before="240" w:after="80" w:line="312" w:lineRule="auto"/>
      </w:pPr>
      <w:r>
        <w:rPr>
          <w:rFonts w:ascii="Calibri" w:hAnsi="Calibri" w:cs="Calibri" w:eastAsia="PingFang SC"/>
          <w:b/>
          <w:color w:val="33302A"/>
          <w:sz w:val="32"/>
          <w:szCs w:val="32"/>
        </w:rPr>
        <w:t xml:space="preserve">Lecture 16 · A Person in the World of People: Self and Other, Part I</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Social psychology concerns not how people cope with the physical world, but the most interesting part of our mental abilities: understanding and responding to other people. This lecture divides that subject into three strands: how people form networks, how we view ourselves, and how we view others. Milgram's package experiment introduces connections: 160 randomly selected Omaha residents were asked to get a package to an unfamiliar Boston stockbroker. Most succeeded, taking at most six steps, while about half the packages passed through just two intermediaries. Social networks are therefore not uniform meshes, but operate through a few hub-like “connectors.” The self strand comprises several biases: the spotlight effect makes us overestimate how much others notice us; the transparency effect makes us overestimate how readily others see our thoughts and lies; and the Lake Wobegon effect makes us consider ourselves above average on almost every dimension. Cognitive dissonance theory explains why people change beliefs rather than behavior when the two conflict: the group paid one dollar found a task more interesting than the group paid twenty dollars. The strand concerning others is the mirror image of the preceding one: in attribution, we overemphasize personality and underestimate situations—the fundamental attribution error. From the quiz-game experiment to treating actor Leonard Nimoy as a real Vulcan, the same mechanism operates. Comparisons between Americans and Indians show this bias to be culturally malleable. Eight-year-olds do not yet display it, and the Western ideology that people control their own destinies seems to cultivate it. Finally, liking someone is not mysterious: proximity, mere exposure, similarity, and physical attractiveness operate independently of honesty, kindness, intelligence, and humor, while the advantages of good looks accumulate through the Matthew effect.</w:t>
      </w:r>
    </w:p>
    <w:p>
      <w:pPr>
        <w:spacing w:before="0" w:after="160" w:line="312" w:lineRule="auto"/>
      </w:pPr>
      <w:r>
        <w:rPr>
          <w:rFonts w:ascii="Calibri" w:hAnsi="Calibri" w:cs="Calibri" w:eastAsia="PingFang SC"/>
          <w:b/>
          <w:color w:val="3D3A33"/>
          <w:sz w:val="22"/>
          <w:szCs w:val="22"/>
        </w:rPr>
        <w:t xml:space="preserve">Points most worth noting: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half the packages passed through just two intermediaries. This suggests that the value of a social network lies not in “knowing many people,” but in its concentration in a few individuals. Milgram's experiment began with 160 randomly chosen Omaha residents and ended with an unfamiliar Boston stockbroker. Most packages arrived, but their routes largely converged on the same hubs. Gladwell subsequently called these people “connectors” and devised a test using 250 randomly selected Manhattan telephone-directory names. College students recognized only 21 on average.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error in the spotlight effect is not a few percentage points, but a full factor of two. Participants spent a day wearing what they considered the most embarrassing T-shirt and estimated how many people noticed. Only half as many actually noticed as they estimated, while participants themselves could not remember what others wore. Set alongside the finding that dying people's regrets chiefly concern things they never tried, often because “I would look silly,” this becomes more than an amusing laboratory result: it offers leverage for correcting life decisions.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to cognitive dissonance is not contradiction itself, but restoring self-esteem. The twenty-dollar group could readily admit that the task was boring because “I did it for twenty dollars” was a respectable explanation. The one-dollar group lacked that escape and could only revise its preferences, retrospectively describing the task as rather interesting. The same logic explains why hazing works, why campaigns favor unpaid volunteers, why free therapy often fails, and how rewards can replace children's intrinsic interest with stickers.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fundamental attribution error was once considered a universal human characteristic, but cross-cultural research recast it as a cultural product. American–Indian comparisons show no such bias in eight-year-olds, while the Western ideology that people control their own destinies seems to encourage adults to overattribute behavior to personality. Even newspaper accounts of murder differ: American reports emphasize defendants' personal characteristics, whereas Indian reports emphasize their circumstances.</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From Celebrity Gossip to “Connections”: Opening Social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course asks us first to question common sense, including the apparently trivial question of why we are so obsessed with celebrities' private lives. Jennifer Aniston and Brad Pitt's breakup was among the biggest stories of 2005. Many people remember where they heard the news; that level of involvement is itself a psychological fact requiring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social psychology lectures move from the self, to differences between self and others, to how we understand other people. The final stage concerns our understanding of groups such as Harvard students, gay people, or Black people. There is an internal logic to this sequence: the three biases concerning the self are precisely the mirror-image sources of biases in understanding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Much of human mental ability deals with the physical world—selecting food, recognizing objects, and judging physical interactions. Yet the most interesting evolutionary achievement is our capacity to understand and respond to others. This thread links the entire lecture: connection networks, self-enhancement, and attributional biases are all products of this social mind.</w:t>
      </w:r>
    </w:p>
    <w:p>
      <w:pPr>
        <w:spacing w:before="240" w:after="80" w:line="312" w:lineRule="auto"/>
      </w:pPr>
      <w:r>
        <w:rPr>
          <w:rFonts w:ascii="Calibri" w:hAnsi="Calibri" w:cs="Calibri" w:eastAsia="PingFang SC"/>
          <w:b/>
          <w:color w:val="175244"/>
          <w:sz w:val="22"/>
          <w:szCs w:val="22"/>
        </w:rPr>
        <w:t xml:space="preserve">Six Degrees of Separation, “Connectors,” and the Networking Dividend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Milgram gave packages to 160 randomly selected residents of Omaha, Nebraska, asking them to get the packages to a stockbroker who worked in Boston and lived in Sharon, Massachusetts. Most succeeded, and the longest chain took no more than six steps. Conducted once within a single country, this experiment does not establish “six degrees of separation” as a universal law. Nevertheless, its proposed mechanism—people connected through chains of people—is real.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truly interesting finding was that about half the packages passed through only two people. The network is thus not a uniform mesh, but a structure supported by a few hubs. Gladwell's analogy is aviation: planes once flew to nearby cities, whereas now they transfer through hubs such as Chicago O'Hare and Newark. Some people serve the same function.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Kevin Bacon game quantifies the same structure. Approximately a quarter-million actors on IMDb have an average Bacon number of 2.8. Ed Asner has a number of 1 because he appeared in a film with Kevin Bacon; Elvis Presley's number is 2 through Asner. The most connected actor is neither the prolific Michael Caine nor John Wayne, who appeared in 180 films across sixty years, but Rod Steiger, whose work spans drama, crime, thrillers, Westerns, horror, science fiction, and musicals.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Gladwell's test measures connectedness using 250 names randomly selected from the Manhattan telephone directory. The rule is mutual acquaintance: knowing Magic Johnson does not count, but department chair Marcia Johnson knowing you does. College students average 21 points; some people exceed 100. Scores rise with age and time spent locally. Journalists score relatively high, academics relatively 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Sociologists' nonacademic answer to “Why attend Yale?” is that what matters is not acquiring powerful friends, but acquiring many powerful acquaintances. Weak ties are more useful than close friends for things such as finding employment. This roster continues benefiting graduates, over and above the school's purely intellectual benefits.</w:t>
      </w:r>
    </w:p>
    <w:p>
      <w:pPr>
        <w:spacing w:before="240" w:after="80" w:line="312" w:lineRule="auto"/>
      </w:pPr>
      <w:r>
        <w:rPr>
          <w:rFonts w:ascii="Calibri" w:hAnsi="Calibri" w:cs="Calibri" w:eastAsia="PingFang SC"/>
          <w:b/>
          <w:color w:val="175244"/>
          <w:sz w:val="22"/>
          <w:szCs w:val="22"/>
        </w:rPr>
        <w:t xml:space="preserve">The Spotlight and Transparency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Spotlight-effect research asks whether we systematically overestimate others' attention when we embarrass ourselves—with a misbuttoned shirt or shaving cream on an ear. The answer is yes, by about a factor of two. Participants believed 100 people noticed their T-shirts when only 50 did.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Hitler and Barry Manilow tied for first place in ratings of the most embarrassing T-shirt pictures. Martin Luther King Jr. and Jerry Seinfeld were the safest choices. This detail shows that participants faced genuine social risk, rather than being given an innocuous marker.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Connecting this effect to the “psychology of regret” gives it practical weight. Dying or very elderly respondents generally regret things they never tried, usually explaining their inaction with “I would look silly.” Other people care far less about you than you think. This information can be interpreted either way, but it can at least lower the threshold for trying.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transparency effect means believing we are more transparent than we really are: our inner secrets supposedly “bleed out” for others to see. A student who considered herself a poor liar was asked to lie in one of three statements. Audience votes split almost equally between statements two and three. People are actually rather good at lying, although liars feel their deception is written on their faces.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everyday cost of the transparency effect is communication failure. Teaching and storytelling are difficult partly because we continually overestimate what others already know. We default to assuming that they possess our information, leaving out the very things that need saying.</w:t>
      </w:r>
    </w:p>
    <w:p>
      <w:pPr>
        <w:spacing w:before="240" w:after="80" w:line="312" w:lineRule="auto"/>
      </w:pPr>
      <w:r>
        <w:rPr>
          <w:rFonts w:ascii="Calibri" w:hAnsi="Calibri" w:cs="Calibri" w:eastAsia="PingFang SC"/>
          <w:b/>
          <w:color w:val="175244"/>
          <w:sz w:val="22"/>
          <w:szCs w:val="22"/>
        </w:rPr>
        <w:t xml:space="preserve">The Lake Wobegon Effect and Self-Serving Bias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Asked how well they are doing in this course relative to classmates, students should average 50% if nobody is systematically biased. Actual ratings are systematically and substantially above average. This bias appears in assessments of oneself as a student, teacher, or lover, and especially as a driver: everyone thinks they drive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name comes from Garrison Keillor's Lake Wobegon, where “all the children are above average.” Psychologists do not really know why the effect exists. One candidate explanation is feedback: in normal, healthy, happy environments, people receive feedback only when they do well. Nobody screams at them when they fail, so self-esteem is inflated in one direction.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candidate explanation is that people use different criteria. Those who call themselves good drivers may mean parallel parking, caution, or willingness to take risks. Freely choosing criteria removes constraints on comparison. Even so, an independent motivation to feel good about oneself remains.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Self-serving bias is the attributional version: students who do well on a midterm credit intelligence and hard work; those who do poorly blame unfair questions, being busy, or having more important things to do. The same asymmetry occurs among professors, athletes, CEOs, and accident reports. Papers are accepted because they are good and rejected because editors and reviewers are jealous.</w:t>
      </w:r>
    </w:p>
    <w:p>
      <w:pPr>
        <w:spacing w:before="240" w:after="80" w:line="312" w:lineRule="auto"/>
      </w:pPr>
      <w:r>
        <w:rPr>
          <w:rFonts w:ascii="Calibri" w:hAnsi="Calibri" w:cs="Calibri" w:eastAsia="PingFang SC"/>
          <w:b/>
          <w:color w:val="175244"/>
          <w:sz w:val="22"/>
          <w:szCs w:val="22"/>
        </w:rPr>
        <w:t xml:space="preserve">Cognitive Dissonance: Festinger's Central Claim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Festinger proposed that inconsistency in the mind creates an unpleasant emotional state he called “dissonance,” and that people act to eliminate this discomfort. Although the proposition sounds general, it generates a series of counterintuitive predictions.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Confirmation bias is dissonance expressed in information selection. Right-wing people read right-wing magazines and left-wing people read left-wing magazines because people generally do not enjoy material that overturns their beliefs. Bush supporters seek good news about him; opponents seek bad news.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Yale's Louisa Egan demonstrated the simplest version with three M&amp;Ms. First establish that participants have no preference among them; let them choose and eat one of two; then offer a choice between the remaining, previously unavailable one and the rejected one. Participants devalue the one they did not choose and prefer the third. Four-year-olds and monkeys also show this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of dissonance is not “a contradiction exists,” but “making the contradiction reasonable to preserve self-esteem.” People paid twenty dollars can explain doing a boring task with “I did it for the money.” Those paid one dollar have no such respectable exit and must instead say the task was interesting.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entire mechanism supports a broader conclusion: we naturally tend to believe we are moral and rational. When our behavior appears foolish, cheap, or manipulative, we revise our explanation rather than admit that the behavior is problematic. Dissonance intensity therefore varies inversely with the adequacy of external justification and has little to do with the sheer logical magnitude of a contradiction.</w:t>
      </w:r>
    </w:p>
    <w:p>
      <w:pPr>
        <w:spacing w:before="240" w:after="80" w:line="312" w:lineRule="auto"/>
      </w:pPr>
      <w:r>
        <w:rPr>
          <w:rFonts w:ascii="Calibri" w:hAnsi="Calibri" w:cs="Calibri" w:eastAsia="PingFang SC"/>
          <w:b/>
          <w:color w:val="175244"/>
          <w:sz w:val="22"/>
          <w:szCs w:val="22"/>
        </w:rPr>
        <w:t xml:space="preserve">Engineering Dissonance in Real Life: Initiation, Unpaid Work, and Rewards That Backfire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i/>
          <w:color w:val="3D3A33"/>
          <w:sz w:val="22"/>
          <w:szCs w:val="22"/>
        </w:rPr>
        <w:t xml:space="preserve">When Prophecy Fails</w:t>
      </w:r>
      <w:r>
        <w:rPr>
          <w:rFonts w:ascii="Calibri" w:hAnsi="Calibri" w:cs="Calibri" w:eastAsia="PingFang SC"/>
          <w:color w:val="3D3A33"/>
          <w:sz w:val="22"/>
          <w:szCs w:val="22"/>
        </w:rPr>
        <w:t xml:space="preserve"> documents a group awaiting the end of the world. The predicted time passed without destruction, but they had already sold their property and left their families. Rather than acknowledge their foolishness, they declared that going to the mountain had postponed the apocalypse, proving they had acted correctly. The more people invest, the more they resist being proved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Hazing works precisely through dissonance. If joining is as easy as receiving a mint, new members merely think, “Sounds good.” If they are doused in cow dung, made to stand in the rain, and pelted with stones, they infer, “I suffered so much to get in; this organization must be wonderful.” This reasoning also explains why some organizations retain high barriers and punishing rituals even at the cost of losing potential members.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Campaigns prefer unpaid volunteers for more than financial savings. Someone earning ten thousand dollars a month can think, “I am doing this for the money.” Unpaid workers must answer, “Why on earth am I doing this?” with “I really believe in this person.” Similarly, free psychotherapy is often ineffective therapy because it is difficult to value something that costs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Children's reward experiments provide one of the most robust findings in this series. Children rewarded with stickers or toys for drawing later consider the activity less valuable and are less willing to do it without rewards. Simple behaviorism predicts that rewards strengthen behavior, yet the result is the reverse. Rewarded children locate their reason in the sticker, whereas unrewarded children can only locate it in the enjoyment of the activity itself.</w:t>
      </w:r>
    </w:p>
    <w:p>
      <w:pPr>
        <w:spacing w:before="240" w:after="80" w:line="312" w:lineRule="auto"/>
      </w:pPr>
      <w:r>
        <w:rPr>
          <w:rFonts w:ascii="Calibri" w:hAnsi="Calibri" w:cs="Calibri" w:eastAsia="PingFang SC"/>
          <w:b/>
          <w:color w:val="175244"/>
          <w:sz w:val="22"/>
          <w:szCs w:val="22"/>
        </w:rPr>
        <w:t xml:space="preserve">Attribution: From Person Bias to the Fundamental Attribution Error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Attribution is a judgment about the causes of behavior. Heider's insight was that we tend to attribute others' actions to their enduring personality traits. This tendency is called person bias, more commonly the fundamental attribution error. We overweight people and personalities and underweight situations and contexts.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quiz-game experiment is the cleanest demonstration. A coin toss determines who asks questions; the questioner can ask anything, including “What is my dog's name?” A third party then rates both participants' intelligence. Despite roles being assigned by coin toss, observers rate the questioner as more intelligent because “he knows so many answers, and the other person cannot answer anything.”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People systematically fail to discount situations, with direct real-world costs. If the projector breaks during a job talk, nobody thinks, “The talk went badly because the slides failed”; they think, “This person gives bad talks.” The same principle explains overestimating professors' intelligence. Professors discuss only the one or two things they understand, and by semester's end have told you everything they know. You too would look clever if you stood up and explained everything you understood.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Confusing actors with characters is an extreme form of this bias. After playing kindly physician Marcus Welby, Robert Young received thousands of letters seeking medical advice. He subsequently exploited the bias in Sanka decaffeinated-coffee advertisements, saying, “I'm not a doctor, but I play one on TV.” Leonard Nimoy, who played an emotionless Vulcan, was treated by strangers as a real Vulcan. He first wrote </w:t>
      </w:r>
      <w:r>
        <w:rPr>
          <w:rFonts w:ascii="Calibri" w:hAnsi="Calibri" w:cs="Calibri" w:eastAsia="PingFang SC"/>
          <w:i/>
          <w:color w:val="3D3A33"/>
          <w:sz w:val="22"/>
          <w:szCs w:val="22"/>
        </w:rPr>
        <w:t xml:space="preserve">I Am Not Spock</w:t>
      </w:r>
      <w:r>
        <w:rPr>
          <w:rFonts w:ascii="Calibri" w:hAnsi="Calibri" w:cs="Calibri" w:eastAsia="PingFang SC"/>
          <w:color w:val="3D3A33"/>
          <w:sz w:val="22"/>
          <w:szCs w:val="22"/>
        </w:rPr>
        <w:t xml:space="preserve">, then years later surrendered with </w:t>
      </w:r>
      <w:r>
        <w:rPr>
          <w:rFonts w:ascii="Calibri" w:hAnsi="Calibri" w:cs="Calibri" w:eastAsia="PingFang SC"/>
          <w:i/>
          <w:color w:val="3D3A33"/>
          <w:sz w:val="22"/>
          <w:szCs w:val="22"/>
        </w:rPr>
        <w:t xml:space="preserve">I Am Spock</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Roles can “infect” judgments of people, and fear of this directly affects casting. Harrison Ford, Michael Douglas, and Richard Gere all declined a gay role because audiences might think they were gay themselves. B-list actor Harry Hamlin eventually accepted it. Actors are thus valued in the market as their characters: this is both a risk they bear and capital they can cash in.</w:t>
      </w:r>
    </w:p>
    <w:p>
      <w:pPr>
        <w:spacing w:before="240" w:after="80" w:line="312" w:lineRule="auto"/>
      </w:pPr>
      <w:r>
        <w:rPr>
          <w:rFonts w:ascii="Calibri" w:hAnsi="Calibri" w:cs="Calibri" w:eastAsia="PingFang SC"/>
          <w:b/>
          <w:color w:val="175244"/>
          <w:sz w:val="22"/>
          <w:szCs w:val="22"/>
        </w:rPr>
        <w:t xml:space="preserve">Cultural Boundaries: The Fundamental Attribution Error Is Not a Human Constant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Ten years earlier, one could have called the fundamental attribution error a universal, innate psychological trait. Cross-cultural research makes that claim untenable. Comparisons of Americans and Indians show no such bias in eight-year-olds. The Western ideology that people control their own destinies seems to foster its later development.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Cultural differences in bias appear in everyday texts. American murder reports emphasize defendants' personal traits, while Indian reports emphasize circumstances that drove them to that point. This evidence matters because it redescribes a supposedly “fundamental human bias” as a product culture can amplify or suppress.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general lesson is that something widespread within one's culture need not be universal human nature. Here the lecture's recurring methodological caution comes together. Its two groups of biases are opposite sides of one coin: enhancement and leniency toward ourselves, simplification and severity toward others. My foolish act means “an off day”; yours means “a foolish person.”</w:t>
      </w:r>
    </w:p>
    <w:p>
      <w:pPr>
        <w:spacing w:before="240" w:after="80" w:line="312" w:lineRule="auto"/>
      </w:pPr>
      <w:r>
        <w:rPr>
          <w:rFonts w:ascii="Calibri" w:hAnsi="Calibri" w:cs="Calibri" w:eastAsia="PingFang SC"/>
          <w:b/>
          <w:color w:val="175244"/>
          <w:sz w:val="22"/>
          <w:szCs w:val="22"/>
        </w:rPr>
        <w:t xml:space="preserve">Why We Like Others: Proximity, Exposure, Similarity, and Appearance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Honesty, kindness, intelligence, and humor obviously matter, but research repeatedly identifies more basic mechanisms operating alongside them. First is proximity. In one Manhattan housing project, 90% said their best friend lived in the same building and 50% on the same floor. At Yale, the same question most often produces names from the same floor or residential college.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Proximity is not merely the banal fact of “more opportunities to meet.” Behind it is the mere exposure effect: simply seeing something increases liking because it becomes familiar and safe. James Cutting used a screensaver to cycle through paintings before each introductory psychology class. At semester's end, students rated the exposed paintings more highly despite not remembering seeing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Photographs and mirror images measure exposure particularly elegantly. People prefer mirror-image photographs of themselves because that is the self they see daily in mirrors. Their best friends prefer ordinary photographs because that is the person they see daily. Familiarity itself causes liking rather than merely resulting from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Similarity is the third factor. Friends and spouses are highly similar; similarity operates independently of proximity and predicts marital success. Partners become increasingly alike as relationships continue. The mechanism remains unclear.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Fourth is appearance. People consider attractive individuals more intelligent, capable, sociable, and kind. This may not be entirely illusory: good looks bring more teacher attention, better treatment, more opportunities, and higher income, genuinely improving life trajectories. This is the Matthew effect—“For unto every one that hath shall be given, and he shall have abundance.” In mock courts, judges give unattractive people longer sentences. However, the study finding harsher parental treatment of unattractive children in supermarket parking lots is not convincing: their parents may also be unattractive, leaving an alternative explanation uncontrolled.</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"As psychologists we have to question the natural. We have to take things that are commonsense and explore them."</w:t>
      </w:r>
    </w:p>
    <w:p>
      <w:pPr>
        <w:spacing w:before="0" w:after="160" w:line="312" w:lineRule="auto"/>
      </w:pPr>
      <w:r>
        <w:rPr>
          <w:rFonts w:ascii="Calibri" w:hAnsi="Calibri" w:cs="Calibri" w:eastAsia="PingFang SC"/>
          <w:color w:val="3D3A33"/>
          <w:sz w:val="22"/>
          <w:szCs w:val="22"/>
        </w:rPr>
        <w:t xml:space="preserve">This is the lecture's methodological declaration, explaining why seemingly unworthy questions such as our obsession with celebrity gossip deserve serious research.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like air traffic. Air traffic used to be everything flew to places local to it but now there's a system of hubs, Chicago O'Hare for instance or Newark where planes fly through."</w:t>
      </w:r>
    </w:p>
    <w:p>
      <w:pPr>
        <w:spacing w:before="0" w:after="160" w:line="312" w:lineRule="auto"/>
      </w:pPr>
      <w:r>
        <w:rPr>
          <w:rFonts w:ascii="Calibri" w:hAnsi="Calibri" w:cs="Calibri" w:eastAsia="PingFang SC"/>
          <w:color w:val="3D3A33"/>
          <w:sz w:val="22"/>
          <w:szCs w:val="22"/>
        </w:rPr>
        <w:t xml:space="preserve">This explains why social networks are not uniform meshes: a few people, like aviation hubs, handle most transfers.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not so much you develop powerful friends; rather, you develop powerful acquaintances."</w:t>
      </w:r>
    </w:p>
    <w:p>
      <w:pPr>
        <w:spacing w:before="0" w:after="160" w:line="312" w:lineRule="auto"/>
      </w:pPr>
      <w:r>
        <w:rPr>
          <w:rFonts w:ascii="Calibri" w:hAnsi="Calibri" w:cs="Calibri" w:eastAsia="PingFang SC"/>
          <w:color w:val="3D3A33"/>
          <w:sz w:val="22"/>
          <w:szCs w:val="22"/>
        </w:rPr>
        <w:t xml:space="preserve">Sociologists' nonacademic answer to why one should attend Yale emphasizes the long-term value of weak ties rather than close friends.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"which is that you believe that people are noticing you all the time but they aren't. They're busy noticing themselves."</w:t>
      </w:r>
    </w:p>
    <w:p>
      <w:pPr>
        <w:spacing w:before="0" w:after="160" w:line="312" w:lineRule="auto"/>
      </w:pPr>
      <w:r>
        <w:rPr>
          <w:rFonts w:ascii="Calibri" w:hAnsi="Calibri" w:cs="Calibri" w:eastAsia="PingFang SC"/>
          <w:color w:val="3D3A33"/>
          <w:sz w:val="22"/>
          <w:szCs w:val="22"/>
        </w:rPr>
        <w:t xml:space="preserve">The most straightforward statement of the spotlight effect, and its most useful everyday formulation.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could take that as good news or bad news but the spotlight is not on us as much as we think it is."</w:t>
      </w:r>
    </w:p>
    <w:p>
      <w:pPr>
        <w:spacing w:before="0" w:after="160" w:line="312" w:lineRule="auto"/>
      </w:pPr>
      <w:r>
        <w:rPr>
          <w:rFonts w:ascii="Calibri" w:hAnsi="Calibri" w:cs="Calibri" w:eastAsia="PingFang SC"/>
          <w:color w:val="3D3A33"/>
          <w:sz w:val="22"/>
          <w:szCs w:val="22"/>
        </w:rPr>
        <w:t xml:space="preserve">The conclusion following the discussion that dying people's regrets chiefly concern things never attempted: the bias can be interpreted either way, but can at least lower the threshold for trying.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constantly overestimate how much other people know. We think of ourselves as more transparent than we are."</w:t>
      </w:r>
    </w:p>
    <w:p>
      <w:pPr>
        <w:spacing w:before="0" w:after="160" w:line="312" w:lineRule="auto"/>
      </w:pPr>
      <w:r>
        <w:rPr>
          <w:rFonts w:ascii="Calibri" w:hAnsi="Calibri" w:cs="Calibri" w:eastAsia="PingFang SC"/>
          <w:color w:val="3D3A33"/>
          <w:sz w:val="22"/>
          <w:szCs w:val="22"/>
        </w:rPr>
        <w:t xml:space="preserve">This explains why the transparency effect makes teaching and storytelling difficult: we assume others know as much as we do.</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turns out though that people will systematically and dramatically view themselves as better than average."</w:t>
      </w:r>
    </w:p>
    <w:p>
      <w:pPr>
        <w:spacing w:before="0" w:after="160" w:line="312" w:lineRule="auto"/>
      </w:pPr>
      <w:r>
        <w:rPr>
          <w:rFonts w:ascii="Calibri" w:hAnsi="Calibri" w:cs="Calibri" w:eastAsia="PingFang SC"/>
          <w:color w:val="3D3A33"/>
          <w:sz w:val="22"/>
          <w:szCs w:val="22"/>
        </w:rPr>
        <w:t xml:space="preserve">The central statement of the Lake Wobegon effect, introducing self-rating biases among students, teachers, lovers, and drivers.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adjust our beliefs to make ourselves look more moral and rational than we are."</w:t>
      </w:r>
    </w:p>
    <w:p>
      <w:pPr>
        <w:spacing w:before="0" w:after="160" w:line="312" w:lineRule="auto"/>
      </w:pPr>
      <w:r>
        <w:rPr>
          <w:rFonts w:ascii="Calibri" w:hAnsi="Calibri" w:cs="Calibri" w:eastAsia="PingFang SC"/>
          <w:color w:val="3D3A33"/>
          <w:sz w:val="22"/>
          <w:szCs w:val="22"/>
        </w:rPr>
        <w:t xml:space="preserve">The most concise account of cognitive dissonance, replacing “eliminating contradiction” with “preserving self-esteem.”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shows that us going to the mountain has delayed the ending of the world and this shows that we're doing exactly the right things. I couldn't have been smarter."</w:t>
      </w:r>
    </w:p>
    <w:p>
      <w:pPr>
        <w:spacing w:before="0" w:after="160" w:line="312" w:lineRule="auto"/>
      </w:pPr>
      <w:r>
        <w:rPr>
          <w:rFonts w:ascii="Calibri" w:hAnsi="Calibri" w:cs="Calibri" w:eastAsia="PingFang SC"/>
          <w:color w:val="3D3A33"/>
          <w:sz w:val="22"/>
          <w:szCs w:val="22"/>
        </w:rPr>
        <w:t xml:space="preserve">The believers' reported response after the failed prediction in </w:t>
      </w:r>
      <w:r>
        <w:rPr>
          <w:rFonts w:ascii="Calibri" w:hAnsi="Calibri" w:cs="Calibri" w:eastAsia="PingFang SC"/>
          <w:i/>
          <w:color w:val="3D3A33"/>
          <w:sz w:val="22"/>
          <w:szCs w:val="22"/>
        </w:rPr>
        <w:t xml:space="preserve">When Prophecy Fails</w:t>
      </w:r>
      <w:r>
        <w:rPr>
          <w:rFonts w:ascii="Calibri" w:hAnsi="Calibri" w:cs="Calibri" w:eastAsia="PingFang SC"/>
          <w:color w:val="3D3A33"/>
          <w:sz w:val="22"/>
          <w:szCs w:val="22"/>
        </w:rPr>
        <w:t xml:space="preserve">: the most dramatic field evidence for dissonance theory.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fact though, the children who you reward later on think that this activity has less value and they are less likely to do it when there's no reward present."</w:t>
      </w:r>
    </w:p>
    <w:p>
      <w:pPr>
        <w:spacing w:before="0" w:after="160" w:line="312" w:lineRule="auto"/>
      </w:pPr>
      <w:r>
        <w:rPr>
          <w:rFonts w:ascii="Calibri" w:hAnsi="Calibri" w:cs="Calibri" w:eastAsia="PingFang SC"/>
          <w:color w:val="3D3A33"/>
          <w:sz w:val="22"/>
          <w:szCs w:val="22"/>
        </w:rPr>
        <w:t xml:space="preserve">The conclusion from children's reward experiments directly contradicts the simple behaviorist claim that rewards strengthen behavior.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fundamental attribution error, which is one of the core ideas in psychology, is that we tend to over-attribute things to a person's personality or desires or nature and not enough to the situation or the context."</w:t>
      </w:r>
    </w:p>
    <w:p>
      <w:pPr>
        <w:spacing w:before="0" w:after="160" w:line="312" w:lineRule="auto"/>
      </w:pPr>
      <w:r>
        <w:rPr>
          <w:rFonts w:ascii="Calibri" w:hAnsi="Calibri" w:cs="Calibri" w:eastAsia="PingFang SC"/>
          <w:color w:val="3D3A33"/>
          <w:sz w:val="22"/>
          <w:szCs w:val="22"/>
        </w:rPr>
        <w:t xml:space="preserve">The defining statement at the core of the lecture's second half, and one of social psychology's most basic ideas.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"just because we find something in our culture and just because it might well be pervasive doesn't mean necessarily that it's universal."</w:t>
      </w:r>
    </w:p>
    <w:p>
      <w:pPr>
        <w:spacing w:before="0" w:after="160" w:line="312" w:lineRule="auto"/>
      </w:pPr>
      <w:r>
        <w:rPr>
          <w:rFonts w:ascii="Calibri" w:hAnsi="Calibri" w:cs="Calibri" w:eastAsia="PingFang SC"/>
          <w:color w:val="3D3A33"/>
          <w:sz w:val="22"/>
          <w:szCs w:val="22"/>
        </w:rPr>
        <w:t xml:space="preserve">The warning following cross-cultural research: prevalence in one's culture does not establish universal human nature.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do something stupid, that's — you're a stupid person. I do something stupid, it's an off day."</w:t>
      </w:r>
    </w:p>
    <w:p>
      <w:pPr>
        <w:spacing w:before="0" w:after="160" w:line="312" w:lineRule="auto"/>
      </w:pPr>
      <w:r>
        <w:rPr>
          <w:rFonts w:ascii="Calibri" w:hAnsi="Calibri" w:cs="Calibri" w:eastAsia="PingFang SC"/>
          <w:color w:val="3D3A33"/>
          <w:sz w:val="22"/>
          <w:szCs w:val="22"/>
        </w:rPr>
        <w:t xml:space="preserve">One sentence captures the self–other asymmetry in attribution: the same behavior receives two explanatory standards.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"Therapy for free tends to be useless therapy."</w:t>
      </w:r>
    </w:p>
    <w:p>
      <w:pPr>
        <w:spacing w:before="0" w:after="160" w:line="312" w:lineRule="auto"/>
      </w:pPr>
      <w:r>
        <w:rPr>
          <w:rFonts w:ascii="Calibri" w:hAnsi="Calibri" w:cs="Calibri" w:eastAsia="PingFang SC"/>
          <w:color w:val="3D3A33"/>
          <w:sz w:val="22"/>
          <w:szCs w:val="22"/>
        </w:rPr>
        <w:t xml:space="preserve">One of dissonance theory's most counterintuitive applications: it is hard to value something that costs nothing.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mere exposure effect is simply seeing something makes it likable perhaps because it becomes comfortable and safe."</w:t>
      </w:r>
    </w:p>
    <w:p>
      <w:pPr>
        <w:spacing w:before="0" w:after="160" w:line="312" w:lineRule="auto"/>
      </w:pPr>
      <w:r>
        <w:rPr>
          <w:rFonts w:ascii="Calibri" w:hAnsi="Calibri" w:cs="Calibri" w:eastAsia="PingFang SC"/>
          <w:color w:val="3D3A33"/>
          <w:sz w:val="22"/>
          <w:szCs w:val="22"/>
        </w:rPr>
        <w:t xml:space="preserve">The key sentence elevating proximity from “more opportunities to meet” into an independent psychological mechanism.</w:t>
      </w:r>
    </w:p>
    <w:p>
      <w:pPr>
        <w:spacing w:before="240" w:after="80" w:line="312" w:lineRule="auto"/>
      </w:pPr>
      <w:r>
        <w:rPr>
          <w:rFonts w:ascii="Calibri" w:hAnsi="Calibri" w:cs="Calibri" w:eastAsia="PingFang SC"/>
          <w:b/>
          <w:color w:val="9E3D34"/>
          <w:sz w:val="26"/>
          <w:szCs w:val="26"/>
        </w:rPr>
        <w:t xml:space="preserve">Novel Insights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mechanism of “six degrees of separation” is hubs, not uniform connections</w:t>
      </w:r>
      <w:r>
        <w:rPr>
          <w:rFonts w:ascii="Calibri" w:hAnsi="Calibri" w:cs="Calibri" w:eastAsia="PingFang SC"/>
          <w:color w:val="3D3A33"/>
          <w:sz w:val="22"/>
          <w:szCs w:val="22"/>
        </w:rPr>
        <w:t xml:space="preserve"> — A common interpretation imagines a uniform mesh connecting everyone to anyone in an average of six steps. About half Milgram's packages passed through just two people, showing that path length depends on a few highly connected intermediaries. The most connected actor is likewise not the most prolific John Wayne or Michael Caine, but genre-spanning Rod Steiger. Connectedness is thus a function of diversity of reach rather than accumulated quantity, contrary to the intuition that simply knowing more people suffices.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Cognitive dissonance targets self-esteem, not logical consistency</w:t>
      </w:r>
      <w:r>
        <w:rPr>
          <w:rFonts w:ascii="Calibri" w:hAnsi="Calibri" w:cs="Calibri" w:eastAsia="PingFang SC"/>
          <w:color w:val="3D3A33"/>
          <w:sz w:val="22"/>
          <w:szCs w:val="22"/>
        </w:rPr>
        <w:t xml:space="preserve"> — The intuitive account says any contradiction creates discomfort. Yet twenty-dollar participants also face contradiction—saying the task is interesting while knowing they did it for money—without needing to change attitudes, because they possess respectable external justification. The true driver is the self-image “I must be moral and rational,” so beliefs are rewritten only when external reasons are inadequate. This correction transforms dissonance from a problem of logic into one of self-psychology.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Rewards displace motivation rather than adding to it</w:t>
      </w:r>
      <w:r>
        <w:rPr>
          <w:rFonts w:ascii="Calibri" w:hAnsi="Calibri" w:cs="Calibri" w:eastAsia="PingFang SC"/>
          <w:color w:val="3D3A33"/>
          <w:sz w:val="22"/>
          <w:szCs w:val="22"/>
        </w:rPr>
        <w:t xml:space="preserve"> — A simple behaviorist reading predicts that rewards strengthen behavior. Children's drawing experiments find the opposite: rewarded children subsequently value drawing less and do it less without rewards. They attribute their behavior to stickers, whereas unrewarded children can attribute it only to enjoyment. This explains a broader paradox: purchased support is less solid than unpaid support, and free therapy is taken less seriously than paid therapy.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fundamental attribution error is a cultural product, not a human constant</w:t>
      </w:r>
      <w:r>
        <w:rPr>
          <w:rFonts w:ascii="Calibri" w:hAnsi="Calibri" w:cs="Calibri" w:eastAsia="PingFang SC"/>
          <w:color w:val="3D3A33"/>
          <w:sz w:val="22"/>
          <w:szCs w:val="22"/>
        </w:rPr>
        <w:t xml:space="preserve"> — Overattributing to personality and underweighting situations was long regarded as innate and universal. American–Indian comparisons show that eight-year-olds do not yet display this bias, while Western ideology about controlling one's destiny seems to cultivate it later. Even wording in murder reports varies accordingly. Recasting a fundamental human bias as something culture amplifies or suppresses is one of this lecture's most powerful moves.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spotlight effect transforms “regret” from a personality issue into an actionable problem</w:t>
      </w:r>
      <w:r>
        <w:rPr>
          <w:rFonts w:ascii="Calibri" w:hAnsi="Calibri" w:cs="Calibri" w:eastAsia="PingFang SC"/>
          <w:color w:val="3D3A33"/>
          <w:sz w:val="22"/>
          <w:szCs w:val="22"/>
        </w:rPr>
        <w:t xml:space="preserve"> — Dying people mostly regret things never tried; their reason for not trying is often just “I would look silly.” If this concern rests on a systematic twofold overestimate, it is not a character flaw but a correctable estimation error. This exemplifies translating social-cognitive biases directly into tools for life decisions.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Familiarity itself provides an independent route to liking</w:t>
      </w:r>
      <w:r>
        <w:rPr>
          <w:rFonts w:ascii="Calibri" w:hAnsi="Calibri" w:cs="Calibri" w:eastAsia="PingFang SC"/>
          <w:color w:val="3D3A33"/>
          <w:sz w:val="22"/>
          <w:szCs w:val="22"/>
        </w:rPr>
        <w:t xml:space="preserve"> — We ordinarily assume that we first judge whether someone is good and then decide whether we like them. Mere exposure shows the sequence can reverse: having seen something increases liking even when participants have no memory of seeing it. The divergence between photographs and mirror images provides the cleanest evidence: you prefer your mirror image, friends prefer the photographed you, and each prefers the version they know best.</w:t>
      </w:r>
    </w:p>
    <w:p>
      <w:pPr>
        <w:spacing w:before="240" w:after="80" w:line="312" w:lineRule="auto"/>
      </w:pPr>
      <w:r>
        <w:rPr>
          <w:rFonts w:ascii="Calibri" w:hAnsi="Calibri" w:cs="Calibri" w:eastAsia="PingFang SC"/>
          <w:b/>
          <w:color w:val="9E3D34"/>
          <w:sz w:val="26"/>
          <w:szCs w:val="26"/>
        </w:rPr>
        <w:t xml:space="preserve">Counterintuitive Findings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Higher pay increases willingness to work and liking for the work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one-dollar group finds the boring task more interesting than the twenty-dollar group. Twenty dollars provides a respectable excuse (“I did it for the money”); one dollar does not, forcing a preference change to accommodate one's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Humiliating initiation makes people dislike an organization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Humiliation is precisely a means of making them love it. People who suffer so much to join need an explanation worthy of that suffering, and infer that the organization must be excellent.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Quiz-game questioners seem intelligent because they prepared well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Roles are assigned by coin toss, yet observers still rate questioners as more intelligent. They know assignment is random but nonetheless fail to discount the situation.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Free therapy lowers barriers to seeking help and is more accessible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Unpaid-for therapy is treated as valueless. Payment itself helps establish a sense of value rather than being merely a barrier.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Rewarding children fosters interest and habits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Rewarded children later value drawing less and are less willing to draw without rewards. Rewards shift the reason for behavior from the activity itself to an external prize.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Mistaking actors for their roles is merely a few confused fans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Leonard Nimoy was treated as a real emotionless Vulcan on the street and eventually surrendered with </w:t>
      </w:r>
      <w:r>
        <w:rPr>
          <w:rFonts w:ascii="Calibri" w:hAnsi="Calibri" w:cs="Calibri" w:eastAsia="PingFang SC"/>
          <w:i/>
          <w:color w:val="3D3A33"/>
          <w:sz w:val="22"/>
          <w:szCs w:val="22"/>
        </w:rPr>
        <w:t xml:space="preserve">I Am Spock</w:t>
      </w:r>
      <w:r>
        <w:rPr>
          <w:rFonts w:ascii="Calibri" w:hAnsi="Calibri" w:cs="Calibri" w:eastAsia="PingFang SC"/>
          <w:color w:val="3D3A33"/>
          <w:sz w:val="22"/>
          <w:szCs w:val="22"/>
        </w:rPr>
        <w:t xml:space="preserve">. This confusion is widespread enough to shape casting: several leading men declined gay roles for fear of being considered gay.</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Self-enhancement vs. Calibration to Reality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Positive illusions mark a normal, healthy mind. They sustain self-esteem, encourage attempts, and maintain action where feedback is sparse.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The same mechanisms encourage avoidance of contrary information, external blame for failure, systematic misjudgments in accident reports, and even longer mock-court sentences for unattractive people.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lists this among social psychology's three major findings, but offers only two candidate explanations for the Lake Wobegon effect—asymmetric feedback and differing evaluative criteria—leaving their relative validity open.</w:t>
      </w:r>
    </w:p>
    <w:p>
      <w:pPr>
        <w:spacing w:before="0" w:after="160" w:line="312" w:lineRule="auto"/>
      </w:pPr>
      <w:r>
        <w:rPr>
          <w:rFonts w:ascii="Calibri" w:hAnsi="Calibri" w:cs="Calibri" w:eastAsia="PingFang SC"/>
          <w:b/>
          <w:color w:val="3D3A33"/>
          <w:sz w:val="22"/>
          <w:szCs w:val="22"/>
        </w:rPr>
        <w:t xml:space="preserve">Cognitive Dissonance: Logical Inconsistency vs. Preserving Self-Esteem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The simplest reading is that any contradiction causes discomfort, requiring its elimination for relief.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The twenty-dollar group also experiences contradiction but need not change its attitude, indicating that adequate external justification, not contradiction itself, is decisive.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conclusion is explicit: this is not simple inconsistency, but our tendency to adjust ourselves to appear more moral and rational than we are.</w:t>
      </w:r>
    </w:p>
    <w:p>
      <w:pPr>
        <w:spacing w:before="0" w:after="160" w:line="312" w:lineRule="auto"/>
      </w:pPr>
      <w:r>
        <w:rPr>
          <w:rFonts w:ascii="Calibri" w:hAnsi="Calibri" w:cs="Calibri" w:eastAsia="PingFang SC"/>
          <w:b/>
          <w:color w:val="3D3A33"/>
          <w:sz w:val="22"/>
          <w:szCs w:val="22"/>
        </w:rPr>
        <w:t xml:space="preserve">The Fundamental Attribution Error: Human Universality vs. Cultural Shaping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This was regarded as an innate, universal human trait and one of psychology's central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American–Indian comparisons show no such bias in eight-year-olds; Western individualist ideology appears to cultivate it, and even murder-report wording varies culturally.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favors a cultural explanation and emphasizes that prevalence in one's culture does not establish universal human nature. However, the precise causes remain explicitly open, requiring another course to discuss.</w:t>
      </w:r>
    </w:p>
    <w:p>
      <w:pPr>
        <w:spacing w:before="0" w:after="160" w:line="312" w:lineRule="auto"/>
      </w:pPr>
      <w:r>
        <w:rPr>
          <w:rFonts w:ascii="Calibri" w:hAnsi="Calibri" w:cs="Calibri" w:eastAsia="PingFang SC"/>
          <w:b/>
          <w:color w:val="3D3A33"/>
          <w:sz w:val="22"/>
          <w:szCs w:val="22"/>
        </w:rPr>
        <w:t xml:space="preserve">A Banal Explanation of Proximity vs. the Independent Power of Exposure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Liking nearby people simply reflects meeting them more often; nothing else needs explaining, making it a “fairly banal finding.”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Mere exposure shows that seeing something itself increases liking, even without any memory of exposure. Divergent mirror-image and photograph preferences offer the cleanest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Both accounts hold, but similarity's independent effect beyond proximity requires specific evidence. Nor is a mechanism given for partners becoming increasingly alike over time.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Milgram's small-world paradigm</w:t>
      </w:r>
      <w:r>
        <w:rPr>
          <w:rFonts w:ascii="Calibri" w:hAnsi="Calibri" w:cs="Calibri" w:eastAsia="PingFang SC"/>
          <w:color w:val="3D3A33"/>
          <w:sz w:val="22"/>
          <w:szCs w:val="22"/>
        </w:rPr>
        <w:t xml:space="preserve">: Uses physical package transmission to measure average social-network path lengths and hub structure.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Randomly select starting participants in one city—160 people in Omaha.</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Provide a nonidentifying description of the target—a stockbroker working in Boston and living in Sharon—whom none of the starters knows.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Ask each person to pass the package to an acquaintance thought most likely to reach the target.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Track chain length and intermediaries, producing the conclusions “at most six steps” and “about half through only two people.”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Gladwell's connectedness scale</w:t>
      </w:r>
      <w:r>
        <w:rPr>
          <w:rFonts w:ascii="Calibri" w:hAnsi="Calibri" w:cs="Calibri" w:eastAsia="PingFang SC"/>
          <w:color w:val="3D3A33"/>
          <w:sz w:val="22"/>
          <w:szCs w:val="22"/>
        </w:rPr>
        <w:t xml:space="preserve">: Measures individual connections to identify “connectors.”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Randomly select 250 Manhattan telephone-directory names spanning ethnicities and origins.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Circle people “you know who also know you.” One-way familiarity does not count; knowing Magic Johnson is insufficient.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Repeated names can receive repeated scores.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Compare with norms: college students average 21, while top scores can exceed 100.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Spotlight effect paradigm</w:t>
      </w:r>
      <w:r>
        <w:rPr>
          <w:rFonts w:ascii="Calibri" w:hAnsi="Calibri" w:cs="Calibri" w:eastAsia="PingFang SC"/>
          <w:color w:val="3D3A33"/>
          <w:sz w:val="22"/>
          <w:szCs w:val="22"/>
        </w:rPr>
        <w:t xml:space="preserve">: Converts “I feel everyone is watching me” into a measurable discrepancy.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Have participants spend a day in a T-shirt bearing the most embarrassing picture, rated beforehand; Hitler and Barry Manilow tie for worst.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Ask participants to estimate how many people noticed their T-shirts.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Ask those present directly how many actually noticed.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Compare the numbers, revealing an approximately twofold overestimate.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Transparency effect paradigm</w:t>
      </w:r>
      <w:r>
        <w:rPr>
          <w:rFonts w:ascii="Calibri" w:hAnsi="Calibri" w:cs="Calibri" w:eastAsia="PingFang SC"/>
          <w:color w:val="3D3A33"/>
          <w:sz w:val="22"/>
          <w:szCs w:val="22"/>
        </w:rPr>
        <w:t xml:space="preserve">: Measures “how easily I think others can see through me.”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Have participants answer three harmless questions—whether they have visited London, have a younger sibling, and like sushi—with one answer a lie.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Have the audience vote on which answer is false.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participants' expected detection rate with actual audience identification. Here votes split almost evenly between two answers, indicating near-chance detection.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choice–devaluation paradigm for cognitive dissonance</w:t>
      </w:r>
      <w:r>
        <w:rPr>
          <w:rFonts w:ascii="Calibri" w:hAnsi="Calibri" w:cs="Calibri" w:eastAsia="PingFang SC"/>
          <w:color w:val="3D3A33"/>
          <w:sz w:val="22"/>
          <w:szCs w:val="22"/>
        </w:rPr>
        <w:t xml:space="preserve">: Measures how preferences change after a choice.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Pretest to establish no preference differences among three M&amp;Ms.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Let participants choose between two and eat the chosen one.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Offer a choice between the rejected one and the previously unavailable third one.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Systematic preference for the third indicates devaluation of the rejected option. The same paradigm also works with four-year-olds and monkeys.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Insufficient justification paradigm</w:t>
      </w:r>
      <w:r>
        <w:rPr>
          <w:rFonts w:ascii="Calibri" w:hAnsi="Calibri" w:cs="Calibri" w:eastAsia="PingFang SC"/>
          <w:color w:val="3D3A33"/>
          <w:sz w:val="22"/>
          <w:szCs w:val="22"/>
        </w:rPr>
        <w:t xml:space="preserve">: Tests attitude revision when external reasons are inadequate.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Give two groups the same extremely boring task.</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Pay one group twenty dollars and the other one dollar—an almost insultingly small amount at the time.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Subsequently ask both groups how interesting the task was.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The low-pay group's significantly higher rating shows stronger attitude revision when pay is less adequate to explain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Attributional discounting test</w:t>
      </w:r>
      <w:r>
        <w:rPr>
          <w:rFonts w:ascii="Calibri" w:hAnsi="Calibri" w:cs="Calibri" w:eastAsia="PingFang SC"/>
          <w:color w:val="3D3A33"/>
          <w:sz w:val="22"/>
          <w:szCs w:val="22"/>
        </w:rPr>
        <w:t xml:space="preserve">: Assesses whether a person includes situational factors in attribution.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Construct a setting with randomly assigned roles, such as a coin toss determining questioner and contestant.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Have third parties assess stable traits such as intelligence in both participants.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Favoring the advantaged role shows failure to discount the situation. The same logic transfers to hypothetical slide failures or throwing candy at speakers.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160 people — Milgram's randomly selected Omaha starting participants for package transmission.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most six steps — The upper chain length for packages reaching an unfamiliar Boston stockbroker from Omaha residents; the origin of “six degrees of separation.”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half — The proportion of packages passing through just two intermediaries, direct evidence of network hubs.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250 names — Random Manhattan telephone-directory names in Gladwell's connectedness test.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21 points — College students' average score; some people exceeded 100.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Approximately a quarter million — IMDb actors whose Bacon numbers were calculated.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2.8 — Their average Bacon number.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 and 2 — Ed Asner's Bacon number through </w:t>
      </w:r>
      <w:r>
        <w:rPr>
          <w:rFonts w:ascii="Calibri" w:hAnsi="Calibri" w:cs="Calibri" w:eastAsia="PingFang SC"/>
          <w:i/>
          <w:color w:val="3D3A33"/>
          <w:sz w:val="22"/>
          <w:szCs w:val="22"/>
        </w:rPr>
        <w:t xml:space="preserve">JFK</w:t>
      </w:r>
      <w:r>
        <w:rPr>
          <w:rFonts w:ascii="Calibri" w:hAnsi="Calibri" w:cs="Calibri" w:eastAsia="PingFang SC"/>
          <w:color w:val="3D3A33"/>
          <w:sz w:val="22"/>
          <w:szCs w:val="22"/>
        </w:rPr>
        <w:t xml:space="preserve"> with Kevin Bacon, and Elvis Presley's through </w:t>
      </w:r>
      <w:r>
        <w:rPr>
          <w:rFonts w:ascii="Calibri" w:hAnsi="Calibri" w:cs="Calibri" w:eastAsia="PingFang SC"/>
          <w:i/>
          <w:color w:val="3D3A33"/>
          <w:sz w:val="22"/>
          <w:szCs w:val="22"/>
        </w:rPr>
        <w:t xml:space="preserve">Change of Habit</w:t>
      </w:r>
      <w:r>
        <w:rPr>
          <w:rFonts w:ascii="Calibri" w:hAnsi="Calibri" w:cs="Calibri" w:eastAsia="PingFang SC"/>
          <w:color w:val="3D3A33"/>
          <w:sz w:val="22"/>
          <w:szCs w:val="22"/>
        </w:rPr>
        <w:t xml:space="preserve"> with Asner.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180 films across more than sixty years — John Wayne's output, illustrating that quantity does not equal connectedness.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Twofold — The spotlight-effect error: participants thought 100 people noticed their T-shirts, but only 50 did.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50% — The expected self-rating level for above-average performance without systematic bias.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Twenty dollars vs. one dollar — The payments in Festinger's insufficient-justification experiment, inversely related to attitude revision.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Ten thousand dollars monthly — The hypothetical salary contrasting paid campaign work with unpaid volunteering, illustrating why paid workers need not rationalize their investment.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Eight years — The age at which children do not yet display the fundamental attribution error in American–Indian comparisons.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90% and 50% — Manhattan housing-project respondents reporting a best friend in the same building and on the same floor, respectively.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Twelve to fifteen years — The ages of girls Sylvester Stallone taught at a Swiss boarding school during the Vietnam War, contrasting with his Rambo image.</w:t>
      </w:r>
    </w:p>
    <w:p>
      <w:pPr>
        <w:spacing w:before="240" w:after="80" w:line="312" w:lineRule="auto"/>
      </w:pPr>
      <w:r>
        <w:rPr>
          <w:rFonts w:ascii="Calibri" w:hAnsi="Calibri" w:cs="Calibri" w:eastAsia="PingFang SC"/>
          <w:b/>
          <w:color w:val="9E3D34"/>
          <w:sz w:val="26"/>
          <w:szCs w:val="26"/>
        </w:rPr>
        <w:t xml:space="preserve">Terminology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18"/>
        <w:gridCol w:w="2018"/>
        <w:gridCol w:w="5325"/>
      </w:tblGrid>
      <w:tr>
        <w:trPr>
          <w:tblHeader/>
        </w:trPr>
        <w:tc>
          <w:tcPr>
            <w:tcW w:w="2018"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018" w:type="dxa"/>
            <w:shd w:val="clear" w:color="auto" w:fill="EAE7DD"/>
          </w:tcPr>
          <w:p>
            <w:pPr>
              <w:spacing w:before="0" w:after="0" w:line="312" w:lineRule="auto"/>
            </w:pPr>
            <w:r>
              <w:rPr>
                <w:rFonts w:ascii="Calibri" w:hAnsi="Calibri" w:cs="Calibri" w:eastAsia="PingFang SC"/>
                <w:b/>
                <w:color w:val="3D3A33"/>
                <w:sz w:val="22"/>
                <w:szCs w:val="22"/>
              </w:rPr>
              <w:t xml:space="preserve">English Equivalent</w:t>
            </w:r>
          </w:p>
        </w:tc>
        <w:tc>
          <w:tcPr>
            <w:tcW w:w="5325"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2018" w:type="dxa"/>
          </w:tcPr>
          <w:p>
            <w:pPr>
              <w:spacing w:before="0" w:after="0" w:line="312" w:lineRule="auto"/>
            </w:pPr>
            <w:r>
              <w:rPr>
                <w:rFonts w:ascii="Calibri" w:hAnsi="Calibri" w:cs="Calibri" w:eastAsia="PingFang SC"/>
                <w:color w:val="3D3A33"/>
                <w:sz w:val="22"/>
                <w:szCs w:val="22"/>
              </w:rPr>
              <w:t xml:space="preserve">social psychology</w:t>
            </w:r>
          </w:p>
        </w:tc>
        <w:tc>
          <w:tcPr>
            <w:tcW w:w="2018" w:type="dxa"/>
          </w:tcPr>
          <w:p>
            <w:pPr>
              <w:spacing w:before="0" w:after="0" w:line="312" w:lineRule="auto"/>
            </w:pPr>
            <w:r>
              <w:rPr>
                <w:rFonts w:ascii="Calibri" w:hAnsi="Calibri" w:cs="Calibri" w:eastAsia="PingFang SC"/>
                <w:color w:val="3D3A33"/>
                <w:sz w:val="22"/>
                <w:szCs w:val="22"/>
              </w:rPr>
              <w:t xml:space="preserve">social psychology</w:t>
            </w:r>
          </w:p>
        </w:tc>
        <w:tc>
          <w:tcPr>
            <w:tcW w:w="5325" w:type="dxa"/>
          </w:tcPr>
          <w:p>
            <w:pPr>
              <w:spacing w:before="0" w:after="0" w:line="312" w:lineRule="auto"/>
            </w:pPr>
            <w:r>
              <w:rPr>
                <w:rFonts w:ascii="Calibri" w:hAnsi="Calibri" w:cs="Calibri" w:eastAsia="PingFang SC"/>
                <w:color w:val="3D3A33"/>
                <w:sz w:val="22"/>
                <w:szCs w:val="22"/>
              </w:rPr>
              <w:t xml:space="preserve">The study of how we understand and respond to other people and groups; this is the first of two lectures on it.</w:t>
            </w:r>
          </w:p>
        </w:tc>
      </w:tr>
      <w:tr>
        <w:tc>
          <w:tcPr>
            <w:tcW w:w="2018" w:type="dxa"/>
          </w:tcPr>
          <w:p>
            <w:pPr>
              <w:spacing w:before="0" w:after="0" w:line="312" w:lineRule="auto"/>
            </w:pPr>
            <w:r>
              <w:rPr>
                <w:rFonts w:ascii="Calibri" w:hAnsi="Calibri" w:cs="Calibri" w:eastAsia="PingFang SC"/>
                <w:color w:val="3D3A33"/>
                <w:sz w:val="22"/>
                <w:szCs w:val="22"/>
              </w:rPr>
              <w:t xml:space="preserve">six degrees of separation</w:t>
            </w:r>
          </w:p>
        </w:tc>
        <w:tc>
          <w:tcPr>
            <w:tcW w:w="2018" w:type="dxa"/>
          </w:tcPr>
          <w:p>
            <w:pPr>
              <w:spacing w:before="0" w:after="0" w:line="312" w:lineRule="auto"/>
            </w:pPr>
            <w:r>
              <w:rPr>
                <w:rFonts w:ascii="Calibri" w:hAnsi="Calibri" w:cs="Calibri" w:eastAsia="PingFang SC"/>
                <w:color w:val="3D3A33"/>
                <w:sz w:val="22"/>
                <w:szCs w:val="22"/>
              </w:rPr>
              <w:t xml:space="preserve">six degrees of separation</w:t>
            </w:r>
          </w:p>
        </w:tc>
        <w:tc>
          <w:tcPr>
            <w:tcW w:w="5325" w:type="dxa"/>
          </w:tcPr>
          <w:p>
            <w:pPr>
              <w:spacing w:before="0" w:after="0" w:line="312" w:lineRule="auto"/>
            </w:pPr>
            <w:r>
              <w:rPr>
                <w:rFonts w:ascii="Calibri" w:hAnsi="Calibri" w:cs="Calibri" w:eastAsia="PingFang SC"/>
                <w:color w:val="3D3A33"/>
                <w:sz w:val="22"/>
                <w:szCs w:val="22"/>
              </w:rPr>
              <w:t xml:space="preserve">The claim that people are linked by at most six intermediaries, originating in Milgram's package experiment; the lecture specifically warns that it is not universal.</w:t>
            </w:r>
          </w:p>
        </w:tc>
      </w:tr>
      <w:tr>
        <w:tc>
          <w:tcPr>
            <w:tcW w:w="2018" w:type="dxa"/>
          </w:tcPr>
          <w:p>
            <w:pPr>
              <w:spacing w:before="0" w:after="0" w:line="312" w:lineRule="auto"/>
            </w:pPr>
            <w:r>
              <w:rPr>
                <w:rFonts w:ascii="Calibri" w:hAnsi="Calibri" w:cs="Calibri" w:eastAsia="PingFang SC"/>
                <w:color w:val="3D3A33"/>
                <w:sz w:val="22"/>
                <w:szCs w:val="22"/>
              </w:rPr>
              <w:t xml:space="preserve">connector</w:t>
            </w:r>
          </w:p>
        </w:tc>
        <w:tc>
          <w:tcPr>
            <w:tcW w:w="2018" w:type="dxa"/>
          </w:tcPr>
          <w:p>
            <w:pPr>
              <w:spacing w:before="0" w:after="0" w:line="312" w:lineRule="auto"/>
            </w:pPr>
            <w:r>
              <w:rPr>
                <w:rFonts w:ascii="Calibri" w:hAnsi="Calibri" w:cs="Calibri" w:eastAsia="PingFang SC"/>
                <w:color w:val="3D3A33"/>
                <w:sz w:val="22"/>
                <w:szCs w:val="22"/>
              </w:rPr>
              <w:t xml:space="preserve">connector</w:t>
            </w:r>
          </w:p>
        </w:tc>
        <w:tc>
          <w:tcPr>
            <w:tcW w:w="5325" w:type="dxa"/>
          </w:tcPr>
          <w:p>
            <w:pPr>
              <w:spacing w:before="0" w:after="0" w:line="312" w:lineRule="auto"/>
            </w:pPr>
            <w:r>
              <w:rPr>
                <w:rFonts w:ascii="Calibri" w:hAnsi="Calibri" w:cs="Calibri" w:eastAsia="PingFang SC"/>
                <w:color w:val="3D3A33"/>
                <w:sz w:val="22"/>
                <w:szCs w:val="22"/>
              </w:rPr>
              <w:t xml:space="preserve">Gladwell's term for highly connected individuals in social networks, analogous to aviation hubs and crucial to rapid package arrival.</w:t>
            </w:r>
          </w:p>
        </w:tc>
      </w:tr>
      <w:tr>
        <w:tc>
          <w:tcPr>
            <w:tcW w:w="2018" w:type="dxa"/>
          </w:tcPr>
          <w:p>
            <w:pPr>
              <w:spacing w:before="0" w:after="0" w:line="312" w:lineRule="auto"/>
            </w:pPr>
            <w:r>
              <w:rPr>
                <w:rFonts w:ascii="Calibri" w:hAnsi="Calibri" w:cs="Calibri" w:eastAsia="PingFang SC"/>
                <w:color w:val="3D3A33"/>
                <w:sz w:val="22"/>
                <w:szCs w:val="22"/>
              </w:rPr>
              <w:t xml:space="preserve">proximity</w:t>
            </w:r>
          </w:p>
        </w:tc>
        <w:tc>
          <w:tcPr>
            <w:tcW w:w="2018" w:type="dxa"/>
          </w:tcPr>
          <w:p>
            <w:pPr>
              <w:spacing w:before="0" w:after="0" w:line="312" w:lineRule="auto"/>
            </w:pPr>
            <w:r>
              <w:rPr>
                <w:rFonts w:ascii="Calibri" w:hAnsi="Calibri" w:cs="Calibri" w:eastAsia="PingFang SC"/>
                <w:color w:val="3D3A33"/>
                <w:sz w:val="22"/>
                <w:szCs w:val="22"/>
              </w:rPr>
              <w:t xml:space="preserve">proximity</w:t>
            </w:r>
          </w:p>
        </w:tc>
        <w:tc>
          <w:tcPr>
            <w:tcW w:w="5325" w:type="dxa"/>
          </w:tcPr>
          <w:p>
            <w:pPr>
              <w:spacing w:before="0" w:after="0" w:line="312" w:lineRule="auto"/>
            </w:pPr>
            <w:r>
              <w:rPr>
                <w:rFonts w:ascii="Calibri" w:hAnsi="Calibri" w:cs="Calibri" w:eastAsia="PingFang SC"/>
                <w:color w:val="3D3A33"/>
                <w:sz w:val="22"/>
                <w:szCs w:val="22"/>
              </w:rPr>
              <w:t xml:space="preserve">Preference for people who are physically nearby and with whom we spend time; the Manhattan housing project supplies classic evidence.</w:t>
            </w:r>
          </w:p>
        </w:tc>
      </w:tr>
      <w:tr>
        <w:tc>
          <w:tcPr>
            <w:tcW w:w="2018" w:type="dxa"/>
          </w:tcPr>
          <w:p>
            <w:pPr>
              <w:spacing w:before="0" w:after="0" w:line="312" w:lineRule="auto"/>
            </w:pPr>
            <w:r>
              <w:rPr>
                <w:rFonts w:ascii="Calibri" w:hAnsi="Calibri" w:cs="Calibri" w:eastAsia="PingFang SC"/>
                <w:color w:val="3D3A33"/>
                <w:sz w:val="22"/>
                <w:szCs w:val="22"/>
              </w:rPr>
              <w:t xml:space="preserve">mere exposure effect</w:t>
            </w:r>
          </w:p>
        </w:tc>
        <w:tc>
          <w:tcPr>
            <w:tcW w:w="2018" w:type="dxa"/>
          </w:tcPr>
          <w:p>
            <w:pPr>
              <w:spacing w:before="0" w:after="0" w:line="312" w:lineRule="auto"/>
            </w:pPr>
            <w:r>
              <w:rPr>
                <w:rFonts w:ascii="Calibri" w:hAnsi="Calibri" w:cs="Calibri" w:eastAsia="PingFang SC"/>
                <w:color w:val="3D3A33"/>
                <w:sz w:val="22"/>
                <w:szCs w:val="22"/>
              </w:rPr>
              <w:t xml:space="preserve">mere exposure effect</w:t>
            </w:r>
          </w:p>
        </w:tc>
        <w:tc>
          <w:tcPr>
            <w:tcW w:w="5325" w:type="dxa"/>
          </w:tcPr>
          <w:p>
            <w:pPr>
              <w:spacing w:before="0" w:after="0" w:line="312" w:lineRule="auto"/>
            </w:pPr>
            <w:r>
              <w:rPr>
                <w:rFonts w:ascii="Calibri" w:hAnsi="Calibri" w:cs="Calibri" w:eastAsia="PingFang SC"/>
                <w:color w:val="3D3A33"/>
                <w:sz w:val="22"/>
                <w:szCs w:val="22"/>
              </w:rPr>
              <w:t xml:space="preserve">Seeing something increases liking because familiarity brings comfort and safety; it explains mirror-image photograph preferences.</w:t>
            </w:r>
          </w:p>
        </w:tc>
      </w:tr>
      <w:tr>
        <w:tc>
          <w:tcPr>
            <w:tcW w:w="2018" w:type="dxa"/>
          </w:tcPr>
          <w:p>
            <w:pPr>
              <w:spacing w:before="0" w:after="0" w:line="312" w:lineRule="auto"/>
            </w:pPr>
            <w:r>
              <w:rPr>
                <w:rFonts w:ascii="Calibri" w:hAnsi="Calibri" w:cs="Calibri" w:eastAsia="PingFang SC"/>
                <w:color w:val="3D3A33"/>
                <w:sz w:val="22"/>
                <w:szCs w:val="22"/>
              </w:rPr>
              <w:t xml:space="preserve">spotlight effect</w:t>
            </w:r>
          </w:p>
        </w:tc>
        <w:tc>
          <w:tcPr>
            <w:tcW w:w="2018" w:type="dxa"/>
          </w:tcPr>
          <w:p>
            <w:pPr>
              <w:spacing w:before="0" w:after="0" w:line="312" w:lineRule="auto"/>
            </w:pPr>
            <w:r>
              <w:rPr>
                <w:rFonts w:ascii="Calibri" w:hAnsi="Calibri" w:cs="Calibri" w:eastAsia="PingFang SC"/>
                <w:color w:val="3D3A33"/>
                <w:sz w:val="22"/>
                <w:szCs w:val="22"/>
              </w:rPr>
              <w:t xml:space="preserve">spotlight effect</w:t>
            </w:r>
          </w:p>
        </w:tc>
        <w:tc>
          <w:tcPr>
            <w:tcW w:w="5325" w:type="dxa"/>
          </w:tcPr>
          <w:p>
            <w:pPr>
              <w:spacing w:before="0" w:after="0" w:line="312" w:lineRule="auto"/>
            </w:pPr>
            <w:r>
              <w:rPr>
                <w:rFonts w:ascii="Calibri" w:hAnsi="Calibri" w:cs="Calibri" w:eastAsia="PingFang SC"/>
                <w:color w:val="3D3A33"/>
                <w:sz w:val="22"/>
                <w:szCs w:val="22"/>
              </w:rPr>
              <w:t xml:space="preserve">Systematic overestimation of others' attention to oneself, by about a factor of two experimentally.</w:t>
            </w:r>
          </w:p>
        </w:tc>
      </w:tr>
      <w:tr>
        <w:tc>
          <w:tcPr>
            <w:tcW w:w="2018" w:type="dxa"/>
          </w:tcPr>
          <w:p>
            <w:pPr>
              <w:spacing w:before="0" w:after="0" w:line="312" w:lineRule="auto"/>
            </w:pPr>
            <w:r>
              <w:rPr>
                <w:rFonts w:ascii="Calibri" w:hAnsi="Calibri" w:cs="Calibri" w:eastAsia="PingFang SC"/>
                <w:color w:val="3D3A33"/>
                <w:sz w:val="22"/>
                <w:szCs w:val="22"/>
              </w:rPr>
              <w:t xml:space="preserve">transparency effect</w:t>
            </w:r>
          </w:p>
        </w:tc>
        <w:tc>
          <w:tcPr>
            <w:tcW w:w="2018" w:type="dxa"/>
          </w:tcPr>
          <w:p>
            <w:pPr>
              <w:spacing w:before="0" w:after="0" w:line="312" w:lineRule="auto"/>
            </w:pPr>
            <w:r>
              <w:rPr>
                <w:rFonts w:ascii="Calibri" w:hAnsi="Calibri" w:cs="Calibri" w:eastAsia="PingFang SC"/>
                <w:color w:val="3D3A33"/>
                <w:sz w:val="22"/>
                <w:szCs w:val="22"/>
              </w:rPr>
              <w:t xml:space="preserve">transparency effect</w:t>
            </w:r>
          </w:p>
        </w:tc>
        <w:tc>
          <w:tcPr>
            <w:tcW w:w="5325" w:type="dxa"/>
          </w:tcPr>
          <w:p>
            <w:pPr>
              <w:spacing w:before="0" w:after="0" w:line="312" w:lineRule="auto"/>
            </w:pPr>
            <w:r>
              <w:rPr>
                <w:rFonts w:ascii="Calibri" w:hAnsi="Calibri" w:cs="Calibri" w:eastAsia="PingFang SC"/>
                <w:color w:val="3D3A33"/>
                <w:sz w:val="22"/>
                <w:szCs w:val="22"/>
              </w:rPr>
              <w:t xml:space="preserve">Believing oneself more transparent than one is, overestimating detection of thoughts and lies; a source of communication failure.</w:t>
            </w:r>
          </w:p>
        </w:tc>
      </w:tr>
      <w:tr>
        <w:tc>
          <w:tcPr>
            <w:tcW w:w="2018" w:type="dxa"/>
          </w:tcPr>
          <w:p>
            <w:pPr>
              <w:spacing w:before="0" w:after="0" w:line="312" w:lineRule="auto"/>
            </w:pPr>
            <w:r>
              <w:rPr>
                <w:rFonts w:ascii="Calibri" w:hAnsi="Calibri" w:cs="Calibri" w:eastAsia="PingFang SC"/>
                <w:color w:val="3D3A33"/>
                <w:sz w:val="22"/>
                <w:szCs w:val="22"/>
              </w:rPr>
              <w:t xml:space="preserve">Lake Wobegon effect</w:t>
            </w:r>
          </w:p>
        </w:tc>
        <w:tc>
          <w:tcPr>
            <w:tcW w:w="2018" w:type="dxa"/>
          </w:tcPr>
          <w:p>
            <w:pPr>
              <w:spacing w:before="0" w:after="0" w:line="312" w:lineRule="auto"/>
            </w:pPr>
            <w:r>
              <w:rPr>
                <w:rFonts w:ascii="Calibri" w:hAnsi="Calibri" w:cs="Calibri" w:eastAsia="PingFang SC"/>
                <w:color w:val="3D3A33"/>
                <w:sz w:val="22"/>
                <w:szCs w:val="22"/>
              </w:rPr>
              <w:t xml:space="preserve">Lake Wobegon effect</w:t>
            </w:r>
          </w:p>
        </w:tc>
        <w:tc>
          <w:tcPr>
            <w:tcW w:w="5325" w:type="dxa"/>
          </w:tcPr>
          <w:p>
            <w:pPr>
              <w:spacing w:before="0" w:after="0" w:line="312" w:lineRule="auto"/>
            </w:pPr>
            <w:r>
              <w:rPr>
                <w:rFonts w:ascii="Calibri" w:hAnsi="Calibri" w:cs="Calibri" w:eastAsia="PingFang SC"/>
                <w:color w:val="3D3A33"/>
                <w:sz w:val="22"/>
                <w:szCs w:val="22"/>
              </w:rPr>
              <w:t xml:space="preserve">Systematically viewing oneself as above average, named after Keillor's town where all children are above average.</w:t>
            </w:r>
          </w:p>
        </w:tc>
      </w:tr>
      <w:tr>
        <w:tc>
          <w:tcPr>
            <w:tcW w:w="2018" w:type="dxa"/>
          </w:tcPr>
          <w:p>
            <w:pPr>
              <w:spacing w:before="0" w:after="0" w:line="312" w:lineRule="auto"/>
            </w:pPr>
            <w:r>
              <w:rPr>
                <w:rFonts w:ascii="Calibri" w:hAnsi="Calibri" w:cs="Calibri" w:eastAsia="PingFang SC"/>
                <w:color w:val="3D3A33"/>
                <w:sz w:val="22"/>
                <w:szCs w:val="22"/>
              </w:rPr>
              <w:t xml:space="preserve">self-serving bias</w:t>
            </w:r>
          </w:p>
        </w:tc>
        <w:tc>
          <w:tcPr>
            <w:tcW w:w="2018" w:type="dxa"/>
          </w:tcPr>
          <w:p>
            <w:pPr>
              <w:spacing w:before="0" w:after="0" w:line="312" w:lineRule="auto"/>
            </w:pPr>
            <w:r>
              <w:rPr>
                <w:rFonts w:ascii="Calibri" w:hAnsi="Calibri" w:cs="Calibri" w:eastAsia="PingFang SC"/>
                <w:color w:val="3D3A33"/>
                <w:sz w:val="22"/>
                <w:szCs w:val="22"/>
              </w:rPr>
              <w:t xml:space="preserve">self-serving bias</w:t>
            </w:r>
          </w:p>
        </w:tc>
        <w:tc>
          <w:tcPr>
            <w:tcW w:w="5325" w:type="dxa"/>
          </w:tcPr>
          <w:p>
            <w:pPr>
              <w:spacing w:before="0" w:after="0" w:line="312" w:lineRule="auto"/>
            </w:pPr>
            <w:r>
              <w:rPr>
                <w:rFonts w:ascii="Calibri" w:hAnsi="Calibri" w:cs="Calibri" w:eastAsia="PingFang SC"/>
                <w:color w:val="3D3A33"/>
                <w:sz w:val="22"/>
                <w:szCs w:val="22"/>
              </w:rPr>
              <w:t xml:space="preserve">Attributional asymmetry that credits success to one's abilities and failure to external circumstances.</w:t>
            </w:r>
          </w:p>
        </w:tc>
      </w:tr>
      <w:tr>
        <w:tc>
          <w:tcPr>
            <w:tcW w:w="2018" w:type="dxa"/>
          </w:tcPr>
          <w:p>
            <w:pPr>
              <w:spacing w:before="0" w:after="0" w:line="312" w:lineRule="auto"/>
            </w:pPr>
            <w:r>
              <w:rPr>
                <w:rFonts w:ascii="Calibri" w:hAnsi="Calibri" w:cs="Calibri" w:eastAsia="PingFang SC"/>
                <w:color w:val="3D3A33"/>
                <w:sz w:val="22"/>
                <w:szCs w:val="22"/>
              </w:rPr>
              <w:t xml:space="preserve">attribution</w:t>
            </w:r>
          </w:p>
        </w:tc>
        <w:tc>
          <w:tcPr>
            <w:tcW w:w="2018" w:type="dxa"/>
          </w:tcPr>
          <w:p>
            <w:pPr>
              <w:spacing w:before="0" w:after="0" w:line="312" w:lineRule="auto"/>
            </w:pPr>
            <w:r>
              <w:rPr>
                <w:rFonts w:ascii="Calibri" w:hAnsi="Calibri" w:cs="Calibri" w:eastAsia="PingFang SC"/>
                <w:color w:val="3D3A33"/>
                <w:sz w:val="22"/>
                <w:szCs w:val="22"/>
              </w:rPr>
              <w:t xml:space="preserve">attribution</w:t>
            </w:r>
          </w:p>
        </w:tc>
        <w:tc>
          <w:tcPr>
            <w:tcW w:w="5325" w:type="dxa"/>
          </w:tcPr>
          <w:p>
            <w:pPr>
              <w:spacing w:before="0" w:after="0" w:line="312" w:lineRule="auto"/>
            </w:pPr>
            <w:r>
              <w:rPr>
                <w:rFonts w:ascii="Calibri" w:hAnsi="Calibri" w:cs="Calibri" w:eastAsia="PingFang SC"/>
                <w:color w:val="3D3A33"/>
                <w:sz w:val="22"/>
                <w:szCs w:val="22"/>
              </w:rPr>
              <w:t xml:space="preserve">Judgment about behavioral causes; the lecture distinguishes standards for self-attribution and attribution to others.</w:t>
            </w:r>
          </w:p>
        </w:tc>
      </w:tr>
      <w:tr>
        <w:tc>
          <w:tcPr>
            <w:tcW w:w="2018" w:type="dxa"/>
          </w:tcPr>
          <w:p>
            <w:pPr>
              <w:spacing w:before="0" w:after="0" w:line="312" w:lineRule="auto"/>
            </w:pPr>
            <w:r>
              <w:rPr>
                <w:rFonts w:ascii="Calibri" w:hAnsi="Calibri" w:cs="Calibri" w:eastAsia="PingFang SC"/>
                <w:color w:val="3D3A33"/>
                <w:sz w:val="22"/>
                <w:szCs w:val="22"/>
              </w:rPr>
              <w:t xml:space="preserve">person bias</w:t>
            </w:r>
          </w:p>
        </w:tc>
        <w:tc>
          <w:tcPr>
            <w:tcW w:w="2018" w:type="dxa"/>
          </w:tcPr>
          <w:p>
            <w:pPr>
              <w:spacing w:before="0" w:after="0" w:line="312" w:lineRule="auto"/>
            </w:pPr>
            <w:r>
              <w:rPr>
                <w:rFonts w:ascii="Calibri" w:hAnsi="Calibri" w:cs="Calibri" w:eastAsia="PingFang SC"/>
                <w:color w:val="3D3A33"/>
                <w:sz w:val="22"/>
                <w:szCs w:val="22"/>
              </w:rPr>
              <w:t xml:space="preserve">person bias</w:t>
            </w:r>
          </w:p>
        </w:tc>
        <w:tc>
          <w:tcPr>
            <w:tcW w:w="5325" w:type="dxa"/>
          </w:tcPr>
          <w:p>
            <w:pPr>
              <w:spacing w:before="0" w:after="0" w:line="312" w:lineRule="auto"/>
            </w:pPr>
            <w:r>
              <w:rPr>
                <w:rFonts w:ascii="Calibri" w:hAnsi="Calibri" w:cs="Calibri" w:eastAsia="PingFang SC"/>
                <w:color w:val="3D3A33"/>
                <w:sz w:val="22"/>
                <w:szCs w:val="22"/>
              </w:rPr>
              <w:t xml:space="preserve">Overattributing others' behavior to personality while underweighting situations.</w:t>
            </w:r>
          </w:p>
        </w:tc>
      </w:tr>
      <w:tr>
        <w:tc>
          <w:tcPr>
            <w:tcW w:w="2018" w:type="dxa"/>
          </w:tcPr>
          <w:p>
            <w:pPr>
              <w:spacing w:before="0" w:after="0" w:line="312" w:lineRule="auto"/>
            </w:pPr>
            <w:r>
              <w:rPr>
                <w:rFonts w:ascii="Calibri" w:hAnsi="Calibri" w:cs="Calibri" w:eastAsia="PingFang SC"/>
                <w:color w:val="3D3A33"/>
                <w:sz w:val="22"/>
                <w:szCs w:val="22"/>
              </w:rPr>
              <w:t xml:space="preserve">fundamental attribution error</w:t>
            </w:r>
          </w:p>
        </w:tc>
        <w:tc>
          <w:tcPr>
            <w:tcW w:w="2018" w:type="dxa"/>
          </w:tcPr>
          <w:p>
            <w:pPr>
              <w:spacing w:before="0" w:after="0" w:line="312" w:lineRule="auto"/>
            </w:pPr>
            <w:r>
              <w:rPr>
                <w:rFonts w:ascii="Calibri" w:hAnsi="Calibri" w:cs="Calibri" w:eastAsia="PingFang SC"/>
                <w:color w:val="3D3A33"/>
                <w:sz w:val="22"/>
                <w:szCs w:val="22"/>
              </w:rPr>
              <w:t xml:space="preserve">fundamental attribution error</w:t>
            </w:r>
          </w:p>
        </w:tc>
        <w:tc>
          <w:tcPr>
            <w:tcW w:w="5325" w:type="dxa"/>
          </w:tcPr>
          <w:p>
            <w:pPr>
              <w:spacing w:before="0" w:after="0" w:line="312" w:lineRule="auto"/>
            </w:pPr>
            <w:r>
              <w:rPr>
                <w:rFonts w:ascii="Calibri" w:hAnsi="Calibri" w:cs="Calibri" w:eastAsia="PingFang SC"/>
                <w:color w:val="3D3A33"/>
                <w:sz w:val="22"/>
                <w:szCs w:val="22"/>
              </w:rPr>
              <w:t xml:space="preserve">The common name for person bias and a central social-psychological idea; its cultural malleability is a major correction in this lecture.</w:t>
            </w:r>
          </w:p>
        </w:tc>
      </w:tr>
      <w:tr>
        <w:tc>
          <w:tcPr>
            <w:tcW w:w="2018" w:type="dxa"/>
          </w:tcPr>
          <w:p>
            <w:pPr>
              <w:spacing w:before="0" w:after="0" w:line="312" w:lineRule="auto"/>
            </w:pPr>
            <w:r>
              <w:rPr>
                <w:rFonts w:ascii="Calibri" w:hAnsi="Calibri" w:cs="Calibri" w:eastAsia="PingFang SC"/>
                <w:color w:val="3D3A33"/>
                <w:sz w:val="22"/>
                <w:szCs w:val="22"/>
              </w:rPr>
              <w:t xml:space="preserve">confirmation bias</w:t>
            </w:r>
          </w:p>
        </w:tc>
        <w:tc>
          <w:tcPr>
            <w:tcW w:w="2018" w:type="dxa"/>
          </w:tcPr>
          <w:p>
            <w:pPr>
              <w:spacing w:before="0" w:after="0" w:line="312" w:lineRule="auto"/>
            </w:pPr>
            <w:r>
              <w:rPr>
                <w:rFonts w:ascii="Calibri" w:hAnsi="Calibri" w:cs="Calibri" w:eastAsia="PingFang SC"/>
                <w:color w:val="3D3A33"/>
                <w:sz w:val="22"/>
                <w:szCs w:val="22"/>
              </w:rPr>
              <w:t xml:space="preserve">confirmation bias</w:t>
            </w:r>
          </w:p>
        </w:tc>
        <w:tc>
          <w:tcPr>
            <w:tcW w:w="5325" w:type="dxa"/>
          </w:tcPr>
          <w:p>
            <w:pPr>
              <w:spacing w:before="0" w:after="0" w:line="312" w:lineRule="auto"/>
            </w:pPr>
            <w:r>
              <w:rPr>
                <w:rFonts w:ascii="Calibri" w:hAnsi="Calibri" w:cs="Calibri" w:eastAsia="PingFang SC"/>
                <w:color w:val="3D3A33"/>
                <w:sz w:val="22"/>
                <w:szCs w:val="22"/>
              </w:rPr>
              <w:t xml:space="preserve">Preferring information consistent with existing beliefs and avoiding counterevidence; here, dissonance expressed in information selection.</w:t>
            </w:r>
          </w:p>
        </w:tc>
      </w:tr>
      <w:tr>
        <w:tc>
          <w:tcPr>
            <w:tcW w:w="2018" w:type="dxa"/>
          </w:tcPr>
          <w:p>
            <w:pPr>
              <w:spacing w:before="0" w:after="0" w:line="312" w:lineRule="auto"/>
            </w:pPr>
            <w:r>
              <w:rPr>
                <w:rFonts w:ascii="Calibri" w:hAnsi="Calibri" w:cs="Calibri" w:eastAsia="PingFang SC"/>
                <w:color w:val="3D3A33"/>
                <w:sz w:val="22"/>
                <w:szCs w:val="22"/>
              </w:rPr>
              <w:t xml:space="preserve">cognitive dissonance</w:t>
            </w:r>
          </w:p>
        </w:tc>
        <w:tc>
          <w:tcPr>
            <w:tcW w:w="2018" w:type="dxa"/>
          </w:tcPr>
          <w:p>
            <w:pPr>
              <w:spacing w:before="0" w:after="0" w:line="312" w:lineRule="auto"/>
            </w:pPr>
            <w:r>
              <w:rPr>
                <w:rFonts w:ascii="Calibri" w:hAnsi="Calibri" w:cs="Calibri" w:eastAsia="PingFang SC"/>
                <w:color w:val="3D3A33"/>
                <w:sz w:val="22"/>
                <w:szCs w:val="22"/>
              </w:rPr>
              <w:t xml:space="preserve">cognitive dissonance</w:t>
            </w:r>
          </w:p>
        </w:tc>
        <w:tc>
          <w:tcPr>
            <w:tcW w:w="5325" w:type="dxa"/>
          </w:tcPr>
          <w:p>
            <w:pPr>
              <w:spacing w:before="0" w:after="0" w:line="312" w:lineRule="auto"/>
            </w:pPr>
            <w:r>
              <w:rPr>
                <w:rFonts w:ascii="Calibri" w:hAnsi="Calibri" w:cs="Calibri" w:eastAsia="PingFang SC"/>
                <w:color w:val="3D3A33"/>
                <w:sz w:val="22"/>
                <w:szCs w:val="22"/>
              </w:rPr>
              <w:t xml:space="preserve">Festinger's theory that internal contradiction produces an unpleasant state eliminated by revising beliefs rather than behavior.</w:t>
            </w:r>
          </w:p>
        </w:tc>
      </w:tr>
      <w:tr>
        <w:tc>
          <w:tcPr>
            <w:tcW w:w="2018" w:type="dxa"/>
          </w:tcPr>
          <w:p>
            <w:pPr>
              <w:spacing w:before="0" w:after="0" w:line="312" w:lineRule="auto"/>
            </w:pPr>
            <w:r>
              <w:rPr>
                <w:rFonts w:ascii="Calibri" w:hAnsi="Calibri" w:cs="Calibri" w:eastAsia="PingFang SC"/>
                <w:color w:val="3D3A33"/>
                <w:sz w:val="22"/>
                <w:szCs w:val="22"/>
              </w:rPr>
              <w:t xml:space="preserve">insufficient justification effect</w:t>
            </w:r>
          </w:p>
        </w:tc>
        <w:tc>
          <w:tcPr>
            <w:tcW w:w="2018" w:type="dxa"/>
          </w:tcPr>
          <w:p>
            <w:pPr>
              <w:spacing w:before="0" w:after="0" w:line="312" w:lineRule="auto"/>
            </w:pPr>
            <w:r>
              <w:rPr>
                <w:rFonts w:ascii="Calibri" w:hAnsi="Calibri" w:cs="Calibri" w:eastAsia="PingFang SC"/>
                <w:color w:val="3D3A33"/>
                <w:sz w:val="22"/>
                <w:szCs w:val="22"/>
              </w:rPr>
              <w:t xml:space="preserve">insufficient justification effect</w:t>
            </w:r>
          </w:p>
        </w:tc>
        <w:tc>
          <w:tcPr>
            <w:tcW w:w="5325" w:type="dxa"/>
          </w:tcPr>
          <w:p>
            <w:pPr>
              <w:spacing w:before="0" w:after="0" w:line="312" w:lineRule="auto"/>
            </w:pPr>
            <w:r>
              <w:rPr>
                <w:rFonts w:ascii="Calibri" w:hAnsi="Calibri" w:cs="Calibri" w:eastAsia="PingFang SC"/>
                <w:color w:val="3D3A33"/>
                <w:sz w:val="22"/>
                <w:szCs w:val="22"/>
              </w:rPr>
              <w:t xml:space="preserve">The less external reasons explain behavior, the stronger attitude revision becomes; the one-dollar group's greater enjoyment exemplifies this.</w:t>
            </w:r>
          </w:p>
        </w:tc>
      </w:tr>
      <w:tr>
        <w:tc>
          <w:tcPr>
            <w:tcW w:w="2018" w:type="dxa"/>
          </w:tcPr>
          <w:p>
            <w:pPr>
              <w:spacing w:before="0" w:after="0" w:line="312" w:lineRule="auto"/>
            </w:pPr>
            <w:r>
              <w:rPr>
                <w:rFonts w:ascii="Calibri" w:hAnsi="Calibri" w:cs="Calibri" w:eastAsia="PingFang SC"/>
                <w:color w:val="3D3A33"/>
                <w:sz w:val="22"/>
                <w:szCs w:val="22"/>
              </w:rPr>
              <w:t xml:space="preserve">Matthew effect</w:t>
            </w:r>
          </w:p>
        </w:tc>
        <w:tc>
          <w:tcPr>
            <w:tcW w:w="2018" w:type="dxa"/>
          </w:tcPr>
          <w:p>
            <w:pPr>
              <w:spacing w:before="0" w:after="0" w:line="312" w:lineRule="auto"/>
            </w:pPr>
            <w:r>
              <w:rPr>
                <w:rFonts w:ascii="Calibri" w:hAnsi="Calibri" w:cs="Calibri" w:eastAsia="PingFang SC"/>
                <w:color w:val="3D3A33"/>
                <w:sz w:val="22"/>
                <w:szCs w:val="22"/>
              </w:rPr>
              <w:t xml:space="preserve">Matthew effect</w:t>
            </w:r>
          </w:p>
        </w:tc>
        <w:tc>
          <w:tcPr>
            <w:tcW w:w="5325" w:type="dxa"/>
          </w:tcPr>
          <w:p>
            <w:pPr>
              <w:spacing w:before="0" w:after="0" w:line="312" w:lineRule="auto"/>
            </w:pPr>
            <w:r>
              <w:rPr>
                <w:rFonts w:ascii="Calibri" w:hAnsi="Calibri" w:cs="Calibri" w:eastAsia="PingFang SC"/>
                <w:color w:val="3D3A33"/>
                <w:sz w:val="22"/>
                <w:szCs w:val="22"/>
              </w:rPr>
              <w:t xml:space="preserve">Existing advantages accumulate; used here to explain why attractive people may genuinely become more capable and popular.</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