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17 A Person in the World of People Self and Other, Part II;</w:t>
      </w:r>
    </w:p>
    <w:p>
      <w:pPr>
        <w:spacing w:before="240" w:after="80" w:line="312" w:lineRule="auto"/>
      </w:pPr>
      <w:r>
        <w:rPr>
          <w:rFonts w:ascii="Calibri" w:hAnsi="Calibri" w:cs="Calibri" w:eastAsia="PingFang SC"/>
          <w:b/>
          <w:color w:val="33302A"/>
          <w:sz w:val="32"/>
          <w:szCs w:val="32"/>
        </w:rPr>
        <w:t xml:space="preserve">Lecture 17 · Self and Other, Part II (A Person in the World of People: Self and Other, Part II)</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Once formed, a first impression ceases to be merely an impression and becomes an interpretive framework. Students told that a speaker is “warm” or “cold” rate the same person very differently, because confirmation bias amplifies evidence supporting existing beliefs and diminishes contrary evidence. The white van everyone “saw” during the Washington sniper case exemplifies evidence conjured from nothing. Judgments are also astonishingly fast: five seconds of classroom footage predicts students' evaluations of a professor, and one second of exposure permits slightly better-than-chance judgments of sexual orientation. Expectations can in turn shape their targets: randomly selected students teachers believe are about to “bloom” actually improve on IQ tests—the Pygmalion effect. Stereotypes are consequently redefined as category information and intuitions about typicality, originating in the same capacities as “chairs can be sat on” and “apples can be eaten.” Often accurate and necessary for survival, they become problematic through biased data and the moral boundaries of application: blind auditions increase women's hiring, while nobody protests higher car-insurance premiums for young drivers. Stereotype threat shows that merely reminding people of group identity before a test can lower performance. The IAT reveals automatic associations outside people's awareness beneath dramatically changed public attitudes. These emerge as only half-second reaction-time differences, yet can influence judgments involving guns or hiring. Devine's automaticity theory concludes that stereotypes activate automatically and overriding them requires extra work, individually and institutionally: blind review and active solicitation of underrepresented candidates prevent prejudice from operating. The second half turns to sleep, dreams, and laughter. Sleep is a motivation like hunger; slow-wave and REM sleep alternate in four or five nightly cycles, and prolonged deprivation causes illness followed by death. Dreams are mostly negative, being chased is the commonest theme, and the most credible explanation treats them as a by-product of memory consolidation. Laughter, a loud and contagious sound, has nothing to do with jokes in over ninety percent of cases, and looks more like a signal that “this is mock aggression.”</w:t>
      </w:r>
    </w:p>
    <w:p>
      <w:pPr>
        <w:spacing w:before="0" w:after="160" w:line="312" w:lineRule="auto"/>
      </w:pPr>
      <w:r>
        <w:rPr>
          <w:rFonts w:ascii="Calibri" w:hAnsi="Calibri" w:cs="Calibri" w:eastAsia="PingFang SC"/>
          <w:b/>
          <w:color w:val="3D3A33"/>
          <w:sz w:val="22"/>
          <w:szCs w:val="22"/>
        </w:rPr>
        <w:t xml:space="preserve">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impressions do not simply provide “preliminary judgments corrected by later information”; they encode everything that follows. The same person's bouncing around is read as talent when introduced as “vivacious and creative,” but as nervous twitching when introduced as “insecure and neurotic.” Confirmation bias reinforces this framework: supporting information gets extra weight, while counterexamples are ignored or discounted. Subsequent interaction therefore gathers evidence for the conclusion more than it tests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“Thin-slice” studies reduce judgment time to almost absurd lengths; judgments of sexual orientation are especially surprising. Five seconds of classroom footage predicts teaching evaluations, and assessing someone's position on all five Big Five dimensions requires little more. About one second of exposure supports slightly better-than-chance guesses about sexual orientation; gay men are more accurate than heterosexuals. The experiment deliberately conceals its real research question to avoid contamination by demand characteristics.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Implicit prejudice cannot simply be reduced to “favoring one's own.” If the effect were only in-group favoritism, African American participants should display pro-African-American associations. Instead, the IAT shows the same anti-African-American, pro-white direction as in white participants. This rules out a purely in-group-favoritism explanation, although in-group favoritism probably also contributes.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Institutional design, not individual willpower, is the right lever for disabling prejudice. Blind auditions substantially increase women's hiring; actively soliciting names from underrepresented groups brings otherwise forgotten qualified candidates to mind. Neither requires anyone to become morally better. They simply deny prejudice an opening, making them more reliable than “please be fairer.”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Laughter and jokes can be completely separated, and separating them makes laughter stranger. Of more than a thousand laughter-provoking situations Provine recorded in shopping malls, triggers were mostly ordinary remarks such as “See you later,” “Look, it's Andre,” and “Are you sure?” Only about ten percent could later be recoded as genuinely humorous. Thus, the overwhelming majority of laughter is not triggered by jokes at all.</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First Impressions, Confirmation Bias, and “Thin-Slice” Judgments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impressions are powerful not because they are accurate, but because they become the coding scheme for later information. The same person bouncing around a room appears talented if described beforehand as “vivacious and creative,” alcoholic if described as “drinking too much,” and nervously twitchy if described as “insecure and neurotic.” Even when subsequent information does not support the initial label, that label is not overturned; it is used to assimilate the new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Kelley's classic experiment operationalizes this mechanism. The guest speaker remains the same, but students receive a description calling him either “warm” or “cold,” which firmly anchors subsequent ratings. Mechanistically, students are not evaluating the speaker so much as seeking evidence for their description. </w:t>
      </w:r>
      <w:r>
        <w:rPr>
          <w:rFonts w:ascii="Calibri" w:hAnsi="Calibri" w:cs="Calibri" w:eastAsia="PingFang SC"/>
          <w:i/>
          <w:color w:val="3D3A33"/>
          <w:sz w:val="22"/>
          <w:szCs w:val="22"/>
        </w:rPr>
        <w:t xml:space="preserve">Being There</w:t>
      </w:r>
      <w:r>
        <w:rPr>
          <w:rFonts w:ascii="Calibri" w:hAnsi="Calibri" w:cs="Calibri" w:eastAsia="PingFang SC"/>
          <w:color w:val="3D3A33"/>
          <w:sz w:val="22"/>
          <w:szCs w:val="22"/>
        </w:rPr>
        <w:t xml:space="preserve"> pushes this to a comic extreme: after Chauncey Gardner is mistaken for a genius, even “I like to be in the garden” is heard as profound political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Confirmation bias can manufacture nonexistent evidence. During the Washington sniper case, newspapers repeatedly mentioned “a white van,” so someone subsequently “saw” a white van at every incident, although no such van existed. First impressions do not merely interpret information; they produce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Thin-slice studies push judgment speed to its limit. Five seconds of classroom footage predicts students' evaluations of professors, and assessing a person's standing on the five Big Five dimensions takes little more. Sexual-orientation judgments are most surprising: about one second of exposure supports slightly better-than-chance performance, with gay men more accurate than heterosexuals; the experiment also conceals its real research question. Speed and accuracy are thus compatible: judgments form with very little information, which is precisely why later information struggles to revise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Speed combined with accuracy implies something uncomfortable: most conclusions about someone are already established when we have almost no information. Later interaction gathers evidence for the conclusion rather than testing it. First impressions and thin-slice judgments together therefore shape a relationship's direction for a long time.</w:t>
      </w:r>
    </w:p>
    <w:p>
      <w:pPr>
        <w:spacing w:before="240" w:after="80" w:line="312" w:lineRule="auto"/>
      </w:pPr>
      <w:r>
        <w:rPr>
          <w:rFonts w:ascii="Calibri" w:hAnsi="Calibri" w:cs="Calibri" w:eastAsia="PingFang SC"/>
          <w:b/>
          <w:color w:val="175244"/>
          <w:sz w:val="22"/>
          <w:szCs w:val="22"/>
        </w:rPr>
        <w:t xml:space="preserve">The Pygmalion Effect: How Expectations Shape Their Targets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psychology asks not only how we see others, but what happens when others see us in a particular way. The answer is the self-fulfilling prophecy, more specifically the Pygmalion effect. My belief that you possess a trait may make you display it, because the belief changes how I treat you, which then changes your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name comes from Shaw's </w:t>
      </w:r>
      <w:r>
        <w:rPr>
          <w:rFonts w:ascii="Calibri" w:hAnsi="Calibri" w:cs="Calibri" w:eastAsia="PingFang SC"/>
          <w:i/>
          <w:color w:val="3D3A33"/>
          <w:sz w:val="22"/>
          <w:szCs w:val="22"/>
        </w:rPr>
        <w:t xml:space="preserve">Pygmalion</w:t>
      </w:r>
      <w:r>
        <w:rPr>
          <w:rFonts w:ascii="Calibri" w:hAnsi="Calibri" w:cs="Calibri" w:eastAsia="PingFang SC"/>
          <w:color w:val="3D3A33"/>
          <w:sz w:val="22"/>
          <w:szCs w:val="22"/>
        </w:rPr>
        <w:t xml:space="preserve">: “The difference between a lady and a flower girl is not how she behaves but how she's treated.” Identity does not precede treatment but is continually confirmed through it. </w:t>
      </w:r>
      <w:r>
        <w:rPr>
          <w:rFonts w:ascii="Calibri" w:hAnsi="Calibri" w:cs="Calibri" w:eastAsia="PingFang SC"/>
          <w:i/>
          <w:color w:val="3D3A33"/>
          <w:sz w:val="22"/>
          <w:szCs w:val="22"/>
        </w:rPr>
        <w:t xml:space="preserve">La Femme Nikita</w:t>
      </w:r>
      <w:r>
        <w:rPr>
          <w:rFonts w:ascii="Calibri" w:hAnsi="Calibri" w:cs="Calibri" w:eastAsia="PingFang SC"/>
          <w:color w:val="3D3A33"/>
          <w:sz w:val="22"/>
          <w:szCs w:val="22"/>
        </w:rPr>
        <w:t xml:space="preserve"> presents the same theme more directly: a cold-blooded assassin becomes warmer and more approachable after receiving respect and care.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Rosenthal and Jackson's classic experiment supplies causal evidence. They told teachers that certain students were about to make large IQ gains, although the students were randomly designated. These randomly identified children did indeed improve their IQ scores. The mechanism is not mysterious: in small classrooms, supposedly gifted students receive more attention, responses, and expectations, while students judged to have little promise suffer relatively.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effect doubles the ethical weight of impressions. A judgment does not merely describe reality; it intervenes in it, because its target moves toward the judgment. This is one reason first impressions are dangerous.</w:t>
      </w:r>
    </w:p>
    <w:p>
      <w:pPr>
        <w:spacing w:before="240" w:after="80" w:line="312" w:lineRule="auto"/>
      </w:pPr>
      <w:r>
        <w:rPr>
          <w:rFonts w:ascii="Calibri" w:hAnsi="Calibri" w:cs="Calibri" w:eastAsia="PingFang SC"/>
          <w:b/>
          <w:color w:val="175244"/>
          <w:sz w:val="22"/>
          <w:szCs w:val="22"/>
        </w:rPr>
        <w:t xml:space="preserve">The Two Sides of Stereotypes: Accurate Information and Distorted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“Stereotype” is almost an insult in everyday English, but psychology uses it more broadly for category information and intuitions about typical characteristics and frequencies. This capacity is essential for survival: a chair suggests sitting, an apple suggests something probably edible, and a dog suggests barking, a tail, and no English speech. Generalizations need not be logically true, only usually true: that dog could be vegetarian, the apple poisonous, and the chair explosive. Without generalization, people would not know what to eat or how to interact. Stereotypes are therefore normal products of category learning, not cognitive defects.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Stereotypes about people are often quite accurate. Asked whether a Jewish or Hispanic person is more likely to be a lawyer, or whether Japanese or Swedish people are taller, people give nonrandom answers. Some stereotypes are positive, such as considering a group exceptionally creative or evaluating one's own group favorably.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Accuracy has two vulnerabilities. First is confirmation bias: people who believe gay men are effeminate remember confirming examples and overlook others; people who believe Black men are criminals amplify supportive cases and diminish counterexamples. This is not an objective scan of data. Second are biased sources: much world knowledge comes from television, film, theater, and fiction. Italian Americans often appear as Mafia families; Jewish people have long objected to Shylock in </w:t>
      </w:r>
      <w:r>
        <w:rPr>
          <w:rFonts w:ascii="Calibri" w:hAnsi="Calibri" w:cs="Calibri" w:eastAsia="PingFang SC"/>
          <w:i/>
          <w:color w:val="3D3A33"/>
          <w:sz w:val="22"/>
          <w:szCs w:val="22"/>
        </w:rPr>
        <w:t xml:space="preserve">The Merchant of Venice</w:t>
      </w:r>
      <w:r>
        <w:rPr>
          <w:rFonts w:ascii="Calibri" w:hAnsi="Calibri" w:cs="Calibri" w:eastAsia="PingFang SC"/>
          <w:color w:val="3D3A33"/>
          <w:sz w:val="22"/>
          <w:szCs w:val="22"/>
        </w:rPr>
        <w:t xml:space="preserve">. The change of Starbuck from a man in the original </w:t>
      </w:r>
      <w:r>
        <w:rPr>
          <w:rFonts w:ascii="Calibri" w:hAnsi="Calibri" w:cs="Calibri" w:eastAsia="PingFang SC"/>
          <w:i/>
          <w:color w:val="3D3A33"/>
          <w:sz w:val="22"/>
          <w:szCs w:val="22"/>
        </w:rPr>
        <w:t xml:space="preserve">Battlestar Galactica</w:t>
      </w:r>
      <w:r>
        <w:rPr>
          <w:rFonts w:ascii="Calibri" w:hAnsi="Calibri" w:cs="Calibri" w:eastAsia="PingFang SC"/>
          <w:color w:val="3D3A33"/>
          <w:sz w:val="22"/>
          <w:szCs w:val="22"/>
        </w:rPr>
        <w:t xml:space="preserve"> to a woman in the remake exemplifies shifting representations.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Blind auditions in classical music test both accuracy and fairness. Judges commonly believed women were inferior musicians—less strong, less skilled, and more emotional—while insisting they were unbiased. When auditions moved behind a screen concealing gender and race, women's hiring increased substantially. The stereotype was both inaccurate and genuinely harmful to those judged.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Morality must be separated from accuracy. Choosing a greyhound over a pit bull because one wants a gentle dog invites no accusation of “racism against dogs,” although it uses a stereotype. Applied to humans, however, even statistically correct stereotypes can be immoral; this practice is called profiling. The boundary is uneven. Young drivers genuinely have more accidents, and nobody protests their higher insurance premiums. If an insurer charged Asian drivers more on the grounds of higher accident rates, almost everyone would find that unacceptable.</w:t>
      </w:r>
    </w:p>
    <w:p>
      <w:pPr>
        <w:spacing w:before="240" w:after="80" w:line="312" w:lineRule="auto"/>
      </w:pPr>
      <w:r>
        <w:rPr>
          <w:rFonts w:ascii="Calibri" w:hAnsi="Calibri" w:cs="Calibri" w:eastAsia="PingFang SC"/>
          <w:b/>
          <w:color w:val="175244"/>
          <w:sz w:val="22"/>
          <w:szCs w:val="22"/>
        </w:rPr>
        <w:t xml:space="preserve">From Public Attitudes to Implicit Associations: The Weight of Half a Second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Stereotypes have three levels: public, private, and automatic associations that affect thinking without the person's awareness. Public attitudes have changed enormously. The proportion of Americans saying they would vote for an African American president rose from about half decades earlier to nearly everyone; white people's publicly reported stereotypes of Black people have become almost negligible.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Implicit attitudes are measured with the Implicit Attitudes Test, or IAT. In class, participants call “right” for African American faces or bad words and “left” for white faces or good words, then reverse the pairings. The computer version compares reaction times across blocks; people are consistently faster in the “congruent” African-American-plus-bad/white-plus-good block. Developed by Mahzarin Banaji, the test has attracted roughly a million participants and is called the largest psychology experiment ever. Versions address gender, age, weight, sexual orientation, and other categories.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does half a second matter? First, in some settings it is everything: studies examine police decisions to shoot someone holding an ambiguous object using split-second responses, and stereotypes have enormous effects. Second, everyday judgment calls do not generally rely on explicit reasoning, giving implicit associations precisely these openings.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Effects on actual behavior are more intuitive. When alone, almost everyone helps someone calling for assistance regardless of the victim's skin color. With other bystanders present, helping rates differ substantially by skin color. These participants are ordinary college students, and their stated explanation is not skin color but “someone else will help.” Jack Dovidio's hiring studies are equally clear: strong recommendation letters eliminate African American–white differences, but with merely adequate letters and a judgment call, participants significantly prefer white applicants. The finding recurred in 1989, 1999, and about a year and a half before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Trish Devine's automaticity theory integrates these findings. Everyone holds stereotypes, which activate automatically upon encountering relevant individuals. Acting otherwise requires consciously suppressing them. That is possible, but takes effort at both individual and group levels. Nonstereotyped action is not the default; it is ongoing work.</w:t>
      </w:r>
    </w:p>
    <w:p>
      <w:pPr>
        <w:spacing w:before="240" w:after="80" w:line="312" w:lineRule="auto"/>
      </w:pPr>
      <w:r>
        <w:rPr>
          <w:rFonts w:ascii="Calibri" w:hAnsi="Calibri" w:cs="Calibri" w:eastAsia="PingFang SC"/>
          <w:b/>
          <w:color w:val="175244"/>
          <w:sz w:val="22"/>
          <w:szCs w:val="22"/>
        </w:rPr>
        <w:t xml:space="preserve">Disabling Prejudice: Institutional and Individual Solutions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Asked what to do with these results, the first answer is institutional design at the group level. When hiring senior faculty, the psychology department specifically solicits candidate lists from underrepresented groups. The reason is not affirmative action, but evidence that equally qualified people will not occur to anyone unless specifically sought.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Blind review and blind auditions implement the same logic and receive repeated praise in class. Instead of asking every judge to work harder at overcoming bias, design a process without an opening for it. Anonymous review and auditions behind screens both “set up a system so that your prejudices can't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individual answer is much weaker and remains a reminder. Recognize one's biases, and do not rest content with “I am explicitly not racist, so I will treat everyone fairly.” If qualifications truly matter, examine them without knowing race or gender rather than arbitrarily overcorrecting in reverse.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objection requires an answer: could these effects be in-group favoritism rather than stereotypes? African American IAT participants also display anti-African-American, pro-white associations. The effect therefore cannot be reduced entirely to favoring one's own, although in-group favoritism probably contributes. These associations seem absorbed from the surrounding culture rather than merely expressing group loyalty.</w:t>
      </w:r>
    </w:p>
    <w:p>
      <w:pPr>
        <w:spacing w:before="240" w:after="80" w:line="312" w:lineRule="auto"/>
      </w:pPr>
      <w:r>
        <w:rPr>
          <w:rFonts w:ascii="Calibri" w:hAnsi="Calibri" w:cs="Calibri" w:eastAsia="PingFang SC"/>
          <w:b/>
          <w:color w:val="175244"/>
          <w:sz w:val="22"/>
          <w:szCs w:val="22"/>
        </w:rPr>
        <w:t xml:space="preserve">Sleep: Both a Motivation and a Mystery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Sleep is explicitly classified as a motivation alongside hunger and thirst. When extremely sleepy, sleeping is what one most wants; prolonged deprivation is torture, causing enormous suffering and distress. Sleep occupies a large part of life but is difficult to study because sleepers cannot be asked what is happening; ingenious methods are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Sleep laboratories attach scalp electrodes to record brain activity. Alert attention produces fast, irregular beta waves; relaxed wakefulness produces large, regular alpha waves; deep sleep produces slow, irregular, high-amplitude delta waves. During the night, sleep deepens from stage I to IV, rises back through the stages, and then enters rapid eye movement, or REM, sleep.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types differ markedly. Slow-wave or “quiet” sleep involves slowly drifting eyes and difficulty awakening. REM brain activity resembles wakefulness, but the body is paralyzed except for the eyes; males develop erections, and most dreams occur in this phase. A healthy night includes four or five cycles. A sleep researcher jokingly linked the features: dreams fly through the ether, and erections act as receiving antennas.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best answer to why we sleep is that daytime wear requires bodily repair. Growth hormone is released during sleep; the brain and other organs are repaired, food requirements fall, and the immune system works. Sleep deprivation offers the strongest evidence: people do not die dramatically but become sick and then die. A favored analogy is car repair: first switch off the engine and let the car settle, then work on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complementary account holds that sleep evolved to conserve energy and keep people out of nighttime trouble. These accounts are compatible: the first explains why sleep is needed, the second broadly why at night. There is also bad news: sleep disorders and strange side effects of sleeping pills such as Ambien. Some people sleepwalk downstairs, open the refrigerator, and eat large amounts; more seriously, some are compelled to drive while asleep.</w:t>
      </w:r>
    </w:p>
    <w:p>
      <w:pPr>
        <w:spacing w:before="240" w:after="80" w:line="312" w:lineRule="auto"/>
      </w:pPr>
      <w:r>
        <w:rPr>
          <w:rFonts w:ascii="Calibri" w:hAnsi="Calibri" w:cs="Calibri" w:eastAsia="PingFang SC"/>
          <w:b/>
          <w:color w:val="175244"/>
          <w:sz w:val="22"/>
          <w:szCs w:val="22"/>
        </w:rPr>
        <w:t xml:space="preserve">Dreams: Hamlet's Reason and the Memory-Backup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Dreams are the deepest mystery. Hamlet's two-column “to live or die” list gives reasons to die—“the slings and arrows of outrageous fortune,” “a sea of troubles,” and “the thousand natural shocks that flesh is heir to”—but only one reason not to: nightmares. Two philosophical questions also have answers. You are not dreaming now, unless actually asleep. One generally cannot be immoral in a dream, except in lucid dreams, where one chooses content and may encourage morally objectionable habits of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distinguish genuine dreams from sleep thought. A genuine dream has you wrestling a chicken in a submarine as your grandmother watches disapprovingly. Sleep thought is pre- or post-sleep rumination: “Did I take out the garbage? Where is the garbage? Did I take it out?” People awakened from slow-wave sleep report the latter; those awakened during REM report “a monkey was eating my grandmother.”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Statistical patterns come from collected dream reports. Everyone dreams, though not everyone remembers, about three or four times nightly depending on sleep length. Dream memories are fragile and vanish rapidly, so remembering requires writing a dream diary immediately on waking. Hill's fifty thousand reports at dreambank.net support several generalizations: most dreams are negative, falling on the negative side of a one-to-ten scale, but are not nightmares. Tribal populations dream of more physical aggression than industrialized populations; men more than women; Americans more than Europeans.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Desired and actual dreams differ. Women want romance and adventure; men want sex with strangers. After the adolescent hormonal surge, only about ten percent of dreams contain explicit sexual material. The commonest dream is not falling, flying, public speaking, or public nudity, but being chased. Evolutionary psychologists and cognitive neuroscientists continue considering why this “primitive” dream is so widespread.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are dreams for? Freudian “disguised wish fulfillment” lacks support. A currently favored account treats dreams as by-products of memory consolidation. While the body rebuilds below the neck, memories are replayed and integrated across brain regions, like backing up a computer. During backup, random events enter awareness and are assembled into coherent stories. On this view, dreams have no adaptive function: they are epiphenomena of another system. This replaces “a cipher to interpret” with “a by-product to explain.” It remains interesting because content is constrained by the generating mechanism. The prevalence of being chased may reflect not symbolism but the sleeping brain's processing of threat-related information.</w:t>
      </w:r>
    </w:p>
    <w:p>
      <w:pPr>
        <w:spacing w:before="240" w:after="80" w:line="312" w:lineRule="auto"/>
      </w:pPr>
      <w:r>
        <w:rPr>
          <w:rFonts w:ascii="Calibri" w:hAnsi="Calibri" w:cs="Calibri" w:eastAsia="PingFang SC"/>
          <w:b/>
          <w:color w:val="175244"/>
          <w:sz w:val="22"/>
          <w:szCs w:val="22"/>
        </w:rPr>
        <w:t xml:space="preserve">Laughter: The Real Mystery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Laughter is a major puzzle from the outset. Evolutionarily, pursuing sex, food, drink, and sleep is unsurprising; so are understanding language, seeing the world, and forming groups. The oddity is making this strange noise in peculiar situations, something psychology long failed to explain. A neuroscience-textbook guess proposes that we laugh when expectations and outcomes are incongruous but not frightening. It is thoroughly wrong: it does not explain why nonfrightening incongruity produces loud, staccato sounds lasting one fifteenth of a second, separated by one fifth of a second. Nor does incongruity itself cause laughter: a plate of fruit in the doorway is incongruous, but nobody points and howls.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Robert Provine did something previously unattempted: he and his students went to malls and other places to observe when people laughed and record the triggers. Across more than a thousand laughter-provoking situations, remarks included “See you later,” “Look, it's Andre,” “Are you sure?”, “I know,” “How are you?”, and “I try to lead a normal life.” Only about ten percent could later be recoded as truly humorous. Laughter must therefore be studied separately from jokes and humor.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Laughter is social and communicative, most directly evidenced by its loudness. Hunger can be silent; laughter cannot. Loud sounds evolve to convey information to others. Laughter is also contagious: laugh tracks made shows much funnier, and drumbeats after punchlines imitate laughter. Children are particularly susceptible. Other primates laugh too, in revealing contexts: monkeys make laughter-like sounds when attacking, and chimpanzees laugh when tickled.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resulting theory treats laughter as a signal of mock aggression and collective aggression. Most laughter contains some aggression, but weakened and not genuine; laughter signals “this is not real.” Collective violence such as mob attacks, executions, and lynchings often accompanies laughter, which signals solidarity to companions. Plato's older version calls laughter the sound of allying against a common enemy. Comedians have never missed its aggression.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Humor's recipe can thus be separated into components. There must be a target suffering some harm—an enemy, friend, or oneself—but not harm severe enough to evoke fear, sadness, or sympathy. A stranger slipping on a banana peel and landing on their backside is funny; a bloody head injury is less so. Funny harm therefore tends toward embarrassment, sex, obscenity, cream pies in faces, and falling trousers: no real damage, no activated sympathy, and aggression released. Some surprise is also needed, explaining infant laughter. Zachary laughs when Rabbit climbs a high shelf in </w:t>
      </w:r>
      <w:r>
        <w:rPr>
          <w:rFonts w:ascii="Calibri" w:hAnsi="Calibri" w:cs="Calibri" w:eastAsia="PingFang SC"/>
          <w:i/>
          <w:color w:val="3D3A33"/>
          <w:sz w:val="22"/>
          <w:szCs w:val="22"/>
        </w:rPr>
        <w:t xml:space="preserve">Winnie the Pooh and the Blustery Day</w:t>
      </w:r>
      <w:r>
        <w:rPr>
          <w:rFonts w:ascii="Calibri" w:hAnsi="Calibri" w:cs="Calibri" w:eastAsia="PingFang SC"/>
          <w:color w:val="3D3A33"/>
          <w:sz w:val="22"/>
          <w:szCs w:val="22"/>
        </w:rPr>
        <w:t xml:space="preserve"> and everything crashes onto him. Rabbit does not die; he is merely stunned.</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first impression sets a framework from which you interpret everything else."</w:t>
      </w:r>
    </w:p>
    <w:p>
      <w:pPr>
        <w:spacing w:before="0" w:after="160" w:line="312" w:lineRule="auto"/>
      </w:pPr>
      <w:r>
        <w:rPr>
          <w:rFonts w:ascii="Calibri" w:hAnsi="Calibri" w:cs="Calibri" w:eastAsia="PingFang SC"/>
          <w:color w:val="3D3A33"/>
          <w:sz w:val="22"/>
          <w:szCs w:val="22"/>
        </w:rPr>
        <w:t xml:space="preserve">Following Kelley's warm/cold speaker study, this summarizes how first impressions work: not preliminary information awaiting revision, but a framework interpreting everything that follows.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after clips of five seconds people are pretty good at predicting what sort of evaluations that person will have."</w:t>
      </w:r>
    </w:p>
    <w:p>
      <w:pPr>
        <w:spacing w:before="0" w:after="160" w:line="312" w:lineRule="auto"/>
      </w:pPr>
      <w:r>
        <w:rPr>
          <w:rFonts w:ascii="Calibri" w:hAnsi="Calibri" w:cs="Calibri" w:eastAsia="PingFang SC"/>
          <w:color w:val="3D3A33"/>
          <w:sz w:val="22"/>
          <w:szCs w:val="22"/>
        </w:rPr>
        <w:t xml:space="preserve">The central thin-slice result demonstrates that judging someone requires no lengthy acquaintance: five seconds of classroom footage predicts teaching evaluations.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difference between a lady and a flower girl is not how she behaves but how she's treated."</w:t>
      </w:r>
    </w:p>
    <w:p>
      <w:pPr>
        <w:spacing w:before="0" w:after="160" w:line="312" w:lineRule="auto"/>
      </w:pPr>
      <w:r>
        <w:rPr>
          <w:rFonts w:ascii="Calibri" w:hAnsi="Calibri" w:cs="Calibri" w:eastAsia="PingFang SC"/>
          <w:color w:val="3D3A33"/>
          <w:sz w:val="22"/>
          <w:szCs w:val="22"/>
        </w:rPr>
        <w:t xml:space="preserve">From Shaw's </w:t>
      </w:r>
      <w:r>
        <w:rPr>
          <w:rFonts w:ascii="Calibri" w:hAnsi="Calibri" w:cs="Calibri" w:eastAsia="PingFang SC"/>
          <w:i/>
          <w:color w:val="3D3A33"/>
          <w:sz w:val="22"/>
          <w:szCs w:val="22"/>
        </w:rPr>
        <w:t xml:space="preserve">Pygmalion</w:t>
      </w:r>
      <w:r>
        <w:rPr>
          <w:rFonts w:ascii="Calibri" w:hAnsi="Calibri" w:cs="Calibri" w:eastAsia="PingFang SC"/>
          <w:color w:val="3D3A33"/>
          <w:sz w:val="22"/>
          <w:szCs w:val="22"/>
        </w:rPr>
        <w:t xml:space="preserve">, the origin of the effect's name and the shortest formulation of the claim that treatment determines who one becomes.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for instance, it's a moral principle that some of us would hold to that even if stereotypes are correct it is still immoral to apply them in day to day life."</w:t>
      </w:r>
    </w:p>
    <w:p>
      <w:pPr>
        <w:spacing w:before="0" w:after="160" w:line="312" w:lineRule="auto"/>
      </w:pPr>
      <w:r>
        <w:rPr>
          <w:rFonts w:ascii="Calibri" w:hAnsi="Calibri" w:cs="Calibri" w:eastAsia="PingFang SC"/>
          <w:color w:val="3D3A33"/>
          <w:sz w:val="22"/>
          <w:szCs w:val="22"/>
        </w:rPr>
        <w:t xml:space="preserve">This principle in the morality discussion separates accuracy from legitimacy: even statistically valid generalizations may be immoral when applied to individuals.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turns out when you do that women get hired far more suggesting that the stereotype is A, incorrect and B, has a real negative and unfair effect on people getting hired."</w:t>
      </w:r>
    </w:p>
    <w:p>
      <w:pPr>
        <w:spacing w:before="0" w:after="160" w:line="312" w:lineRule="auto"/>
      </w:pPr>
      <w:r>
        <w:rPr>
          <w:rFonts w:ascii="Calibri" w:hAnsi="Calibri" w:cs="Calibri" w:eastAsia="PingFang SC"/>
          <w:color w:val="3D3A33"/>
          <w:sz w:val="22"/>
          <w:szCs w:val="22"/>
        </w:rPr>
        <w:t xml:space="preserve">The classical-music blind-audition conclusion rejects both the accuracy and the legitimacy of stereotypes concerning female musicians.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it is a stereotype but it's a statistically robust one and nobody lines up to protest this."</w:t>
      </w:r>
    </w:p>
    <w:p>
      <w:pPr>
        <w:spacing w:before="0" w:after="160" w:line="312" w:lineRule="auto"/>
      </w:pPr>
      <w:r>
        <w:rPr>
          <w:rFonts w:ascii="Calibri" w:hAnsi="Calibri" w:cs="Calibri" w:eastAsia="PingFang SC"/>
          <w:color w:val="3D3A33"/>
          <w:sz w:val="22"/>
          <w:szCs w:val="22"/>
        </w:rPr>
        <w:t xml:space="preserve">Higher premiums for young drivers illustrate that some obvious stereotypes are widely accepted, showing the complex moral boundaries of the issue.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finding is that if your race or your group has a negative stereotype associated with it in any particular domain, being reminded of it serves as a stereotype threat and hence damages your performance in all sorts of domains."</w:t>
      </w:r>
    </w:p>
    <w:p>
      <w:pPr>
        <w:spacing w:before="0" w:after="160" w:line="312" w:lineRule="auto"/>
      </w:pPr>
      <w:r>
        <w:rPr>
          <w:rFonts w:ascii="Calibri" w:hAnsi="Calibri" w:cs="Calibri" w:eastAsia="PingFang SC"/>
          <w:color w:val="3D3A33"/>
          <w:sz w:val="22"/>
          <w:szCs w:val="22"/>
        </w:rPr>
        <w:t xml:space="preserve">Introducing Claude Steele's stereotype threat, this emphasizes that a reminder alone is enough; no external discriminatory act is required.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there's two answers to this. One answer is there are times in your life where half a second can matter a lot."</w:t>
      </w:r>
    </w:p>
    <w:p>
      <w:pPr>
        <w:spacing w:before="0" w:after="160" w:line="312" w:lineRule="auto"/>
      </w:pPr>
      <w:r>
        <w:rPr>
          <w:rFonts w:ascii="Calibri" w:hAnsi="Calibri" w:cs="Calibri" w:eastAsia="PingFang SC"/>
          <w:color w:val="3D3A33"/>
          <w:sz w:val="22"/>
          <w:szCs w:val="22"/>
        </w:rPr>
        <w:t xml:space="preserve">The response to dismissing a mere half-second IAT difference as unimportant, followed by the example of police making split-second shooting decisions.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order to not act in a stereotyped fashion, we have to consciously push them down, we have to consciously override them, and that's possible, but it takes work."</w:t>
      </w:r>
    </w:p>
    <w:p>
      <w:pPr>
        <w:spacing w:before="0" w:after="160" w:line="312" w:lineRule="auto"/>
      </w:pPr>
      <w:r>
        <w:rPr>
          <w:rFonts w:ascii="Calibri" w:hAnsi="Calibri" w:cs="Calibri" w:eastAsia="PingFang SC"/>
          <w:color w:val="3D3A33"/>
          <w:sz w:val="22"/>
          <w:szCs w:val="22"/>
        </w:rPr>
        <w:t xml:space="preserve">The key step in Devine's automaticity theory: stereotypes activate automatically, and acting otherwise requires additional effort rather than occurring by default.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rather, "Let's set up a system so that your prejudices can't work," the blind auditions, for instance, being a beautiful example of that."</w:t>
      </w:r>
    </w:p>
    <w:p>
      <w:pPr>
        <w:spacing w:before="0" w:after="160" w:line="312" w:lineRule="auto"/>
      </w:pPr>
      <w:r>
        <w:rPr>
          <w:rFonts w:ascii="Calibri" w:hAnsi="Calibri" w:cs="Calibri" w:eastAsia="PingFang SC"/>
          <w:color w:val="3D3A33"/>
          <w:sz w:val="22"/>
          <w:szCs w:val="22"/>
        </w:rPr>
        <w:t xml:space="preserve">The group-level answer to “What can we do?”: rather than ask individuals to overcome prejudice, design processes where it cannot operate.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African Americans also are biased against African Americans and in favor of white Americans, showing it doesn't reduce to group favoritism though that probably plays a big role."</w:t>
      </w:r>
    </w:p>
    <w:p>
      <w:pPr>
        <w:spacing w:before="0" w:after="160" w:line="312" w:lineRule="auto"/>
      </w:pPr>
      <w:r>
        <w:rPr>
          <w:rFonts w:ascii="Calibri" w:hAnsi="Calibri" w:cs="Calibri" w:eastAsia="PingFang SC"/>
          <w:color w:val="3D3A33"/>
          <w:sz w:val="22"/>
          <w:szCs w:val="22"/>
        </w:rPr>
        <w:t xml:space="preserve">This distinguishes stereotypes from in-group favoritism: favoring one's own alone would not produce the same-direction effect in African American participants.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stop sleeping you die. You don't die in some dramatic way. You get sick and then you die, suggesting that sleeping is good to keep you healthy."</w:t>
      </w:r>
    </w:p>
    <w:p>
      <w:pPr>
        <w:spacing w:before="0" w:after="160" w:line="312" w:lineRule="auto"/>
      </w:pPr>
      <w:r>
        <w:rPr>
          <w:rFonts w:ascii="Calibri" w:hAnsi="Calibri" w:cs="Calibri" w:eastAsia="PingFang SC"/>
          <w:color w:val="3D3A33"/>
          <w:sz w:val="22"/>
          <w:szCs w:val="22"/>
        </w:rPr>
        <w:t xml:space="preserve">The extreme evidence in the sleep-function discussion shows that sleep's relationship to health is mandatory rather than optional.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sleep, perchance to dream, for in that sleep of death what dreams may come when we have shuffled off this mortal coil might give us pause."</w:t>
      </w:r>
    </w:p>
    <w:p>
      <w:pPr>
        <w:spacing w:before="0" w:after="160" w:line="312" w:lineRule="auto"/>
      </w:pPr>
      <w:r>
        <w:rPr>
          <w:rFonts w:ascii="Calibri" w:hAnsi="Calibri" w:cs="Calibri" w:eastAsia="PingFang SC"/>
          <w:color w:val="3D3A33"/>
          <w:sz w:val="22"/>
          <w:szCs w:val="22"/>
        </w:rPr>
        <w:t xml:space="preserve">Hamlet's soliloquy introduces dreams and shows that, on his two-column list, the only reason not to die is fear of nightmares.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"From this perspective, dreams serve no adaptive function at all but rather they're epiphenomena."</w:t>
      </w:r>
    </w:p>
    <w:p>
      <w:pPr>
        <w:spacing w:before="0" w:after="160" w:line="312" w:lineRule="auto"/>
      </w:pPr>
      <w:r>
        <w:rPr>
          <w:rFonts w:ascii="Calibri" w:hAnsi="Calibri" w:cs="Calibri" w:eastAsia="PingFang SC"/>
          <w:color w:val="3D3A33"/>
          <w:sz w:val="22"/>
          <w:szCs w:val="22"/>
        </w:rPr>
        <w:t xml:space="preserve">The memory-consolidation hypothesis concludes that dreams are backup-process by-products without an adaptive function, replacing a cipher to interpret with a by-product to explain.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"Tragedy is when I cut my finger. Comedy is when you fall in an open sewer and die."</w:t>
      </w:r>
    </w:p>
    <w:p>
      <w:pPr>
        <w:spacing w:before="0" w:after="160" w:line="312" w:lineRule="auto"/>
      </w:pPr>
      <w:r>
        <w:rPr>
          <w:rFonts w:ascii="Calibri" w:hAnsi="Calibri" w:cs="Calibri" w:eastAsia="PingFang SC"/>
          <w:color w:val="3D3A33"/>
          <w:sz w:val="22"/>
          <w:szCs w:val="22"/>
        </w:rPr>
        <w:t xml:space="preserve">Mel Brooks's distinction between tragedy and comedy highlights a central humor ingredient: harm must befall someone else and not be serious enough to evoke sympathy.</w:t>
      </w:r>
    </w:p>
    <w:p>
      <w:pPr>
        <w:spacing w:before="240" w:after="80" w:line="312" w:lineRule="auto"/>
      </w:pPr>
      <w:r>
        <w:rPr>
          <w:rFonts w:ascii="Calibri" w:hAnsi="Calibri" w:cs="Calibri" w:eastAsia="PingFang SC"/>
          <w:b/>
          <w:color w:val="9E3D34"/>
          <w:sz w:val="26"/>
          <w:szCs w:val="26"/>
        </w:rPr>
        <w:t xml:space="preserve">Novel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Stereotypes are normal products of category learning, not cognitive defects</w:t>
      </w:r>
      <w:r>
        <w:rPr>
          <w:rFonts w:ascii="Calibri" w:hAnsi="Calibri" w:cs="Calibri" w:eastAsia="PingFang SC"/>
          <w:color w:val="3D3A33"/>
          <w:sz w:val="22"/>
          <w:szCs w:val="22"/>
        </w:rPr>
        <w:t xml:space="preserve"> — Placing “chairs can be sat on, apples eaten, dogs bark” in the same mechanism as generalizations about people removes the idea that only defective people stereotype. The issue shifts from having generalizations to two specific questions: whether data are representative, and whether using them here is legitimate.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Implicit prejudice cannot be reduced to in-group favoritism</w:t>
      </w:r>
      <w:r>
        <w:rPr>
          <w:rFonts w:ascii="Calibri" w:hAnsi="Calibri" w:cs="Calibri" w:eastAsia="PingFang SC"/>
          <w:color w:val="3D3A33"/>
          <w:sz w:val="22"/>
          <w:szCs w:val="22"/>
        </w:rPr>
        <w:t xml:space="preserve"> — If the IAT measured only favoring one's own, African American participants should show pro-African-American associations. Instead, like white participants, they show anti-African-American, pro-white associations. This pushes explanation toward culturally circulating associations absorbed by everyone rather than group loyalty, and explains why minority members also hold associations detrimental to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Solving prejudice requires changing processes, not motivations</w:t>
      </w:r>
      <w:r>
        <w:rPr>
          <w:rFonts w:ascii="Calibri" w:hAnsi="Calibri" w:cs="Calibri" w:eastAsia="PingFang SC"/>
          <w:color w:val="3D3A33"/>
          <w:sz w:val="22"/>
          <w:szCs w:val="22"/>
        </w:rPr>
        <w:t xml:space="preserve"> — Blind auditions increase women's hiring; actively soliciting lists brings forgotten qualified people into discussion. Neither requires morally improved judges. Counterintuitively, this engineers a moral problem: if willpower cannot reliably switch prejudice off, design away its opening. This works much better than “please be fairer.”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Dreams may have no function at all</w:t>
      </w:r>
      <w:r>
        <w:rPr>
          <w:rFonts w:ascii="Calibri" w:hAnsi="Calibri" w:cs="Calibri" w:eastAsia="PingFang SC"/>
          <w:color w:val="3D3A33"/>
          <w:sz w:val="22"/>
          <w:szCs w:val="22"/>
        </w:rPr>
        <w:t xml:space="preserve"> — The memory-consolidation hypothesis treats dreams as random events entering awareness and becoming stories while the brain backs itself up. They are epiphenomena, not adaptations. This rejects the common premise of Freud and folk interpretation: dreams need not carry meaning to merit study; they may instead be fingerprints of the mechanism generating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Laughter and jokes are separable problems</w:t>
      </w:r>
      <w:r>
        <w:rPr>
          <w:rFonts w:ascii="Calibri" w:hAnsi="Calibri" w:cs="Calibri" w:eastAsia="PingFang SC"/>
          <w:color w:val="3D3A33"/>
          <w:sz w:val="22"/>
          <w:szCs w:val="22"/>
        </w:rPr>
        <w:t xml:space="preserve"> — Provine's mall observations show that most laughter-triggering remarks are not humorous: “See you later” and “Are you sure?” suffice. Once separated, laughter reveals itself as a loud, contagious social signal, with humor only one of many triggers.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Humor requires a harmed other</w:t>
      </w:r>
      <w:r>
        <w:rPr>
          <w:rFonts w:ascii="Calibri" w:hAnsi="Calibri" w:cs="Calibri" w:eastAsia="PingFang SC"/>
          <w:color w:val="3D3A33"/>
          <w:sz w:val="22"/>
          <w:szCs w:val="22"/>
        </w:rPr>
        <w:t xml:space="preserve"> — The recipe combines a harmed target, harm insufficient to evoke fear, sadness, or sympathy, and some surprise; each is necessary. Humor shifts from intelligence or pleasure toward attenuated aggression, explaining why embarrassment, sex, obscenity, and cream pies—harm without real damage—are so funny.</w:t>
      </w:r>
    </w:p>
    <w:p>
      <w:pPr>
        <w:spacing w:before="240" w:after="80" w:line="312" w:lineRule="auto"/>
      </w:pPr>
      <w:r>
        <w:rPr>
          <w:rFonts w:ascii="Calibri" w:hAnsi="Calibri" w:cs="Calibri" w:eastAsia="PingFang SC"/>
          <w:b/>
          <w:color w:val="9E3D34"/>
          <w:sz w:val="26"/>
          <w:szCs w:val="26"/>
        </w:rPr>
        <w:t xml:space="preserve">Counterintuitive Findings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First impressions are preliminary and naturally corrected by fuller acquaintance.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They establish interpretive frameworks: identical behavior becomes talent or nervous twitching depending on prior labels. Kelley's speaker study and the sniper case's nonexistent white van show later information mostly supplying confirmation.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Stereotypes are inaccurate prejudices, and fewer is better.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Category generalizations are often accurate; answers about who is likelier to be a lawyer or taller are nonrandom. Survival requires this ability. The real issues are representative sources and legitimate application.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Stereotype threat is discrimination victims being oversensitive; without external discrimination nothing happens.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Merely reminding people of group identity before a test lowers scores without any discriminatory act. An ostensibly fair testing process may itself create inequality.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Explicitly rejecting racism guarantees fair treatment.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With mediocre recommendations requiring judgment, participants significantly prefer white applicants; strong recommendations eliminate the difference. The consistency across 1989, 1999, and about a year and a half earlier shows prejudice working in the gaps of insufficient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Dreams contain meaningful psychological material, perhaps wish fulfillment, prediction, or symbolism.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Their statistics are mundane: mostly mildly negative but not nightmares, most commonly being chased, and about ten percent explicitly sexual. A currently better-supported account treats them as memory-consolidation by-products without adaptive 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Laughter responds to humor.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Of over a thousand mall laughter episodes, only about ten percent of triggers were later coded as humorous. The rest were ordinary remarks such as “See you later” and “I know.” Loudness and contagion indicate that laughter is primarily a signal to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Tickling is playful physical contact, and laughter means it feels pleasant.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Tickling can be defined as touching the body in mock-attack fashion; laughter signals “this is pretend aggression.” This also explains why self-tickling fails: no surprise and no mock attack.</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Cognitive Necessity and Moral Unacceptability of Stereotypes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Survival requires generalization—chairs suggest sitting and apples probable edibility. Generalizations about people share this origin, are often accurate, and can be positive.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Even statistically correct generalizations about people can be immoral; this is profiling. The same generalization about dogs provokes no protest, but humans are another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 unified criterion is supplied. Young-driver versus ethnic-group insurance premiums instead illustrate the blurred boundary, explicitly leaving open which generalizations are reasonable.</w:t>
      </w:r>
    </w:p>
    <w:p>
      <w:pPr>
        <w:spacing w:before="0" w:after="160" w:line="312" w:lineRule="auto"/>
      </w:pPr>
      <w:r>
        <w:rPr>
          <w:rFonts w:ascii="Calibri" w:hAnsi="Calibri" w:cs="Calibri" w:eastAsia="PingFang SC"/>
          <w:b/>
          <w:color w:val="3D3A33"/>
          <w:sz w:val="22"/>
          <w:szCs w:val="22"/>
        </w:rPr>
        <w:t xml:space="preserve">Accuracy and Fairness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Blind auditions show stereotypes of female musicians are inaccurate and materially depress hiring. At least some stereotypes must therefore be corrected as errors.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Young drivers' higher accident rates are statistically robust, and higher premiums are considered acceptable, showing that accuracy can sometimes license generalization.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Accuracy and morality are separated into independent axes, without specifying when an accurate generalization may be applied.</w:t>
      </w:r>
    </w:p>
    <w:p>
      <w:pPr>
        <w:spacing w:before="0" w:after="160" w:line="312" w:lineRule="auto"/>
      </w:pPr>
      <w:r>
        <w:rPr>
          <w:rFonts w:ascii="Calibri" w:hAnsi="Calibri" w:cs="Calibri" w:eastAsia="PingFang SC"/>
          <w:b/>
          <w:color w:val="3D3A33"/>
          <w:sz w:val="22"/>
          <w:szCs w:val="22"/>
        </w:rPr>
        <w:t xml:space="preserve">Institutional and Individual Solutions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Blind review, blind auditions, and active solicitation of underrepresented candidate lists change results without changing anyone's mindset; they can be implemented immediately.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Individual improvement is difficult. The student's question receives a weaker answer: recognize one's biases and do not be satisfied with believing oneself unbiased.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Clear feasible institutional options contrast with explicitly acknowledged individual uncertainty. This asymmetry itself rejects the common belief that awareness alone solves prejudice.</w:t>
      </w:r>
    </w:p>
    <w:p>
      <w:pPr>
        <w:spacing w:before="0" w:after="160" w:line="312" w:lineRule="auto"/>
      </w:pPr>
      <w:r>
        <w:rPr>
          <w:rFonts w:ascii="Calibri" w:hAnsi="Calibri" w:cs="Calibri" w:eastAsia="PingFang SC"/>
          <w:b/>
          <w:color w:val="3D3A33"/>
          <w:sz w:val="22"/>
          <w:szCs w:val="22"/>
        </w:rPr>
        <w:t xml:space="preserve">Two Endings for Mysteries: Sleep, Dreams, and Laughter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Sleep is largely explained. Bodily repair, growth hormone, immunity, energy conservation, and avoidance of nighttime trouble converge on a functional account.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Dreams are called an absolute mystery, laughter the real mystery. Dreams-as-consolidation-by-products and laughter-as-mock-aggression-signals remain nondecisive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unresolved. The lecturer describes himself as flailing among ideas; even favored conclusions are merely currently popular possibilities.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Thin-slice judgment paradigm</w:t>
      </w:r>
      <w:r>
        <w:rPr>
          <w:rFonts w:ascii="Calibri" w:hAnsi="Calibri" w:cs="Calibri" w:eastAsia="PingFang SC"/>
          <w:color w:val="3D3A33"/>
          <w:sz w:val="22"/>
          <w:szCs w:val="22"/>
        </w:rPr>
        <w:t xml:space="preserve">: Presents extremely brief behavioral samples to uninformed raters, then compares judgments with actual outcomes to measure social judgment's speed and accuracy.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Record behavior in real settings, such as college classes or interviews.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Present brief clips—five seconds or about one second—to strangers for ratings or judgments.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ratings with outcomes such as teaching evaluations and self-rated personality, testing better-than-chance accuracy.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Conceal the true research question, such as sexual orientation, to avoid demand-characteristic contamination.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Expectation manipulation experiment, testing the Pygmalion effect</w:t>
      </w:r>
      <w:r>
        <w:rPr>
          <w:rFonts w:ascii="Calibri" w:hAnsi="Calibri" w:cs="Calibri" w:eastAsia="PingFang SC"/>
          <w:color w:val="3D3A33"/>
          <w:sz w:val="22"/>
          <w:szCs w:val="22"/>
        </w:rPr>
        <w:t xml:space="preserve">: Creates expectations through false predictions to teachers, then tests whether targets change.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Test all students and randomly designate some as about to show IQ gains.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Give teachers this false information, creating expectations unrelated to actual ability.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Retest IQ at term's end for relative improvement among designated students.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Explain mediation: teachers redistribute attention, responses, and patience, so investment changes rather than something intrinsic to the students.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Implicit Attitudes Test, IAT</w:t>
      </w:r>
      <w:r>
        <w:rPr>
          <w:rFonts w:ascii="Calibri" w:hAnsi="Calibri" w:cs="Calibri" w:eastAsia="PingFang SC"/>
          <w:color w:val="3D3A33"/>
          <w:sz w:val="22"/>
          <w:szCs w:val="22"/>
        </w:rPr>
        <w:t xml:space="preserve">: Measures automatic associations through classification reaction-time differences, bypassing self-report and impression management.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Prepare two target groups and two classes of valenced words, positive and negative.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Have participants make binary classifications under two pairing rules: one “congruent,” such as African-American-plus-bad/white-plus-good, and the reverse.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reaction times and errors across blocks, using differences to index association direction.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Use the same-direction effect in African American participants to rule out pure in-group favoritism. Extend the paradigm to gender, age, weight, and sexual orientation.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Blind testing as diagnosis and solution: blind audition / blind review</w:t>
      </w:r>
      <w:r>
        <w:rPr>
          <w:rFonts w:ascii="Calibri" w:hAnsi="Calibri" w:cs="Calibri" w:eastAsia="PingFang SC"/>
          <w:color w:val="3D3A33"/>
          <w:sz w:val="22"/>
          <w:szCs w:val="22"/>
        </w:rPr>
        <w:t xml:space="preserve">: Removes identity information from evaluation, testing stereotype accuracy and actual harm simultaneously.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Have musicians audition behind a screen, or conceal authors' and applicants' names and genders from evaluators.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hiring or acceptance rates before and after identity removal.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 difference aligned with the stereotype indicates that the stereotype is inaccurate and active.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Apply the same design as intervention: not greater individual effort, but no opening for prejudice.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EEG sleep staging in the sleep laboratory</w:t>
      </w:r>
      <w:r>
        <w:rPr>
          <w:rFonts w:ascii="Calibri" w:hAnsi="Calibri" w:cs="Calibri" w:eastAsia="PingFang SC"/>
          <w:color w:val="3D3A33"/>
          <w:sz w:val="22"/>
          <w:szCs w:val="22"/>
        </w:rPr>
        <w:t xml:space="preserve">: Records scalp electrical activity to identify sleep stages and compares reports following awakening at different stages.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Bring participants to a sleep laboratory, attach electrodes, and record overnight.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Classify waveforms: fast beta in alert wakefulness, large regular alpha in relaxed wakefulness, and slow irregular high-amplitude delta in deep sleep.</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Track nightly cycles, deepening from I to IV, rising again, and entering REM.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Awaken participants in slow-wave and REM sleep and compare reports: garbage-related thought versus narrative dreams.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Naturalistic observation and retrospective coding: Provine's laughter research</w:t>
      </w:r>
      <w:r>
        <w:rPr>
          <w:rFonts w:ascii="Calibri" w:hAnsi="Calibri" w:cs="Calibri" w:eastAsia="PingFang SC"/>
          <w:color w:val="3D3A33"/>
          <w:sz w:val="22"/>
          <w:szCs w:val="22"/>
        </w:rPr>
        <w:t xml:space="preserve">: Records original laughter-triggering utterances in natural settings, then recategorizes them to separate laughter from jokes.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Researchers and students observe public settings such as malls and record conversation surrounding laughter.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Accumulate a sufficient sample—over a thousand laughter episodes.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Recode triggers afterward and count those classifiable as humorous, discovering that most laughter is unrelated to jokes.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seconds — Classroom clips of this length predict students' teaching evaluations in thin-slice studies.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second — Exposure needed for slightly better-than-chance sexual-orientation judgments; gay men judge more accurately than heterosexuals.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Half a second — The approximate reaction-time difference between IAT pairing blocks, used to answer claims of unimportance.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million people — IAT participants, making it the largest psychology experiment ever; available at implicit.harvard.edu.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1989 / 1999 / about a year and a half earlier — Dovidio's hiring studies consistently found white applicants favored when mediocre recommendations required a judgment call.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half → nearly one hundred percent — The increase over decades in publicly expressed willingness to vote for an African American president by the time of recording.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one-to-ten scale, mostly on the negative side — Dream valence, with 5.5 as midpoint; most dreams are negative but far from nightmares.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Fifty thousand dream reports — Hill's dreambank.net collection, providing the data for generalizations about dream content.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to four times nightly — Everyone's approximate dream frequency, depending on sleep duration, though not everyone remembers.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ten percent — Dreams with explicit sexual content after the adolescent hormonal peak.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to five — Cycles in a good night's sleep.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 eight hours / seven / six / five — Sleep durations in the classroom show of hands, illustrating large individual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Forty-two minutes / eleven hours — Changing sleep “bragging” standards, from “I sleep only forty-two minutes a night” to “I sleep eleven hours.”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 a thousand laughter episodes — Provine's observed sample in malls and elsewhere; only about ten percent of triggers were retrospectively coded humorous.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fifteenth / one fifth of a second — Laughter's acoustic structure: staccato segments lasting one fifteenth of a second separated by one-fifth-second intervals.</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03"/>
        <w:gridCol w:w="2049"/>
        <w:gridCol w:w="5408"/>
      </w:tblGrid>
      <w:tr>
        <w:trPr>
          <w:tblHeader/>
        </w:trPr>
        <w:tc>
          <w:tcPr>
            <w:tcW w:w="1903"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049"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5408"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1903" w:type="dxa"/>
          </w:tcPr>
          <w:p>
            <w:pPr>
              <w:spacing w:before="0" w:after="0" w:line="312" w:lineRule="auto"/>
            </w:pPr>
            <w:r>
              <w:rPr>
                <w:rFonts w:ascii="Calibri" w:hAnsi="Calibri" w:cs="Calibri" w:eastAsia="PingFang SC"/>
                <w:color w:val="3D3A33"/>
                <w:sz w:val="22"/>
                <w:szCs w:val="22"/>
              </w:rPr>
              <w:t xml:space="preserve">confirmation bias</w:t>
            </w:r>
          </w:p>
        </w:tc>
        <w:tc>
          <w:tcPr>
            <w:tcW w:w="2049" w:type="dxa"/>
          </w:tcPr>
          <w:p>
            <w:pPr>
              <w:spacing w:before="0" w:after="0" w:line="312" w:lineRule="auto"/>
            </w:pPr>
            <w:r>
              <w:rPr>
                <w:rFonts w:ascii="Calibri" w:hAnsi="Calibri" w:cs="Calibri" w:eastAsia="PingFang SC"/>
                <w:color w:val="3D3A33"/>
                <w:sz w:val="22"/>
                <w:szCs w:val="22"/>
              </w:rPr>
              <w:t xml:space="preserve">confirmation bias</w:t>
            </w:r>
          </w:p>
        </w:tc>
        <w:tc>
          <w:tcPr>
            <w:tcW w:w="5408" w:type="dxa"/>
          </w:tcPr>
          <w:p>
            <w:pPr>
              <w:spacing w:before="0" w:after="0" w:line="312" w:lineRule="auto"/>
            </w:pPr>
            <w:r>
              <w:rPr>
                <w:rFonts w:ascii="Calibri" w:hAnsi="Calibri" w:cs="Calibri" w:eastAsia="PingFang SC"/>
                <w:color w:val="3D3A33"/>
                <w:sz w:val="22"/>
                <w:szCs w:val="22"/>
              </w:rPr>
              <w:t xml:space="preserve">Once a belief forms, later information is encoded to support it; explains first-impression lock-in and stereotype reinforcement.</w:t>
            </w:r>
          </w:p>
        </w:tc>
      </w:tr>
      <w:tr>
        <w:tc>
          <w:tcPr>
            <w:tcW w:w="1903" w:type="dxa"/>
          </w:tcPr>
          <w:p>
            <w:pPr>
              <w:spacing w:before="0" w:after="0" w:line="312" w:lineRule="auto"/>
            </w:pPr>
            <w:r>
              <w:rPr>
                <w:rFonts w:ascii="Calibri" w:hAnsi="Calibri" w:cs="Calibri" w:eastAsia="PingFang SC"/>
                <w:color w:val="3D3A33"/>
                <w:sz w:val="22"/>
                <w:szCs w:val="22"/>
              </w:rPr>
              <w:t xml:space="preserve">thin slices</w:t>
            </w:r>
          </w:p>
        </w:tc>
        <w:tc>
          <w:tcPr>
            <w:tcW w:w="2049" w:type="dxa"/>
          </w:tcPr>
          <w:p>
            <w:pPr>
              <w:spacing w:before="0" w:after="0" w:line="312" w:lineRule="auto"/>
            </w:pPr>
            <w:r>
              <w:rPr>
                <w:rFonts w:ascii="Calibri" w:hAnsi="Calibri" w:cs="Calibri" w:eastAsia="PingFang SC"/>
                <w:color w:val="3D3A33"/>
                <w:sz w:val="22"/>
                <w:szCs w:val="22"/>
              </w:rPr>
              <w:t xml:space="preserve">thin-slice judgments</w:t>
            </w:r>
          </w:p>
        </w:tc>
        <w:tc>
          <w:tcPr>
            <w:tcW w:w="5408" w:type="dxa"/>
          </w:tcPr>
          <w:p>
            <w:pPr>
              <w:spacing w:before="0" w:after="0" w:line="312" w:lineRule="auto"/>
            </w:pPr>
            <w:r>
              <w:rPr>
                <w:rFonts w:ascii="Calibri" w:hAnsi="Calibri" w:cs="Calibri" w:eastAsia="PingFang SC"/>
                <w:color w:val="3D3A33"/>
                <w:sz w:val="22"/>
                <w:szCs w:val="22"/>
              </w:rPr>
              <w:t xml:space="preserve">Judgments formed from extremely brief behavior samples, five seconds or about one second, often with better-than-chance accuracy; central evidence for rapid impression formation.</w:t>
            </w:r>
          </w:p>
        </w:tc>
      </w:tr>
      <w:tr>
        <w:tc>
          <w:tcPr>
            <w:tcW w:w="1903" w:type="dxa"/>
          </w:tcPr>
          <w:p>
            <w:pPr>
              <w:spacing w:before="0" w:after="0" w:line="312" w:lineRule="auto"/>
            </w:pPr>
            <w:r>
              <w:rPr>
                <w:rFonts w:ascii="Calibri" w:hAnsi="Calibri" w:cs="Calibri" w:eastAsia="PingFang SC"/>
                <w:color w:val="3D3A33"/>
                <w:sz w:val="22"/>
                <w:szCs w:val="22"/>
              </w:rPr>
              <w:t xml:space="preserve">Pygmalion effect</w:t>
            </w:r>
          </w:p>
        </w:tc>
        <w:tc>
          <w:tcPr>
            <w:tcW w:w="2049" w:type="dxa"/>
          </w:tcPr>
          <w:p>
            <w:pPr>
              <w:spacing w:before="0" w:after="0" w:line="312" w:lineRule="auto"/>
            </w:pPr>
            <w:r>
              <w:rPr>
                <w:rFonts w:ascii="Calibri" w:hAnsi="Calibri" w:cs="Calibri" w:eastAsia="PingFang SC"/>
                <w:color w:val="3D3A33"/>
                <w:sz w:val="22"/>
                <w:szCs w:val="22"/>
              </w:rPr>
              <w:t xml:space="preserve">Pygmalion effect</w:t>
            </w:r>
          </w:p>
        </w:tc>
        <w:tc>
          <w:tcPr>
            <w:tcW w:w="5408" w:type="dxa"/>
          </w:tcPr>
          <w:p>
            <w:pPr>
              <w:spacing w:before="0" w:after="0" w:line="312" w:lineRule="auto"/>
            </w:pPr>
            <w:r>
              <w:rPr>
                <w:rFonts w:ascii="Calibri" w:hAnsi="Calibri" w:cs="Calibri" w:eastAsia="PingFang SC"/>
                <w:color w:val="3D3A33"/>
                <w:sz w:val="22"/>
                <w:szCs w:val="22"/>
              </w:rPr>
              <w:t xml:space="preserve">A self-fulfilling prophecy in which believing someone has a trait encourages its actual expression; named after Shaw's play.</w:t>
            </w:r>
          </w:p>
        </w:tc>
      </w:tr>
      <w:tr>
        <w:tc>
          <w:tcPr>
            <w:tcW w:w="1903" w:type="dxa"/>
          </w:tcPr>
          <w:p>
            <w:pPr>
              <w:spacing w:before="0" w:after="0" w:line="312" w:lineRule="auto"/>
            </w:pPr>
            <w:r>
              <w:rPr>
                <w:rFonts w:ascii="Calibri" w:hAnsi="Calibri" w:cs="Calibri" w:eastAsia="PingFang SC"/>
                <w:color w:val="3D3A33"/>
                <w:sz w:val="22"/>
                <w:szCs w:val="22"/>
              </w:rPr>
              <w:t xml:space="preserve">stereotype</w:t>
            </w:r>
          </w:p>
        </w:tc>
        <w:tc>
          <w:tcPr>
            <w:tcW w:w="2049" w:type="dxa"/>
          </w:tcPr>
          <w:p>
            <w:pPr>
              <w:spacing w:before="0" w:after="0" w:line="312" w:lineRule="auto"/>
            </w:pPr>
            <w:r>
              <w:rPr>
                <w:rFonts w:ascii="Calibri" w:hAnsi="Calibri" w:cs="Calibri" w:eastAsia="PingFang SC"/>
                <w:color w:val="3D3A33"/>
                <w:sz w:val="22"/>
                <w:szCs w:val="22"/>
              </w:rPr>
              <w:t xml:space="preserve">stereotype</w:t>
            </w:r>
          </w:p>
        </w:tc>
        <w:tc>
          <w:tcPr>
            <w:tcW w:w="5408" w:type="dxa"/>
          </w:tcPr>
          <w:p>
            <w:pPr>
              <w:spacing w:before="0" w:after="0" w:line="312" w:lineRule="auto"/>
            </w:pPr>
            <w:r>
              <w:rPr>
                <w:rFonts w:ascii="Calibri" w:hAnsi="Calibri" w:cs="Calibri" w:eastAsia="PingFang SC"/>
                <w:color w:val="3D3A33"/>
                <w:sz w:val="22"/>
                <w:szCs w:val="22"/>
              </w:rPr>
              <w:t xml:space="preserve">Category information and typicality intuitions, sharing their origin with generalizations about chairs, apples, and dogs; not inherently a defect, but vulnerable to unrepresentative data and inappropriate use.</w:t>
            </w:r>
          </w:p>
        </w:tc>
      </w:tr>
      <w:tr>
        <w:tc>
          <w:tcPr>
            <w:tcW w:w="1903" w:type="dxa"/>
          </w:tcPr>
          <w:p>
            <w:pPr>
              <w:spacing w:before="0" w:after="0" w:line="312" w:lineRule="auto"/>
            </w:pPr>
            <w:r>
              <w:rPr>
                <w:rFonts w:ascii="Calibri" w:hAnsi="Calibri" w:cs="Calibri" w:eastAsia="PingFang SC"/>
                <w:color w:val="3D3A33"/>
                <w:sz w:val="22"/>
                <w:szCs w:val="22"/>
              </w:rPr>
              <w:t xml:space="preserve">stereotype threat</w:t>
            </w:r>
          </w:p>
        </w:tc>
        <w:tc>
          <w:tcPr>
            <w:tcW w:w="2049" w:type="dxa"/>
          </w:tcPr>
          <w:p>
            <w:pPr>
              <w:spacing w:before="0" w:after="0" w:line="312" w:lineRule="auto"/>
            </w:pPr>
            <w:r>
              <w:rPr>
                <w:rFonts w:ascii="Calibri" w:hAnsi="Calibri" w:cs="Calibri" w:eastAsia="PingFang SC"/>
                <w:color w:val="3D3A33"/>
                <w:sz w:val="22"/>
                <w:szCs w:val="22"/>
              </w:rPr>
              <w:t xml:space="preserve">stereotype threat</w:t>
            </w:r>
          </w:p>
        </w:tc>
        <w:tc>
          <w:tcPr>
            <w:tcW w:w="5408" w:type="dxa"/>
          </w:tcPr>
          <w:p>
            <w:pPr>
              <w:spacing w:before="0" w:after="0" w:line="312" w:lineRule="auto"/>
            </w:pPr>
            <w:r>
              <w:rPr>
                <w:rFonts w:ascii="Calibri" w:hAnsi="Calibri" w:cs="Calibri" w:eastAsia="PingFang SC"/>
                <w:color w:val="3D3A33"/>
                <w:sz w:val="22"/>
                <w:szCs w:val="22"/>
              </w:rPr>
              <w:t xml:space="preserve">Merely reminding people of their group's negative stereotype can impair performance in that domain; proposed by Claude Steele.</w:t>
            </w:r>
          </w:p>
        </w:tc>
      </w:tr>
      <w:tr>
        <w:tc>
          <w:tcPr>
            <w:tcW w:w="1903" w:type="dxa"/>
          </w:tcPr>
          <w:p>
            <w:pPr>
              <w:spacing w:before="0" w:after="0" w:line="312" w:lineRule="auto"/>
            </w:pPr>
            <w:r>
              <w:rPr>
                <w:rFonts w:ascii="Calibri" w:hAnsi="Calibri" w:cs="Calibri" w:eastAsia="PingFang SC"/>
                <w:color w:val="3D3A33"/>
                <w:sz w:val="22"/>
                <w:szCs w:val="22"/>
              </w:rPr>
              <w:t xml:space="preserve">profiling</w:t>
            </w:r>
          </w:p>
        </w:tc>
        <w:tc>
          <w:tcPr>
            <w:tcW w:w="2049" w:type="dxa"/>
          </w:tcPr>
          <w:p>
            <w:pPr>
              <w:spacing w:before="0" w:after="0" w:line="312" w:lineRule="auto"/>
            </w:pPr>
            <w:r>
              <w:rPr>
                <w:rFonts w:ascii="Calibri" w:hAnsi="Calibri" w:cs="Calibri" w:eastAsia="PingFang SC"/>
                <w:color w:val="3D3A33"/>
                <w:sz w:val="22"/>
                <w:szCs w:val="22"/>
              </w:rPr>
              <w:t xml:space="preserve">group-based profiling</w:t>
            </w:r>
          </w:p>
        </w:tc>
        <w:tc>
          <w:tcPr>
            <w:tcW w:w="5408" w:type="dxa"/>
          </w:tcPr>
          <w:p>
            <w:pPr>
              <w:spacing w:before="0" w:after="0" w:line="312" w:lineRule="auto"/>
            </w:pPr>
            <w:r>
              <w:rPr>
                <w:rFonts w:ascii="Calibri" w:hAnsi="Calibri" w:cs="Calibri" w:eastAsia="PingFang SC"/>
                <w:color w:val="3D3A33"/>
                <w:sz w:val="22"/>
                <w:szCs w:val="22"/>
              </w:rPr>
              <w:t xml:space="preserve">Applying group generalizations to individuals, considered morally unacceptable even when statistically valid; central to the moral debate.</w:t>
            </w:r>
          </w:p>
        </w:tc>
      </w:tr>
      <w:tr>
        <w:tc>
          <w:tcPr>
            <w:tcW w:w="1903" w:type="dxa"/>
          </w:tcPr>
          <w:p>
            <w:pPr>
              <w:spacing w:before="0" w:after="0" w:line="312" w:lineRule="auto"/>
            </w:pPr>
            <w:r>
              <w:rPr>
                <w:rFonts w:ascii="Calibri" w:hAnsi="Calibri" w:cs="Calibri" w:eastAsia="PingFang SC"/>
                <w:color w:val="3D3A33"/>
                <w:sz w:val="22"/>
                <w:szCs w:val="22"/>
              </w:rPr>
              <w:t xml:space="preserve">implicit attitudes</w:t>
            </w:r>
          </w:p>
        </w:tc>
        <w:tc>
          <w:tcPr>
            <w:tcW w:w="2049" w:type="dxa"/>
          </w:tcPr>
          <w:p>
            <w:pPr>
              <w:spacing w:before="0" w:after="0" w:line="312" w:lineRule="auto"/>
            </w:pPr>
            <w:r>
              <w:rPr>
                <w:rFonts w:ascii="Calibri" w:hAnsi="Calibri" w:cs="Calibri" w:eastAsia="PingFang SC"/>
                <w:color w:val="3D3A33"/>
                <w:sz w:val="22"/>
                <w:szCs w:val="22"/>
              </w:rPr>
              <w:t xml:space="preserve">implicit attitudes</w:t>
            </w:r>
          </w:p>
        </w:tc>
        <w:tc>
          <w:tcPr>
            <w:tcW w:w="5408" w:type="dxa"/>
          </w:tcPr>
          <w:p>
            <w:pPr>
              <w:spacing w:before="0" w:after="0" w:line="312" w:lineRule="auto"/>
            </w:pPr>
            <w:r>
              <w:rPr>
                <w:rFonts w:ascii="Calibri" w:hAnsi="Calibri" w:cs="Calibri" w:eastAsia="PingFang SC"/>
                <w:color w:val="3D3A33"/>
                <w:sz w:val="22"/>
                <w:szCs w:val="22"/>
              </w:rPr>
              <w:t xml:space="preserve">Automatic associations influencing thought outside awareness; together with public and private attitudes, the three stereotype levels.</w:t>
            </w:r>
          </w:p>
        </w:tc>
      </w:tr>
      <w:tr>
        <w:tc>
          <w:tcPr>
            <w:tcW w:w="1903" w:type="dxa"/>
          </w:tcPr>
          <w:p>
            <w:pPr>
              <w:spacing w:before="0" w:after="0" w:line="312" w:lineRule="auto"/>
            </w:pPr>
            <w:r>
              <w:rPr>
                <w:rFonts w:ascii="Calibri" w:hAnsi="Calibri" w:cs="Calibri" w:eastAsia="PingFang SC"/>
                <w:color w:val="3D3A33"/>
                <w:sz w:val="22"/>
                <w:szCs w:val="22"/>
              </w:rPr>
              <w:t xml:space="preserve">Implicit Attitudes Test (IAT)</w:t>
            </w:r>
          </w:p>
        </w:tc>
        <w:tc>
          <w:tcPr>
            <w:tcW w:w="2049" w:type="dxa"/>
          </w:tcPr>
          <w:p>
            <w:pPr>
              <w:spacing w:before="0" w:after="0" w:line="312" w:lineRule="auto"/>
            </w:pPr>
            <w:r>
              <w:rPr>
                <w:rFonts w:ascii="Calibri" w:hAnsi="Calibri" w:cs="Calibri" w:eastAsia="PingFang SC"/>
                <w:color w:val="3D3A33"/>
                <w:sz w:val="22"/>
                <w:szCs w:val="22"/>
              </w:rPr>
              <w:t xml:space="preserve">implicit association test</w:t>
            </w:r>
          </w:p>
        </w:tc>
        <w:tc>
          <w:tcPr>
            <w:tcW w:w="5408" w:type="dxa"/>
          </w:tcPr>
          <w:p>
            <w:pPr>
              <w:spacing w:before="0" w:after="0" w:line="312" w:lineRule="auto"/>
            </w:pPr>
            <w:r>
              <w:rPr>
                <w:rFonts w:ascii="Calibri" w:hAnsi="Calibri" w:cs="Calibri" w:eastAsia="PingFang SC"/>
                <w:color w:val="3D3A33"/>
                <w:sz w:val="22"/>
                <w:szCs w:val="22"/>
              </w:rPr>
              <w:t xml:space="preserve">Compares classification reaction times under alternative pairings to measure implicit associations; about half a second in class and roughly a million participants.</w:t>
            </w:r>
          </w:p>
        </w:tc>
      </w:tr>
      <w:tr>
        <w:tc>
          <w:tcPr>
            <w:tcW w:w="1903" w:type="dxa"/>
          </w:tcPr>
          <w:p>
            <w:pPr>
              <w:spacing w:before="0" w:after="0" w:line="312" w:lineRule="auto"/>
            </w:pPr>
            <w:r>
              <w:rPr>
                <w:rFonts w:ascii="Calibri" w:hAnsi="Calibri" w:cs="Calibri" w:eastAsia="PingFang SC"/>
                <w:color w:val="3D3A33"/>
                <w:sz w:val="22"/>
                <w:szCs w:val="22"/>
              </w:rPr>
              <w:t xml:space="preserve">automaticity theory</w:t>
            </w:r>
          </w:p>
        </w:tc>
        <w:tc>
          <w:tcPr>
            <w:tcW w:w="2049" w:type="dxa"/>
          </w:tcPr>
          <w:p>
            <w:pPr>
              <w:spacing w:before="0" w:after="0" w:line="312" w:lineRule="auto"/>
            </w:pPr>
            <w:r>
              <w:rPr>
                <w:rFonts w:ascii="Calibri" w:hAnsi="Calibri" w:cs="Calibri" w:eastAsia="PingFang SC"/>
                <w:color w:val="3D3A33"/>
                <w:sz w:val="22"/>
                <w:szCs w:val="22"/>
              </w:rPr>
              <w:t xml:space="preserve">automaticity theory</w:t>
            </w:r>
          </w:p>
        </w:tc>
        <w:tc>
          <w:tcPr>
            <w:tcW w:w="5408" w:type="dxa"/>
          </w:tcPr>
          <w:p>
            <w:pPr>
              <w:spacing w:before="0" w:after="0" w:line="312" w:lineRule="auto"/>
            </w:pPr>
            <w:r>
              <w:rPr>
                <w:rFonts w:ascii="Calibri" w:hAnsi="Calibri" w:cs="Calibri" w:eastAsia="PingFang SC"/>
                <w:color w:val="3D3A33"/>
                <w:sz w:val="22"/>
                <w:szCs w:val="22"/>
              </w:rPr>
              <w:t xml:space="preserve">Trish Devine's account: stereotypes activate automatically; consciously suppressing them is possible but effortful.</w:t>
            </w:r>
          </w:p>
        </w:tc>
      </w:tr>
      <w:tr>
        <w:tc>
          <w:tcPr>
            <w:tcW w:w="1903" w:type="dxa"/>
          </w:tcPr>
          <w:p>
            <w:pPr>
              <w:spacing w:before="0" w:after="0" w:line="312" w:lineRule="auto"/>
            </w:pPr>
            <w:r>
              <w:rPr>
                <w:rFonts w:ascii="Calibri" w:hAnsi="Calibri" w:cs="Calibri" w:eastAsia="PingFang SC"/>
                <w:color w:val="3D3A33"/>
                <w:sz w:val="22"/>
                <w:szCs w:val="22"/>
              </w:rPr>
              <w:t xml:space="preserve">in-group favoritism</w:t>
            </w:r>
          </w:p>
        </w:tc>
        <w:tc>
          <w:tcPr>
            <w:tcW w:w="2049" w:type="dxa"/>
          </w:tcPr>
          <w:p>
            <w:pPr>
              <w:spacing w:before="0" w:after="0" w:line="312" w:lineRule="auto"/>
            </w:pPr>
            <w:r>
              <w:rPr>
                <w:rFonts w:ascii="Calibri" w:hAnsi="Calibri" w:cs="Calibri" w:eastAsia="PingFang SC"/>
                <w:color w:val="3D3A33"/>
                <w:sz w:val="22"/>
                <w:szCs w:val="22"/>
              </w:rPr>
              <w:t xml:space="preserve">in-group favoritism</w:t>
            </w:r>
          </w:p>
        </w:tc>
        <w:tc>
          <w:tcPr>
            <w:tcW w:w="5408" w:type="dxa"/>
          </w:tcPr>
          <w:p>
            <w:pPr>
              <w:spacing w:before="0" w:after="0" w:line="312" w:lineRule="auto"/>
            </w:pPr>
            <w:r>
              <w:rPr>
                <w:rFonts w:ascii="Calibri" w:hAnsi="Calibri" w:cs="Calibri" w:eastAsia="PingFang SC"/>
                <w:color w:val="3D3A33"/>
                <w:sz w:val="22"/>
                <w:szCs w:val="22"/>
              </w:rPr>
              <w:t xml:space="preserve">Preference for one's own group; same-direction IAT effects among African Americans show it cannot fully explain implicit prejudice.</w:t>
            </w:r>
          </w:p>
        </w:tc>
      </w:tr>
      <w:tr>
        <w:tc>
          <w:tcPr>
            <w:tcW w:w="1903" w:type="dxa"/>
          </w:tcPr>
          <w:p>
            <w:pPr>
              <w:spacing w:before="0" w:after="0" w:line="312" w:lineRule="auto"/>
            </w:pPr>
            <w:r>
              <w:rPr>
                <w:rFonts w:ascii="Calibri" w:hAnsi="Calibri" w:cs="Calibri" w:eastAsia="PingFang SC"/>
                <w:color w:val="3D3A33"/>
                <w:sz w:val="22"/>
                <w:szCs w:val="22"/>
              </w:rPr>
              <w:t xml:space="preserve">blind audition</w:t>
            </w:r>
          </w:p>
        </w:tc>
        <w:tc>
          <w:tcPr>
            <w:tcW w:w="2049" w:type="dxa"/>
          </w:tcPr>
          <w:p>
            <w:pPr>
              <w:spacing w:before="0" w:after="0" w:line="312" w:lineRule="auto"/>
            </w:pPr>
            <w:r>
              <w:rPr>
                <w:rFonts w:ascii="Calibri" w:hAnsi="Calibri" w:cs="Calibri" w:eastAsia="PingFang SC"/>
                <w:color w:val="3D3A33"/>
                <w:sz w:val="22"/>
                <w:szCs w:val="22"/>
              </w:rPr>
              <w:t xml:space="preserve">blind audition</w:t>
            </w:r>
          </w:p>
        </w:tc>
        <w:tc>
          <w:tcPr>
            <w:tcW w:w="5408" w:type="dxa"/>
          </w:tcPr>
          <w:p>
            <w:pPr>
              <w:spacing w:before="0" w:after="0" w:line="312" w:lineRule="auto"/>
            </w:pPr>
            <w:r>
              <w:rPr>
                <w:rFonts w:ascii="Calibri" w:hAnsi="Calibri" w:cs="Calibri" w:eastAsia="PingFang SC"/>
                <w:color w:val="3D3A33"/>
                <w:sz w:val="22"/>
                <w:szCs w:val="22"/>
              </w:rPr>
              <w:t xml:space="preserve">Auditioning behind screens concealing gender substantially increases women's hiring; an example of preventing prejudice from operating.</w:t>
            </w:r>
          </w:p>
        </w:tc>
      </w:tr>
      <w:tr>
        <w:tc>
          <w:tcPr>
            <w:tcW w:w="1903" w:type="dxa"/>
          </w:tcPr>
          <w:p>
            <w:pPr>
              <w:spacing w:before="0" w:after="0" w:line="312" w:lineRule="auto"/>
            </w:pPr>
            <w:r>
              <w:rPr>
                <w:rFonts w:ascii="Calibri" w:hAnsi="Calibri" w:cs="Calibri" w:eastAsia="PingFang SC"/>
                <w:color w:val="3D3A33"/>
                <w:sz w:val="22"/>
                <w:szCs w:val="22"/>
              </w:rPr>
              <w:t xml:space="preserve">slow-wave sleep</w:t>
            </w:r>
          </w:p>
        </w:tc>
        <w:tc>
          <w:tcPr>
            <w:tcW w:w="2049" w:type="dxa"/>
          </w:tcPr>
          <w:p>
            <w:pPr>
              <w:spacing w:before="0" w:after="0" w:line="312" w:lineRule="auto"/>
            </w:pPr>
            <w:r>
              <w:rPr>
                <w:rFonts w:ascii="Calibri" w:hAnsi="Calibri" w:cs="Calibri" w:eastAsia="PingFang SC"/>
                <w:color w:val="3D3A33"/>
                <w:sz w:val="22"/>
                <w:szCs w:val="22"/>
              </w:rPr>
              <w:t xml:space="preserve">slow-wave sleep</w:t>
            </w:r>
          </w:p>
        </w:tc>
        <w:tc>
          <w:tcPr>
            <w:tcW w:w="5408" w:type="dxa"/>
          </w:tcPr>
          <w:p>
            <w:pPr>
              <w:spacing w:before="0" w:after="0" w:line="312" w:lineRule="auto"/>
            </w:pPr>
            <w:r>
              <w:rPr>
                <w:rFonts w:ascii="Calibri" w:hAnsi="Calibri" w:cs="Calibri" w:eastAsia="PingFang SC"/>
                <w:color w:val="3D3A33"/>
                <w:sz w:val="22"/>
                <w:szCs w:val="22"/>
              </w:rPr>
              <w:t xml:space="preserve">Quiet sleep with slow irregular high-amplitude delta waves, drifting eyes, difficult awakening, and reports of sleep thought when awakened.</w:t>
            </w:r>
          </w:p>
        </w:tc>
      </w:tr>
      <w:tr>
        <w:tc>
          <w:tcPr>
            <w:tcW w:w="1903" w:type="dxa"/>
          </w:tcPr>
          <w:p>
            <w:pPr>
              <w:spacing w:before="0" w:after="0" w:line="312" w:lineRule="auto"/>
            </w:pPr>
            <w:r>
              <w:rPr>
                <w:rFonts w:ascii="Calibri" w:hAnsi="Calibri" w:cs="Calibri" w:eastAsia="PingFang SC"/>
                <w:color w:val="3D3A33"/>
                <w:sz w:val="22"/>
                <w:szCs w:val="22"/>
              </w:rPr>
              <w:t xml:space="preserve">REM sleep</w:t>
            </w:r>
          </w:p>
        </w:tc>
        <w:tc>
          <w:tcPr>
            <w:tcW w:w="2049" w:type="dxa"/>
          </w:tcPr>
          <w:p>
            <w:pPr>
              <w:spacing w:before="0" w:after="0" w:line="312" w:lineRule="auto"/>
            </w:pPr>
            <w:r>
              <w:rPr>
                <w:rFonts w:ascii="Calibri" w:hAnsi="Calibri" w:cs="Calibri" w:eastAsia="PingFang SC"/>
                <w:color w:val="3D3A33"/>
                <w:sz w:val="22"/>
                <w:szCs w:val="22"/>
              </w:rPr>
              <w:t xml:space="preserve">rapid eye movement sleep</w:t>
            </w:r>
          </w:p>
        </w:tc>
        <w:tc>
          <w:tcPr>
            <w:tcW w:w="5408" w:type="dxa"/>
          </w:tcPr>
          <w:p>
            <w:pPr>
              <w:spacing w:before="0" w:after="0" w:line="312" w:lineRule="auto"/>
            </w:pPr>
            <w:r>
              <w:rPr>
                <w:rFonts w:ascii="Calibri" w:hAnsi="Calibri" w:cs="Calibri" w:eastAsia="PingFang SC"/>
                <w:color w:val="3D3A33"/>
                <w:sz w:val="22"/>
                <w:szCs w:val="22"/>
              </w:rPr>
              <w:t xml:space="preserve">Wake-like brain activity, bodily paralysis except the eyes, male erections, and most dreaming; occurs during the night's four or five cycles.</w:t>
            </w:r>
          </w:p>
        </w:tc>
      </w:tr>
      <w:tr>
        <w:tc>
          <w:tcPr>
            <w:tcW w:w="1903" w:type="dxa"/>
          </w:tcPr>
          <w:p>
            <w:pPr>
              <w:spacing w:before="0" w:after="0" w:line="312" w:lineRule="auto"/>
            </w:pPr>
            <w:r>
              <w:rPr>
                <w:rFonts w:ascii="Calibri" w:hAnsi="Calibri" w:cs="Calibri" w:eastAsia="PingFang SC"/>
                <w:color w:val="3D3A33"/>
                <w:sz w:val="22"/>
                <w:szCs w:val="22"/>
              </w:rPr>
              <w:t xml:space="preserve">epiphenomena</w:t>
            </w:r>
          </w:p>
        </w:tc>
        <w:tc>
          <w:tcPr>
            <w:tcW w:w="2049" w:type="dxa"/>
          </w:tcPr>
          <w:p>
            <w:pPr>
              <w:spacing w:before="0" w:after="0" w:line="312" w:lineRule="auto"/>
            </w:pPr>
            <w:r>
              <w:rPr>
                <w:rFonts w:ascii="Calibri" w:hAnsi="Calibri" w:cs="Calibri" w:eastAsia="PingFang SC"/>
                <w:color w:val="3D3A33"/>
                <w:sz w:val="22"/>
                <w:szCs w:val="22"/>
              </w:rPr>
              <w:t xml:space="preserve">epiphenomena</w:t>
            </w:r>
          </w:p>
        </w:tc>
        <w:tc>
          <w:tcPr>
            <w:tcW w:w="5408" w:type="dxa"/>
          </w:tcPr>
          <w:p>
            <w:pPr>
              <w:spacing w:before="0" w:after="0" w:line="312" w:lineRule="auto"/>
            </w:pPr>
            <w:r>
              <w:rPr>
                <w:rFonts w:ascii="Calibri" w:hAnsi="Calibri" w:cs="Calibri" w:eastAsia="PingFang SC"/>
                <w:color w:val="3D3A33"/>
                <w:sz w:val="22"/>
                <w:szCs w:val="22"/>
              </w:rPr>
              <w:t xml:space="preserve">By-products of other systems without their own adaptive function; how the memory-consolidation hypothesis characterizes dreams.</w:t>
            </w:r>
          </w:p>
        </w:tc>
      </w:tr>
      <w:tr>
        <w:tc>
          <w:tcPr>
            <w:tcW w:w="1903" w:type="dxa"/>
          </w:tcPr>
          <w:p>
            <w:pPr>
              <w:spacing w:before="0" w:after="0" w:line="312" w:lineRule="auto"/>
            </w:pPr>
            <w:r>
              <w:rPr>
                <w:rFonts w:ascii="Calibri" w:hAnsi="Calibri" w:cs="Calibri" w:eastAsia="PingFang SC"/>
                <w:color w:val="3D3A33"/>
                <w:sz w:val="22"/>
                <w:szCs w:val="22"/>
              </w:rPr>
              <w:t xml:space="preserve">mock aggression</w:t>
            </w:r>
          </w:p>
        </w:tc>
        <w:tc>
          <w:tcPr>
            <w:tcW w:w="2049" w:type="dxa"/>
          </w:tcPr>
          <w:p>
            <w:pPr>
              <w:spacing w:before="0" w:after="0" w:line="312" w:lineRule="auto"/>
            </w:pPr>
            <w:r>
              <w:rPr>
                <w:rFonts w:ascii="Calibri" w:hAnsi="Calibri" w:cs="Calibri" w:eastAsia="PingFang SC"/>
                <w:color w:val="3D3A33"/>
                <w:sz w:val="22"/>
                <w:szCs w:val="22"/>
              </w:rPr>
              <w:t xml:space="preserve">mock aggression</w:t>
            </w:r>
          </w:p>
        </w:tc>
        <w:tc>
          <w:tcPr>
            <w:tcW w:w="5408" w:type="dxa"/>
          </w:tcPr>
          <w:p>
            <w:pPr>
              <w:spacing w:before="0" w:after="0" w:line="312" w:lineRule="auto"/>
            </w:pPr>
            <w:r>
              <w:rPr>
                <w:rFonts w:ascii="Calibri" w:hAnsi="Calibri" w:cs="Calibri" w:eastAsia="PingFang SC"/>
                <w:color w:val="3D3A33"/>
                <w:sz w:val="22"/>
                <w:szCs w:val="22"/>
              </w:rPr>
              <w:t xml:space="preserve">Attenuated aggression explicitly signaled as unreal, most clearly in tickling; used to explain laughter as a signal.</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