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00. Course overview</w:t>
      </w:r>
    </w:p>
    <w:p>
      <w:pPr>
        <w:spacing w:before="240" w:after="80" w:line="312" w:lineRule="auto"/>
      </w:pPr>
      <w:r>
        <w:rPr>
          <w:rFonts w:ascii="Calibri" w:hAnsi="Calibri" w:cs="Calibri" w:eastAsia="PingFang SC"/>
          <w:b/>
          <w:color w:val="33302A"/>
          <w:sz w:val="32"/>
          <w:szCs w:val="32"/>
        </w:rPr>
        <w:t xml:space="preserve">Yale University — Death (PHIL 176) · English notes for all 26 lectures</w:t>
      </w:r>
    </w:p>
    <w:p>
      <w:pPr>
        <w:spacing w:before="0" w:after="160" w:line="312" w:lineRule="auto"/>
      </w:pPr>
      <w:r>
        <w:rPr>
          <w:rFonts w:ascii="Calibri" w:hAnsi="Calibri" w:cs="Calibri" w:eastAsia="PingFang SC"/>
          <w:color w:val="3D3A33"/>
          <w:sz w:val="22"/>
          <w:szCs w:val="22"/>
        </w:rPr>
        <w:t xml:space="preserve">Instructor: </w:t>
      </w:r>
      <w:r>
        <w:rPr>
          <w:rFonts w:ascii="Calibri" w:hAnsi="Calibri" w:cs="Calibri" w:eastAsia="PingFang SC"/>
          <w:b/>
          <w:color w:val="3D3A33"/>
          <w:sz w:val="22"/>
          <w:szCs w:val="22"/>
        </w:rPr>
        <w:t xml:space="preserve">Shelly Kagan</w:t>
      </w:r>
      <w:r>
        <w:rPr>
          <w:rFonts w:ascii="Calibri" w:hAnsi="Calibri" w:cs="Calibri" w:eastAsia="PingFang SC"/>
          <w:color w:val="3D3A33"/>
          <w:sz w:val="22"/>
          <w:szCs w:val="22"/>
        </w:rPr>
        <w:t xml:space="preserve"> (Clark Professor of Philosophy, Yale University) · recorded Autumn 2007 · Open Yale Courses · roughly 41–52 minutes per lecture.</w:t>
      </w:r>
    </w:p>
    <w:p>
      <w:pPr>
        <w:spacing w:before="0" w:after="160" w:line="312" w:lineRule="auto"/>
      </w:pPr>
      <w:r>
        <w:rPr>
          <w:rFonts w:ascii="Calibri" w:hAnsi="Calibri" w:cs="Calibri" w:eastAsia="PingFang SC"/>
          <w:color w:val="3D3A33"/>
          <w:sz w:val="22"/>
          <w:szCs w:val="22"/>
        </w:rPr>
        <w:t xml:space="preserve">The question this course asks is not the factual one — what happens after death — but a chain of philosophical ones: </w:t>
      </w:r>
      <w:r>
        <w:rPr>
          <w:rFonts w:ascii="Calibri" w:hAnsi="Calibri" w:cs="Calibri" w:eastAsia="PingFang SC"/>
          <w:b/>
          <w:color w:val="3D3A33"/>
          <w:sz w:val="22"/>
          <w:szCs w:val="22"/>
        </w:rPr>
        <w:t xml:space="preserve">What is a person? What is death? Why, if at all, is death bad? Is fear of death rational? Given that you must die, how should you live? Under what conditions can suicide be rational, or even morally permissible?</w:t>
      </w:r>
    </w:p>
    <w:p>
      <w:pPr>
        <w:spacing w:before="0" w:after="160" w:line="312" w:lineRule="auto"/>
      </w:pPr>
      <w:r>
        <w:rPr>
          <w:rFonts w:ascii="Calibri" w:hAnsi="Calibri" w:cs="Calibri" w:eastAsia="PingFang SC"/>
          <w:color w:val="3D3A33"/>
          <w:sz w:val="22"/>
          <w:szCs w:val="22"/>
        </w:rPr>
        <w:t xml:space="preserve">Kagan works in the analytic style: first cut the concepts clean (soul / body / person; death vs. dying vs. being dead), then lay out the best argument for each position in turn and look for the flaw. His own leanings are </w:t>
      </w:r>
      <w:r>
        <w:rPr>
          <w:rFonts w:ascii="Calibri" w:hAnsi="Calibri" w:cs="Calibri" w:eastAsia="PingFang SC"/>
          <w:b/>
          <w:color w:val="3D3A33"/>
          <w:sz w:val="22"/>
          <w:szCs w:val="22"/>
        </w:rPr>
        <w:t xml:space="preserve">physicalism plus the deprivation account</w:t>
      </w:r>
      <w:r>
        <w:rPr>
          <w:rFonts w:ascii="Calibri" w:hAnsi="Calibri" w:cs="Calibri" w:eastAsia="PingFang SC"/>
          <w:color w:val="3D3A33"/>
          <w:sz w:val="22"/>
          <w:szCs w:val="22"/>
        </w:rPr>
        <w:t xml:space="preserve">, but the course deliberately withholds a verdict. What it actually delivers is not a set of answers but the ability to tell a good argument from a bad one.</w:t>
      </w:r>
    </w:p>
    <w:p>
      <w:pPr>
        <w:spacing w:before="240" w:after="80" w:line="312" w:lineRule="auto"/>
      </w:pPr>
      <w:r>
        <w:rPr>
          <w:rFonts w:ascii="Calibri" w:hAnsi="Calibri" w:cs="Calibri" w:eastAsia="PingFang SC"/>
          <w:b/>
          <w:color w:val="9E3D34"/>
          <w:sz w:val="26"/>
          <w:szCs w:val="26"/>
        </w:rPr>
        <w:t xml:space="preserve">Note files</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Pr>
      <w:tblGrid>
        <w:gridCol w:w="539"/>
        <w:gridCol w:w="3243"/>
        <w:gridCol w:w="2061"/>
        <w:gridCol w:w="3518"/>
      </w:tblGrid>
      <w:tr>
        <w:trPr>
          <w:tblHeader/>
        </w:trPr>
        <w:tc>
          <w:tcPr>
            <w:tcW w:w="539" w:type="dxa"/>
            <w:shd w:val="clear" w:color="auto" w:fill="EAE7DD"/>
          </w:tcPr>
          <w:p>
            <w:pPr>
              <w:spacing w:before="0" w:after="0" w:line="312" w:lineRule="auto"/>
            </w:pPr>
            <w:r>
              <w:rPr>
                <w:rFonts w:ascii="Calibri" w:hAnsi="Calibri" w:cs="Calibri" w:eastAsia="PingFang SC"/>
                <w:b/>
                <w:color w:val="3D3A33"/>
                <w:sz w:val="22"/>
                <w:szCs w:val="22"/>
              </w:rPr>
              <w:t xml:space="preserve">Lecture</w:t>
            </w:r>
          </w:p>
        </w:tc>
        <w:tc>
          <w:tcPr>
            <w:tcW w:w="3243" w:type="dxa"/>
            <w:shd w:val="clear" w:color="auto" w:fill="EAE7DD"/>
          </w:tcPr>
          <w:p>
            <w:pPr>
              <w:spacing w:before="0" w:after="0" w:line="312" w:lineRule="auto"/>
            </w:pPr>
            <w:r>
              <w:rPr>
                <w:rFonts w:ascii="Calibri" w:hAnsi="Calibri" w:cs="Calibri" w:eastAsia="PingFang SC"/>
                <w:b/>
                <w:color w:val="3D3A33"/>
                <w:sz w:val="22"/>
                <w:szCs w:val="22"/>
              </w:rPr>
              <w:t xml:space="preserve">Title</w:t>
            </w:r>
          </w:p>
        </w:tc>
        <w:tc>
          <w:tcPr>
            <w:tcW w:w="2061" w:type="dxa"/>
            <w:shd w:val="clear" w:color="auto" w:fill="EAE7DD"/>
          </w:tcPr>
          <w:p>
            <w:pPr>
              <w:spacing w:before="0" w:after="0" w:line="312" w:lineRule="auto"/>
            </w:pPr>
            <w:r>
              <w:rPr>
                <w:rFonts w:ascii="Calibri" w:hAnsi="Calibri" w:cs="Calibri" w:eastAsia="PingFang SC"/>
                <w:b/>
                <w:color w:val="3D3A33"/>
                <w:sz w:val="22"/>
                <w:szCs w:val="22"/>
              </w:rPr>
              <w:t xml:space="preserve">Module</w:t>
            </w:r>
          </w:p>
        </w:tc>
        <w:tc>
          <w:tcPr>
            <w:tcW w:w="3518" w:type="dxa"/>
            <w:shd w:val="clear" w:color="auto" w:fill="EAE7DD"/>
          </w:tcPr>
          <w:p>
            <w:pPr>
              <w:spacing w:before="0" w:after="0" w:line="312" w:lineRule="auto"/>
            </w:pPr>
            <w:r>
              <w:rPr>
                <w:rFonts w:ascii="Calibri" w:hAnsi="Calibri" w:cs="Calibri" w:eastAsia="PingFang SC"/>
                <w:b/>
                <w:color w:val="3D3A33"/>
                <w:sz w:val="22"/>
                <w:szCs w:val="22"/>
              </w:rPr>
              <w:t xml:space="preserve">Note</w:t>
            </w:r>
          </w:p>
        </w:tc>
      </w:tr>
      <w:tr>
        <w:tc>
          <w:tcPr>
            <w:tcW w:w="539" w:type="dxa"/>
          </w:tcPr>
          <w:p>
            <w:pPr>
              <w:spacing w:before="0" w:after="0" w:line="312" w:lineRule="auto"/>
            </w:pPr>
            <w:r>
              <w:rPr>
                <w:rFonts w:ascii="Calibri" w:hAnsi="Calibri" w:cs="Calibri" w:eastAsia="PingFang SC"/>
                <w:color w:val="3D3A33"/>
                <w:sz w:val="22"/>
                <w:szCs w:val="22"/>
              </w:rPr>
              <w:t xml:space="preserve">01</w:t>
            </w:r>
          </w:p>
        </w:tc>
        <w:tc>
          <w:tcPr>
            <w:tcW w:w="3243" w:type="dxa"/>
          </w:tcPr>
          <w:p>
            <w:pPr>
              <w:spacing w:before="0" w:after="0" w:line="312" w:lineRule="auto"/>
            </w:pPr>
            <w:r>
              <w:rPr>
                <w:rFonts w:ascii="Calibri" w:hAnsi="Calibri" w:cs="Calibri" w:eastAsia="PingFang SC"/>
                <w:color w:val="3D3A33"/>
                <w:sz w:val="22"/>
                <w:szCs w:val="22"/>
              </w:rPr>
              <w:t xml:space="preserve">Course introduction</w:t>
            </w:r>
          </w:p>
        </w:tc>
        <w:tc>
          <w:tcPr>
            <w:tcW w:w="2061" w:type="dxa"/>
          </w:tcPr>
          <w:p>
            <w:pPr>
              <w:spacing w:before="0" w:after="0" w:line="312" w:lineRule="auto"/>
            </w:pPr>
            <w:r>
              <w:rPr>
                <w:rFonts w:ascii="Calibri" w:hAnsi="Calibri" w:cs="Calibri" w:eastAsia="PingFang SC"/>
                <w:color w:val="3D3A33"/>
                <w:sz w:val="22"/>
                <w:szCs w:val="22"/>
              </w:rPr>
              <w:t xml:space="preserve">Introduction</w:t>
            </w:r>
          </w:p>
        </w:tc>
        <w:tc>
          <w:tcPr>
            <w:tcW w:w="3518" w:type="dxa"/>
          </w:tcPr>
          <w:p>
            <w:pPr>
              <w:spacing w:before="0" w:after="0" w:line="312" w:lineRule="auto"/>
            </w:pPr>
            <w:r>
              <w:rPr>
                <w:rFonts w:ascii="Calibri" w:hAnsi="Calibri" w:cs="Calibri" w:eastAsia="PingFang SC"/>
                <w:color w:val="3D3A33"/>
                <w:sz w:val="22"/>
                <w:szCs w:val="22"/>
              </w:rPr>
              <w:t xml:space="preserve">[[01. Course introduction]]</w:t>
            </w:r>
          </w:p>
        </w:tc>
      </w:tr>
      <w:tr>
        <w:tc>
          <w:tcPr>
            <w:tcW w:w="539" w:type="dxa"/>
          </w:tcPr>
          <w:p>
            <w:pPr>
              <w:spacing w:before="0" w:after="0" w:line="312" w:lineRule="auto"/>
            </w:pPr>
            <w:r>
              <w:rPr>
                <w:rFonts w:ascii="Calibri" w:hAnsi="Calibri" w:cs="Calibri" w:eastAsia="PingFang SC"/>
                <w:color w:val="3D3A33"/>
                <w:sz w:val="22"/>
                <w:szCs w:val="22"/>
              </w:rPr>
              <w:t xml:space="preserve">02</w:t>
            </w:r>
          </w:p>
        </w:tc>
        <w:tc>
          <w:tcPr>
            <w:tcW w:w="3243" w:type="dxa"/>
          </w:tcPr>
          <w:p>
            <w:pPr>
              <w:spacing w:before="0" w:after="0" w:line="312" w:lineRule="auto"/>
            </w:pPr>
            <w:r>
              <w:rPr>
                <w:rFonts w:ascii="Calibri" w:hAnsi="Calibri" w:cs="Calibri" w:eastAsia="PingFang SC"/>
                <w:color w:val="3D3A33"/>
                <w:sz w:val="22"/>
                <w:szCs w:val="22"/>
              </w:rPr>
              <w:t xml:space="preserve">The nature of persons: dualism vs. physicalism</w:t>
            </w:r>
          </w:p>
        </w:tc>
        <w:tc>
          <w:tcPr>
            <w:tcW w:w="2061" w:type="dxa"/>
          </w:tcPr>
          <w:p>
            <w:pPr>
              <w:spacing w:before="0" w:after="0" w:line="312" w:lineRule="auto"/>
            </w:pPr>
            <w:r>
              <w:rPr>
                <w:rFonts w:ascii="Calibri" w:hAnsi="Calibri" w:cs="Calibri" w:eastAsia="PingFang SC"/>
                <w:color w:val="3D3A33"/>
                <w:sz w:val="22"/>
                <w:szCs w:val="22"/>
              </w:rPr>
              <w:t xml:space="preserve">What is a person</w:t>
            </w:r>
          </w:p>
        </w:tc>
        <w:tc>
          <w:tcPr>
            <w:tcW w:w="3518" w:type="dxa"/>
          </w:tcPr>
          <w:p>
            <w:pPr>
              <w:spacing w:before="0" w:after="0" w:line="312" w:lineRule="auto"/>
            </w:pPr>
            <w:r>
              <w:rPr>
                <w:rFonts w:ascii="Calibri" w:hAnsi="Calibri" w:cs="Calibri" w:eastAsia="PingFang SC"/>
                <w:color w:val="3D3A33"/>
                <w:sz w:val="22"/>
                <w:szCs w:val="22"/>
              </w:rPr>
              <w:t xml:space="preserve">[[02. The nature of persons: dualism vs. physicalism]]</w:t>
            </w:r>
          </w:p>
        </w:tc>
      </w:tr>
      <w:tr>
        <w:tc>
          <w:tcPr>
            <w:tcW w:w="539" w:type="dxa"/>
          </w:tcPr>
          <w:p>
            <w:pPr>
              <w:spacing w:before="0" w:after="0" w:line="312" w:lineRule="auto"/>
            </w:pPr>
            <w:r>
              <w:rPr>
                <w:rFonts w:ascii="Calibri" w:hAnsi="Calibri" w:cs="Calibri" w:eastAsia="PingFang SC"/>
                <w:color w:val="3D3A33"/>
                <w:sz w:val="22"/>
                <w:szCs w:val="22"/>
              </w:rPr>
              <w:t xml:space="preserve">03</w:t>
            </w:r>
          </w:p>
        </w:tc>
        <w:tc>
          <w:tcPr>
            <w:tcW w:w="3243" w:type="dxa"/>
          </w:tcPr>
          <w:p>
            <w:pPr>
              <w:spacing w:before="0" w:after="0" w:line="312" w:lineRule="auto"/>
            </w:pPr>
            <w:r>
              <w:rPr>
                <w:rFonts w:ascii="Calibri" w:hAnsi="Calibri" w:cs="Calibri" w:eastAsia="PingFang SC"/>
                <w:color w:val="3D3A33"/>
                <w:sz w:val="22"/>
                <w:szCs w:val="22"/>
              </w:rPr>
              <w:t xml:space="preserve">Arguments for the existence of the soul, Part I</w:t>
            </w:r>
          </w:p>
        </w:tc>
        <w:tc>
          <w:tcPr>
            <w:tcW w:w="2061" w:type="dxa"/>
          </w:tcPr>
          <w:p>
            <w:pPr>
              <w:spacing w:before="0" w:after="0" w:line="312" w:lineRule="auto"/>
            </w:pPr>
            <w:r>
              <w:rPr>
                <w:rFonts w:ascii="Calibri" w:hAnsi="Calibri" w:cs="Calibri" w:eastAsia="PingFang SC"/>
                <w:color w:val="3D3A33"/>
                <w:sz w:val="22"/>
                <w:szCs w:val="22"/>
              </w:rPr>
              <w:t xml:space="preserve">Arguments for the soul</w:t>
            </w:r>
          </w:p>
        </w:tc>
        <w:tc>
          <w:tcPr>
            <w:tcW w:w="3518" w:type="dxa"/>
          </w:tcPr>
          <w:p>
            <w:pPr>
              <w:spacing w:before="0" w:after="0" w:line="312" w:lineRule="auto"/>
            </w:pPr>
            <w:r>
              <w:rPr>
                <w:rFonts w:ascii="Calibri" w:hAnsi="Calibri" w:cs="Calibri" w:eastAsia="PingFang SC"/>
                <w:color w:val="3D3A33"/>
                <w:sz w:val="22"/>
                <w:szCs w:val="22"/>
              </w:rPr>
              <w:t xml:space="preserve">[[03. Arguments for the existence of the soul, Part I]]</w:t>
            </w:r>
          </w:p>
        </w:tc>
      </w:tr>
      <w:tr>
        <w:tc>
          <w:tcPr>
            <w:tcW w:w="539" w:type="dxa"/>
          </w:tcPr>
          <w:p>
            <w:pPr>
              <w:spacing w:before="0" w:after="0" w:line="312" w:lineRule="auto"/>
            </w:pPr>
            <w:r>
              <w:rPr>
                <w:rFonts w:ascii="Calibri" w:hAnsi="Calibri" w:cs="Calibri" w:eastAsia="PingFang SC"/>
                <w:color w:val="3D3A33"/>
                <w:sz w:val="22"/>
                <w:szCs w:val="22"/>
              </w:rPr>
              <w:t xml:space="preserve">04</w:t>
            </w:r>
          </w:p>
        </w:tc>
        <w:tc>
          <w:tcPr>
            <w:tcW w:w="3243" w:type="dxa"/>
          </w:tcPr>
          <w:p>
            <w:pPr>
              <w:spacing w:before="0" w:after="0" w:line="312" w:lineRule="auto"/>
            </w:pPr>
            <w:r>
              <w:rPr>
                <w:rFonts w:ascii="Calibri" w:hAnsi="Calibri" w:cs="Calibri" w:eastAsia="PingFang SC"/>
                <w:color w:val="3D3A33"/>
                <w:sz w:val="22"/>
                <w:szCs w:val="22"/>
              </w:rPr>
              <w:t xml:space="preserve">Introduction to Plato's Phaedo; Arguments for the existence of the soul, Part II</w:t>
            </w:r>
          </w:p>
        </w:tc>
        <w:tc>
          <w:tcPr>
            <w:tcW w:w="2061" w:type="dxa"/>
          </w:tcPr>
          <w:p>
            <w:pPr>
              <w:spacing w:before="0" w:after="0" w:line="312" w:lineRule="auto"/>
            </w:pPr>
            <w:r>
              <w:rPr>
                <w:rFonts w:ascii="Calibri" w:hAnsi="Calibri" w:cs="Calibri" w:eastAsia="PingFang SC"/>
                <w:color w:val="3D3A33"/>
                <w:sz w:val="22"/>
                <w:szCs w:val="22"/>
              </w:rPr>
              <w:t xml:space="preserve">Arguments for the soul · Plato</w:t>
            </w:r>
          </w:p>
        </w:tc>
        <w:tc>
          <w:tcPr>
            <w:tcW w:w="3518" w:type="dxa"/>
          </w:tcPr>
          <w:p>
            <w:pPr>
              <w:spacing w:before="0" w:after="0" w:line="312" w:lineRule="auto"/>
            </w:pPr>
            <w:r>
              <w:rPr>
                <w:rFonts w:ascii="Calibri" w:hAnsi="Calibri" w:cs="Calibri" w:eastAsia="PingFang SC"/>
                <w:color w:val="3D3A33"/>
                <w:sz w:val="22"/>
                <w:szCs w:val="22"/>
              </w:rPr>
              <w:t xml:space="preserve">[[04. Introduction to Plato's Phaedo; Arguments for the existence of the soul, Part II]]</w:t>
            </w:r>
          </w:p>
        </w:tc>
      </w:tr>
      <w:tr>
        <w:tc>
          <w:tcPr>
            <w:tcW w:w="539" w:type="dxa"/>
          </w:tcPr>
          <w:p>
            <w:pPr>
              <w:spacing w:before="0" w:after="0" w:line="312" w:lineRule="auto"/>
            </w:pPr>
            <w:r>
              <w:rPr>
                <w:rFonts w:ascii="Calibri" w:hAnsi="Calibri" w:cs="Calibri" w:eastAsia="PingFang SC"/>
                <w:color w:val="3D3A33"/>
                <w:sz w:val="22"/>
                <w:szCs w:val="22"/>
              </w:rPr>
              <w:t xml:space="preserve">05</w:t>
            </w:r>
          </w:p>
        </w:tc>
        <w:tc>
          <w:tcPr>
            <w:tcW w:w="3243" w:type="dxa"/>
          </w:tcPr>
          <w:p>
            <w:pPr>
              <w:spacing w:before="0" w:after="0" w:line="312" w:lineRule="auto"/>
            </w:pPr>
            <w:r>
              <w:rPr>
                <w:rFonts w:ascii="Calibri" w:hAnsi="Calibri" w:cs="Calibri" w:eastAsia="PingFang SC"/>
                <w:color w:val="3D3A33"/>
                <w:sz w:val="22"/>
                <w:szCs w:val="22"/>
              </w:rPr>
              <w:t xml:space="preserve">Arguments for the existence of the soul, Part III: Free will and near-death experiences</w:t>
            </w:r>
          </w:p>
        </w:tc>
        <w:tc>
          <w:tcPr>
            <w:tcW w:w="2061" w:type="dxa"/>
          </w:tcPr>
          <w:p>
            <w:pPr>
              <w:spacing w:before="0" w:after="0" w:line="312" w:lineRule="auto"/>
            </w:pPr>
            <w:r>
              <w:rPr>
                <w:rFonts w:ascii="Calibri" w:hAnsi="Calibri" w:cs="Calibri" w:eastAsia="PingFang SC"/>
                <w:color w:val="3D3A33"/>
                <w:sz w:val="22"/>
                <w:szCs w:val="22"/>
              </w:rPr>
              <w:t xml:space="preserve">Arguments for the soul · free will / NDEs</w:t>
            </w:r>
          </w:p>
        </w:tc>
        <w:tc>
          <w:tcPr>
            <w:tcW w:w="3518" w:type="dxa"/>
          </w:tcPr>
          <w:p>
            <w:pPr>
              <w:spacing w:before="0" w:after="0" w:line="312" w:lineRule="auto"/>
            </w:pPr>
            <w:r>
              <w:rPr>
                <w:rFonts w:ascii="Calibri" w:hAnsi="Calibri" w:cs="Calibri" w:eastAsia="PingFang SC"/>
                <w:color w:val="3D3A33"/>
                <w:sz w:val="22"/>
                <w:szCs w:val="22"/>
              </w:rPr>
              <w:t xml:space="preserve">[[05. Arguments for the existence of the soul, Part III: Free will and near-death experiences]]</w:t>
            </w:r>
          </w:p>
        </w:tc>
      </w:tr>
      <w:tr>
        <w:tc>
          <w:tcPr>
            <w:tcW w:w="539" w:type="dxa"/>
          </w:tcPr>
          <w:p>
            <w:pPr>
              <w:spacing w:before="0" w:after="0" w:line="312" w:lineRule="auto"/>
            </w:pPr>
            <w:r>
              <w:rPr>
                <w:rFonts w:ascii="Calibri" w:hAnsi="Calibri" w:cs="Calibri" w:eastAsia="PingFang SC"/>
                <w:color w:val="3D3A33"/>
                <w:sz w:val="22"/>
                <w:szCs w:val="22"/>
              </w:rPr>
              <w:t xml:space="preserve">06</w:t>
            </w:r>
          </w:p>
        </w:tc>
        <w:tc>
          <w:tcPr>
            <w:tcW w:w="3243" w:type="dxa"/>
          </w:tcPr>
          <w:p>
            <w:pPr>
              <w:spacing w:before="0" w:after="0" w:line="312" w:lineRule="auto"/>
            </w:pPr>
            <w:r>
              <w:rPr>
                <w:rFonts w:ascii="Calibri" w:hAnsi="Calibri" w:cs="Calibri" w:eastAsia="PingFang SC"/>
                <w:color w:val="3D3A33"/>
                <w:sz w:val="22"/>
                <w:szCs w:val="22"/>
              </w:rPr>
              <w:t xml:space="preserve">Arguments for the existence of the soul, Part IV; Plato, Part I</w:t>
            </w:r>
          </w:p>
        </w:tc>
        <w:tc>
          <w:tcPr>
            <w:tcW w:w="2061" w:type="dxa"/>
          </w:tcPr>
          <w:p>
            <w:pPr>
              <w:spacing w:before="0" w:after="0" w:line="312" w:lineRule="auto"/>
            </w:pPr>
            <w:r>
              <w:rPr>
                <w:rFonts w:ascii="Calibri" w:hAnsi="Calibri" w:cs="Calibri" w:eastAsia="PingFang SC"/>
                <w:color w:val="3D3A33"/>
                <w:sz w:val="22"/>
                <w:szCs w:val="22"/>
              </w:rPr>
              <w:t xml:space="preserve">Wrapping up the soul · Plato</w:t>
            </w:r>
          </w:p>
        </w:tc>
        <w:tc>
          <w:tcPr>
            <w:tcW w:w="3518" w:type="dxa"/>
          </w:tcPr>
          <w:p>
            <w:pPr>
              <w:spacing w:before="0" w:after="0" w:line="312" w:lineRule="auto"/>
            </w:pPr>
            <w:r>
              <w:rPr>
                <w:rFonts w:ascii="Calibri" w:hAnsi="Calibri" w:cs="Calibri" w:eastAsia="PingFang SC"/>
                <w:color w:val="3D3A33"/>
                <w:sz w:val="22"/>
                <w:szCs w:val="22"/>
              </w:rPr>
              <w:t xml:space="preserve">[[06.  Arguments for the existence of the soul, Part IV; Plato, Part I]]</w:t>
            </w:r>
          </w:p>
        </w:tc>
      </w:tr>
      <w:tr>
        <w:tc>
          <w:tcPr>
            <w:tcW w:w="539" w:type="dxa"/>
          </w:tcPr>
          <w:p>
            <w:pPr>
              <w:spacing w:before="0" w:after="0" w:line="312" w:lineRule="auto"/>
            </w:pPr>
            <w:r>
              <w:rPr>
                <w:rFonts w:ascii="Calibri" w:hAnsi="Calibri" w:cs="Calibri" w:eastAsia="PingFang SC"/>
                <w:color w:val="3D3A33"/>
                <w:sz w:val="22"/>
                <w:szCs w:val="22"/>
              </w:rPr>
              <w:t xml:space="preserve">07</w:t>
            </w:r>
          </w:p>
        </w:tc>
        <w:tc>
          <w:tcPr>
            <w:tcW w:w="3243" w:type="dxa"/>
          </w:tcPr>
          <w:p>
            <w:pPr>
              <w:spacing w:before="0" w:after="0" w:line="312" w:lineRule="auto"/>
            </w:pPr>
            <w:r>
              <w:rPr>
                <w:rFonts w:ascii="Calibri" w:hAnsi="Calibri" w:cs="Calibri" w:eastAsia="PingFang SC"/>
                <w:color w:val="3D3A33"/>
                <w:sz w:val="22"/>
                <w:szCs w:val="22"/>
              </w:rPr>
              <w:t xml:space="preserve">Plato, Part II: Arguments for the immortality of the soul</w:t>
            </w:r>
          </w:p>
        </w:tc>
        <w:tc>
          <w:tcPr>
            <w:tcW w:w="2061" w:type="dxa"/>
          </w:tcPr>
          <w:p>
            <w:pPr>
              <w:spacing w:before="0" w:after="0" w:line="312" w:lineRule="auto"/>
            </w:pPr>
            <w:r>
              <w:rPr>
                <w:rFonts w:ascii="Calibri" w:hAnsi="Calibri" w:cs="Calibri" w:eastAsia="PingFang SC"/>
                <w:color w:val="3D3A33"/>
                <w:sz w:val="22"/>
                <w:szCs w:val="22"/>
              </w:rPr>
              <w:t xml:space="preserve">Immortality of the soul</w:t>
            </w:r>
          </w:p>
        </w:tc>
        <w:tc>
          <w:tcPr>
            <w:tcW w:w="3518" w:type="dxa"/>
          </w:tcPr>
          <w:p>
            <w:pPr>
              <w:spacing w:before="0" w:after="0" w:line="312" w:lineRule="auto"/>
            </w:pPr>
            <w:r>
              <w:rPr>
                <w:rFonts w:ascii="Calibri" w:hAnsi="Calibri" w:cs="Calibri" w:eastAsia="PingFang SC"/>
                <w:color w:val="3D3A33"/>
                <w:sz w:val="22"/>
                <w:szCs w:val="22"/>
              </w:rPr>
              <w:t xml:space="preserve">[[07. Plato, Part II: Arguments for the immortality of the soul]]</w:t>
            </w:r>
          </w:p>
        </w:tc>
      </w:tr>
      <w:tr>
        <w:tc>
          <w:tcPr>
            <w:tcW w:w="539" w:type="dxa"/>
          </w:tcPr>
          <w:p>
            <w:pPr>
              <w:spacing w:before="0" w:after="0" w:line="312" w:lineRule="auto"/>
            </w:pPr>
            <w:r>
              <w:rPr>
                <w:rFonts w:ascii="Calibri" w:hAnsi="Calibri" w:cs="Calibri" w:eastAsia="PingFang SC"/>
                <w:color w:val="3D3A33"/>
                <w:sz w:val="22"/>
                <w:szCs w:val="22"/>
              </w:rPr>
              <w:t xml:space="preserve">08</w:t>
            </w:r>
          </w:p>
        </w:tc>
        <w:tc>
          <w:tcPr>
            <w:tcW w:w="3243" w:type="dxa"/>
          </w:tcPr>
          <w:p>
            <w:pPr>
              <w:spacing w:before="0" w:after="0" w:line="312" w:lineRule="auto"/>
            </w:pPr>
            <w:r>
              <w:rPr>
                <w:rFonts w:ascii="Calibri" w:hAnsi="Calibri" w:cs="Calibri" w:eastAsia="PingFang SC"/>
                <w:color w:val="3D3A33"/>
                <w:sz w:val="22"/>
                <w:szCs w:val="22"/>
              </w:rPr>
              <w:t xml:space="preserve">Plato, Part III: Arguments for the immortality of the soul (cont.)</w:t>
            </w:r>
          </w:p>
        </w:tc>
        <w:tc>
          <w:tcPr>
            <w:tcW w:w="2061" w:type="dxa"/>
          </w:tcPr>
          <w:p>
            <w:pPr>
              <w:spacing w:before="0" w:after="0" w:line="312" w:lineRule="auto"/>
            </w:pPr>
            <w:r>
              <w:rPr>
                <w:rFonts w:ascii="Calibri" w:hAnsi="Calibri" w:cs="Calibri" w:eastAsia="PingFang SC"/>
                <w:color w:val="3D3A33"/>
                <w:sz w:val="22"/>
                <w:szCs w:val="22"/>
              </w:rPr>
              <w:t xml:space="preserve">Immortality of the soul</w:t>
            </w:r>
          </w:p>
        </w:tc>
        <w:tc>
          <w:tcPr>
            <w:tcW w:w="3518" w:type="dxa"/>
          </w:tcPr>
          <w:p>
            <w:pPr>
              <w:spacing w:before="0" w:after="0" w:line="312" w:lineRule="auto"/>
            </w:pPr>
            <w:r>
              <w:rPr>
                <w:rFonts w:ascii="Calibri" w:hAnsi="Calibri" w:cs="Calibri" w:eastAsia="PingFang SC"/>
                <w:color w:val="3D3A33"/>
                <w:sz w:val="22"/>
                <w:szCs w:val="22"/>
              </w:rPr>
              <w:t xml:space="preserve">[[08. Plato, Part III: Arguments for the immortality of the soul (cont.)]]</w:t>
            </w:r>
          </w:p>
        </w:tc>
      </w:tr>
      <w:tr>
        <w:tc>
          <w:tcPr>
            <w:tcW w:w="539" w:type="dxa"/>
          </w:tcPr>
          <w:p>
            <w:pPr>
              <w:spacing w:before="0" w:after="0" w:line="312" w:lineRule="auto"/>
            </w:pPr>
            <w:r>
              <w:rPr>
                <w:rFonts w:ascii="Calibri" w:hAnsi="Calibri" w:cs="Calibri" w:eastAsia="PingFang SC"/>
                <w:color w:val="3D3A33"/>
                <w:sz w:val="22"/>
                <w:szCs w:val="22"/>
              </w:rPr>
              <w:t xml:space="preserve">09</w:t>
            </w:r>
          </w:p>
        </w:tc>
        <w:tc>
          <w:tcPr>
            <w:tcW w:w="3243" w:type="dxa"/>
          </w:tcPr>
          <w:p>
            <w:pPr>
              <w:spacing w:before="0" w:after="0" w:line="312" w:lineRule="auto"/>
            </w:pPr>
            <w:r>
              <w:rPr>
                <w:rFonts w:ascii="Calibri" w:hAnsi="Calibri" w:cs="Calibri" w:eastAsia="PingFang SC"/>
                <w:color w:val="3D3A33"/>
                <w:sz w:val="22"/>
                <w:szCs w:val="22"/>
              </w:rPr>
              <w:t xml:space="preserve">Plato, Part IV: Arguments for the immortality of the soul (cont.)</w:t>
            </w:r>
          </w:p>
        </w:tc>
        <w:tc>
          <w:tcPr>
            <w:tcW w:w="2061" w:type="dxa"/>
          </w:tcPr>
          <w:p>
            <w:pPr>
              <w:spacing w:before="0" w:after="0" w:line="312" w:lineRule="auto"/>
            </w:pPr>
            <w:r>
              <w:rPr>
                <w:rFonts w:ascii="Calibri" w:hAnsi="Calibri" w:cs="Calibri" w:eastAsia="PingFang SC"/>
                <w:color w:val="3D3A33"/>
                <w:sz w:val="22"/>
                <w:szCs w:val="22"/>
              </w:rPr>
              <w:t xml:space="preserve">Immortality of the soul</w:t>
            </w:r>
          </w:p>
        </w:tc>
        <w:tc>
          <w:tcPr>
            <w:tcW w:w="3518" w:type="dxa"/>
          </w:tcPr>
          <w:p>
            <w:pPr>
              <w:spacing w:before="0" w:after="0" w:line="312" w:lineRule="auto"/>
            </w:pPr>
            <w:r>
              <w:rPr>
                <w:rFonts w:ascii="Calibri" w:hAnsi="Calibri" w:cs="Calibri" w:eastAsia="PingFang SC"/>
                <w:color w:val="3D3A33"/>
                <w:sz w:val="22"/>
                <w:szCs w:val="22"/>
              </w:rPr>
              <w:t xml:space="preserve">[[09. Plato, Part IV: Arguments for the immortality of the soul (cont.)]]</w:t>
            </w:r>
          </w:p>
        </w:tc>
      </w:tr>
      <w:tr>
        <w:tc>
          <w:tcPr>
            <w:tcW w:w="539" w:type="dxa"/>
          </w:tcPr>
          <w:p>
            <w:pPr>
              <w:spacing w:before="0" w:after="0" w:line="312" w:lineRule="auto"/>
            </w:pPr>
            <w:r>
              <w:rPr>
                <w:rFonts w:ascii="Calibri" w:hAnsi="Calibri" w:cs="Calibri" w:eastAsia="PingFang SC"/>
                <w:color w:val="3D3A33"/>
                <w:sz w:val="22"/>
                <w:szCs w:val="22"/>
              </w:rPr>
              <w:t xml:space="preserve">10</w:t>
            </w:r>
          </w:p>
        </w:tc>
        <w:tc>
          <w:tcPr>
            <w:tcW w:w="3243" w:type="dxa"/>
          </w:tcPr>
          <w:p>
            <w:pPr>
              <w:spacing w:before="0" w:after="0" w:line="312" w:lineRule="auto"/>
            </w:pPr>
            <w:r>
              <w:rPr>
                <w:rFonts w:ascii="Calibri" w:hAnsi="Calibri" w:cs="Calibri" w:eastAsia="PingFang SC"/>
                <w:color w:val="3D3A33"/>
                <w:sz w:val="22"/>
                <w:szCs w:val="22"/>
              </w:rPr>
              <w:t xml:space="preserve">Personal identity, Part I: Identity across space and time and the soul theory</w:t>
            </w:r>
          </w:p>
        </w:tc>
        <w:tc>
          <w:tcPr>
            <w:tcW w:w="2061" w:type="dxa"/>
          </w:tcPr>
          <w:p>
            <w:pPr>
              <w:spacing w:before="0" w:after="0" w:line="312" w:lineRule="auto"/>
            </w:pPr>
            <w:r>
              <w:rPr>
                <w:rFonts w:ascii="Calibri" w:hAnsi="Calibri" w:cs="Calibri" w:eastAsia="PingFang SC"/>
                <w:color w:val="3D3A33"/>
                <w:sz w:val="22"/>
                <w:szCs w:val="22"/>
              </w:rPr>
              <w:t xml:space="preserve">Personal identity</w:t>
            </w:r>
          </w:p>
        </w:tc>
        <w:tc>
          <w:tcPr>
            <w:tcW w:w="3518" w:type="dxa"/>
          </w:tcPr>
          <w:p>
            <w:pPr>
              <w:spacing w:before="0" w:after="0" w:line="312" w:lineRule="auto"/>
            </w:pPr>
            <w:r>
              <w:rPr>
                <w:rFonts w:ascii="Calibri" w:hAnsi="Calibri" w:cs="Calibri" w:eastAsia="PingFang SC"/>
                <w:color w:val="3D3A33"/>
                <w:sz w:val="22"/>
                <w:szCs w:val="22"/>
              </w:rPr>
              <w:t xml:space="preserve">[[10. Personal identity, Part I: Identity across space and time and the soul theory]]</w:t>
            </w:r>
          </w:p>
        </w:tc>
      </w:tr>
      <w:tr>
        <w:tc>
          <w:tcPr>
            <w:tcW w:w="539" w:type="dxa"/>
          </w:tcPr>
          <w:p>
            <w:pPr>
              <w:spacing w:before="0" w:after="0" w:line="312" w:lineRule="auto"/>
            </w:pPr>
            <w:r>
              <w:rPr>
                <w:rFonts w:ascii="Calibri" w:hAnsi="Calibri" w:cs="Calibri" w:eastAsia="PingFang SC"/>
                <w:color w:val="3D3A33"/>
                <w:sz w:val="22"/>
                <w:szCs w:val="22"/>
              </w:rPr>
              <w:t xml:space="preserve">11</w:t>
            </w:r>
          </w:p>
        </w:tc>
        <w:tc>
          <w:tcPr>
            <w:tcW w:w="3243" w:type="dxa"/>
          </w:tcPr>
          <w:p>
            <w:pPr>
              <w:spacing w:before="0" w:after="0" w:line="312" w:lineRule="auto"/>
            </w:pPr>
            <w:r>
              <w:rPr>
                <w:rFonts w:ascii="Calibri" w:hAnsi="Calibri" w:cs="Calibri" w:eastAsia="PingFang SC"/>
                <w:color w:val="3D3A33"/>
                <w:sz w:val="22"/>
                <w:szCs w:val="22"/>
              </w:rPr>
              <w:t xml:space="preserve">Personal identity, Part II: The body theory and the personality theory</w:t>
            </w:r>
          </w:p>
        </w:tc>
        <w:tc>
          <w:tcPr>
            <w:tcW w:w="2061" w:type="dxa"/>
          </w:tcPr>
          <w:p>
            <w:pPr>
              <w:spacing w:before="0" w:after="0" w:line="312" w:lineRule="auto"/>
            </w:pPr>
            <w:r>
              <w:rPr>
                <w:rFonts w:ascii="Calibri" w:hAnsi="Calibri" w:cs="Calibri" w:eastAsia="PingFang SC"/>
                <w:color w:val="3D3A33"/>
                <w:sz w:val="22"/>
                <w:szCs w:val="22"/>
              </w:rPr>
              <w:t xml:space="preserve">Personal identity</w:t>
            </w:r>
          </w:p>
        </w:tc>
        <w:tc>
          <w:tcPr>
            <w:tcW w:w="3518" w:type="dxa"/>
          </w:tcPr>
          <w:p>
            <w:pPr>
              <w:spacing w:before="0" w:after="0" w:line="312" w:lineRule="auto"/>
            </w:pPr>
            <w:r>
              <w:rPr>
                <w:rFonts w:ascii="Calibri" w:hAnsi="Calibri" w:cs="Calibri" w:eastAsia="PingFang SC"/>
                <w:color w:val="3D3A33"/>
                <w:sz w:val="22"/>
                <w:szCs w:val="22"/>
              </w:rPr>
              <w:t xml:space="preserve">[[11. Personal identity, Part II: The body theory and the personality theory]]</w:t>
            </w:r>
          </w:p>
        </w:tc>
      </w:tr>
      <w:tr>
        <w:tc>
          <w:tcPr>
            <w:tcW w:w="539" w:type="dxa"/>
          </w:tcPr>
          <w:p>
            <w:pPr>
              <w:spacing w:before="0" w:after="0" w:line="312" w:lineRule="auto"/>
            </w:pPr>
            <w:r>
              <w:rPr>
                <w:rFonts w:ascii="Calibri" w:hAnsi="Calibri" w:cs="Calibri" w:eastAsia="PingFang SC"/>
                <w:color w:val="3D3A33"/>
                <w:sz w:val="22"/>
                <w:szCs w:val="22"/>
              </w:rPr>
              <w:t xml:space="preserve">12</w:t>
            </w:r>
          </w:p>
        </w:tc>
        <w:tc>
          <w:tcPr>
            <w:tcW w:w="3243" w:type="dxa"/>
          </w:tcPr>
          <w:p>
            <w:pPr>
              <w:spacing w:before="0" w:after="0" w:line="312" w:lineRule="auto"/>
            </w:pPr>
            <w:r>
              <w:rPr>
                <w:rFonts w:ascii="Calibri" w:hAnsi="Calibri" w:cs="Calibri" w:eastAsia="PingFang SC"/>
                <w:color w:val="3D3A33"/>
                <w:sz w:val="22"/>
                <w:szCs w:val="22"/>
              </w:rPr>
              <w:t xml:space="preserve">Personal identity, Part III: Objections to the personality theory</w:t>
            </w:r>
          </w:p>
        </w:tc>
        <w:tc>
          <w:tcPr>
            <w:tcW w:w="2061" w:type="dxa"/>
          </w:tcPr>
          <w:p>
            <w:pPr>
              <w:spacing w:before="0" w:after="0" w:line="312" w:lineRule="auto"/>
            </w:pPr>
            <w:r>
              <w:rPr>
                <w:rFonts w:ascii="Calibri" w:hAnsi="Calibri" w:cs="Calibri" w:eastAsia="PingFang SC"/>
                <w:color w:val="3D3A33"/>
                <w:sz w:val="22"/>
                <w:szCs w:val="22"/>
              </w:rPr>
              <w:t xml:space="preserve">Personal identity</w:t>
            </w:r>
          </w:p>
        </w:tc>
        <w:tc>
          <w:tcPr>
            <w:tcW w:w="3518" w:type="dxa"/>
          </w:tcPr>
          <w:p>
            <w:pPr>
              <w:spacing w:before="0" w:after="0" w:line="312" w:lineRule="auto"/>
            </w:pPr>
            <w:r>
              <w:rPr>
                <w:rFonts w:ascii="Calibri" w:hAnsi="Calibri" w:cs="Calibri" w:eastAsia="PingFang SC"/>
                <w:color w:val="3D3A33"/>
                <w:sz w:val="22"/>
                <w:szCs w:val="22"/>
              </w:rPr>
              <w:t xml:space="preserve">[[12. Personal identity, Part III: Objections to the personality theory]]</w:t>
            </w:r>
          </w:p>
        </w:tc>
      </w:tr>
      <w:tr>
        <w:tc>
          <w:tcPr>
            <w:tcW w:w="539" w:type="dxa"/>
          </w:tcPr>
          <w:p>
            <w:pPr>
              <w:spacing w:before="0" w:after="0" w:line="312" w:lineRule="auto"/>
            </w:pPr>
            <w:r>
              <w:rPr>
                <w:rFonts w:ascii="Calibri" w:hAnsi="Calibri" w:cs="Calibri" w:eastAsia="PingFang SC"/>
                <w:color w:val="3D3A33"/>
                <w:sz w:val="22"/>
                <w:szCs w:val="22"/>
              </w:rPr>
              <w:t xml:space="preserve">13</w:t>
            </w:r>
          </w:p>
        </w:tc>
        <w:tc>
          <w:tcPr>
            <w:tcW w:w="3243" w:type="dxa"/>
          </w:tcPr>
          <w:p>
            <w:pPr>
              <w:spacing w:before="0" w:after="0" w:line="312" w:lineRule="auto"/>
            </w:pPr>
            <w:r>
              <w:rPr>
                <w:rFonts w:ascii="Calibri" w:hAnsi="Calibri" w:cs="Calibri" w:eastAsia="PingFang SC"/>
                <w:color w:val="3D3A33"/>
                <w:sz w:val="22"/>
                <w:szCs w:val="22"/>
              </w:rPr>
              <w:t xml:space="preserve">Personal identity, Part IV; What matters?</w:t>
            </w:r>
          </w:p>
        </w:tc>
        <w:tc>
          <w:tcPr>
            <w:tcW w:w="2061" w:type="dxa"/>
          </w:tcPr>
          <w:p>
            <w:pPr>
              <w:spacing w:before="0" w:after="0" w:line="312" w:lineRule="auto"/>
            </w:pPr>
            <w:r>
              <w:rPr>
                <w:rFonts w:ascii="Calibri" w:hAnsi="Calibri" w:cs="Calibri" w:eastAsia="PingFang SC"/>
                <w:color w:val="3D3A33"/>
                <w:sz w:val="22"/>
                <w:szCs w:val="22"/>
              </w:rPr>
              <w:t xml:space="preserve">Personal identity · what matters</w:t>
            </w:r>
          </w:p>
        </w:tc>
        <w:tc>
          <w:tcPr>
            <w:tcW w:w="3518" w:type="dxa"/>
          </w:tcPr>
          <w:p>
            <w:pPr>
              <w:spacing w:before="0" w:after="0" w:line="312" w:lineRule="auto"/>
            </w:pPr>
            <w:r>
              <w:rPr>
                <w:rFonts w:ascii="Calibri" w:hAnsi="Calibri" w:cs="Calibri" w:eastAsia="PingFang SC"/>
                <w:color w:val="3D3A33"/>
                <w:sz w:val="22"/>
                <w:szCs w:val="22"/>
              </w:rPr>
              <w:t xml:space="preserve">[[13. Personal identity, Part IV; What matters?]]</w:t>
            </w:r>
          </w:p>
        </w:tc>
      </w:tr>
      <w:tr>
        <w:tc>
          <w:tcPr>
            <w:tcW w:w="539" w:type="dxa"/>
          </w:tcPr>
          <w:p>
            <w:pPr>
              <w:spacing w:before="0" w:after="0" w:line="312" w:lineRule="auto"/>
            </w:pPr>
            <w:r>
              <w:rPr>
                <w:rFonts w:ascii="Calibri" w:hAnsi="Calibri" w:cs="Calibri" w:eastAsia="PingFang SC"/>
                <w:color w:val="3D3A33"/>
                <w:sz w:val="22"/>
                <w:szCs w:val="22"/>
              </w:rPr>
              <w:t xml:space="preserve">14</w:t>
            </w:r>
          </w:p>
        </w:tc>
        <w:tc>
          <w:tcPr>
            <w:tcW w:w="3243" w:type="dxa"/>
          </w:tcPr>
          <w:p>
            <w:pPr>
              <w:spacing w:before="0" w:after="0" w:line="312" w:lineRule="auto"/>
            </w:pPr>
            <w:r>
              <w:rPr>
                <w:rFonts w:ascii="Calibri" w:hAnsi="Calibri" w:cs="Calibri" w:eastAsia="PingFang SC"/>
                <w:color w:val="3D3A33"/>
                <w:sz w:val="22"/>
                <w:szCs w:val="22"/>
              </w:rPr>
              <w:t xml:space="preserve">What matters (cont.); The nature of death, Part I</w:t>
            </w:r>
          </w:p>
        </w:tc>
        <w:tc>
          <w:tcPr>
            <w:tcW w:w="2061" w:type="dxa"/>
          </w:tcPr>
          <w:p>
            <w:pPr>
              <w:spacing w:before="0" w:after="0" w:line="312" w:lineRule="auto"/>
            </w:pPr>
            <w:r>
              <w:rPr>
                <w:rFonts w:ascii="Calibri" w:hAnsi="Calibri" w:cs="Calibri" w:eastAsia="PingFang SC"/>
                <w:color w:val="3D3A33"/>
                <w:sz w:val="22"/>
                <w:szCs w:val="22"/>
              </w:rPr>
              <w:t xml:space="preserve">What matters · the nature of death</w:t>
            </w:r>
          </w:p>
        </w:tc>
        <w:tc>
          <w:tcPr>
            <w:tcW w:w="3518" w:type="dxa"/>
          </w:tcPr>
          <w:p>
            <w:pPr>
              <w:spacing w:before="0" w:after="0" w:line="312" w:lineRule="auto"/>
            </w:pPr>
            <w:r>
              <w:rPr>
                <w:rFonts w:ascii="Calibri" w:hAnsi="Calibri" w:cs="Calibri" w:eastAsia="PingFang SC"/>
                <w:color w:val="3D3A33"/>
                <w:sz w:val="22"/>
                <w:szCs w:val="22"/>
              </w:rPr>
              <w:t xml:space="preserve">[[14. What matters (cont.); The nature of death, Part I]]</w:t>
            </w:r>
          </w:p>
        </w:tc>
      </w:tr>
      <w:tr>
        <w:tc>
          <w:tcPr>
            <w:tcW w:w="539" w:type="dxa"/>
          </w:tcPr>
          <w:p>
            <w:pPr>
              <w:spacing w:before="0" w:after="0" w:line="312" w:lineRule="auto"/>
            </w:pPr>
            <w:r>
              <w:rPr>
                <w:rFonts w:ascii="Calibri" w:hAnsi="Calibri" w:cs="Calibri" w:eastAsia="PingFang SC"/>
                <w:color w:val="3D3A33"/>
                <w:sz w:val="22"/>
                <w:szCs w:val="22"/>
              </w:rPr>
              <w:t xml:space="preserve">15</w:t>
            </w:r>
          </w:p>
        </w:tc>
        <w:tc>
          <w:tcPr>
            <w:tcW w:w="3243" w:type="dxa"/>
          </w:tcPr>
          <w:p>
            <w:pPr>
              <w:spacing w:before="0" w:after="0" w:line="312" w:lineRule="auto"/>
            </w:pPr>
            <w:r>
              <w:rPr>
                <w:rFonts w:ascii="Calibri" w:hAnsi="Calibri" w:cs="Calibri" w:eastAsia="PingFang SC"/>
                <w:color w:val="3D3A33"/>
                <w:sz w:val="22"/>
                <w:szCs w:val="22"/>
              </w:rPr>
              <w:t xml:space="preserve">The nature of death (cont.); Believing you will die</w:t>
            </w:r>
          </w:p>
        </w:tc>
        <w:tc>
          <w:tcPr>
            <w:tcW w:w="2061" w:type="dxa"/>
          </w:tcPr>
          <w:p>
            <w:pPr>
              <w:spacing w:before="0" w:after="0" w:line="312" w:lineRule="auto"/>
            </w:pPr>
            <w:r>
              <w:rPr>
                <w:rFonts w:ascii="Calibri" w:hAnsi="Calibri" w:cs="Calibri" w:eastAsia="PingFang SC"/>
                <w:color w:val="3D3A33"/>
                <w:sz w:val="22"/>
                <w:szCs w:val="22"/>
              </w:rPr>
              <w:t xml:space="preserve">The nature of death · believing you will die</w:t>
            </w:r>
          </w:p>
        </w:tc>
        <w:tc>
          <w:tcPr>
            <w:tcW w:w="3518" w:type="dxa"/>
          </w:tcPr>
          <w:p>
            <w:pPr>
              <w:spacing w:before="0" w:after="0" w:line="312" w:lineRule="auto"/>
            </w:pPr>
            <w:r>
              <w:rPr>
                <w:rFonts w:ascii="Calibri" w:hAnsi="Calibri" w:cs="Calibri" w:eastAsia="PingFang SC"/>
                <w:color w:val="3D3A33"/>
                <w:sz w:val="22"/>
                <w:szCs w:val="22"/>
              </w:rPr>
              <w:t xml:space="preserve">[[15. The nature of death (cont.); Believing you will die]]</w:t>
            </w:r>
          </w:p>
        </w:tc>
      </w:tr>
      <w:tr>
        <w:tc>
          <w:tcPr>
            <w:tcW w:w="539" w:type="dxa"/>
          </w:tcPr>
          <w:p>
            <w:pPr>
              <w:spacing w:before="0" w:after="0" w:line="312" w:lineRule="auto"/>
            </w:pPr>
            <w:r>
              <w:rPr>
                <w:rFonts w:ascii="Calibri" w:hAnsi="Calibri" w:cs="Calibri" w:eastAsia="PingFang SC"/>
                <w:color w:val="3D3A33"/>
                <w:sz w:val="22"/>
                <w:szCs w:val="22"/>
              </w:rPr>
              <w:t xml:space="preserve">16</w:t>
            </w:r>
          </w:p>
        </w:tc>
        <w:tc>
          <w:tcPr>
            <w:tcW w:w="3243" w:type="dxa"/>
          </w:tcPr>
          <w:p>
            <w:pPr>
              <w:spacing w:before="0" w:after="0" w:line="312" w:lineRule="auto"/>
            </w:pPr>
            <w:r>
              <w:rPr>
                <w:rFonts w:ascii="Calibri" w:hAnsi="Calibri" w:cs="Calibri" w:eastAsia="PingFang SC"/>
                <w:color w:val="3D3A33"/>
                <w:sz w:val="22"/>
                <w:szCs w:val="22"/>
              </w:rPr>
              <w:t xml:space="preserve">Dying alone; The badness of death, Part I</w:t>
            </w:r>
          </w:p>
        </w:tc>
        <w:tc>
          <w:tcPr>
            <w:tcW w:w="2061" w:type="dxa"/>
          </w:tcPr>
          <w:p>
            <w:pPr>
              <w:spacing w:before="0" w:after="0" w:line="312" w:lineRule="auto"/>
            </w:pPr>
            <w:r>
              <w:rPr>
                <w:rFonts w:ascii="Calibri" w:hAnsi="Calibri" w:cs="Calibri" w:eastAsia="PingFang SC"/>
                <w:color w:val="3D3A33"/>
                <w:sz w:val="22"/>
                <w:szCs w:val="22"/>
              </w:rPr>
              <w:t xml:space="preserve">Dying alone · the badness of death</w:t>
            </w:r>
          </w:p>
        </w:tc>
        <w:tc>
          <w:tcPr>
            <w:tcW w:w="3518" w:type="dxa"/>
          </w:tcPr>
          <w:p>
            <w:pPr>
              <w:spacing w:before="0" w:after="0" w:line="312" w:lineRule="auto"/>
            </w:pPr>
            <w:r>
              <w:rPr>
                <w:rFonts w:ascii="Calibri" w:hAnsi="Calibri" w:cs="Calibri" w:eastAsia="PingFang SC"/>
                <w:color w:val="3D3A33"/>
                <w:sz w:val="22"/>
                <w:szCs w:val="22"/>
              </w:rPr>
              <w:t xml:space="preserve">[[16. Dying alone; The badness of death, Part I]]</w:t>
            </w:r>
          </w:p>
        </w:tc>
      </w:tr>
      <w:tr>
        <w:tc>
          <w:tcPr>
            <w:tcW w:w="539" w:type="dxa"/>
          </w:tcPr>
          <w:p>
            <w:pPr>
              <w:spacing w:before="0" w:after="0" w:line="312" w:lineRule="auto"/>
            </w:pPr>
            <w:r>
              <w:rPr>
                <w:rFonts w:ascii="Calibri" w:hAnsi="Calibri" w:cs="Calibri" w:eastAsia="PingFang SC"/>
                <w:color w:val="3D3A33"/>
                <w:sz w:val="22"/>
                <w:szCs w:val="22"/>
              </w:rPr>
              <w:t xml:space="preserve">17</w:t>
            </w:r>
          </w:p>
        </w:tc>
        <w:tc>
          <w:tcPr>
            <w:tcW w:w="3243" w:type="dxa"/>
          </w:tcPr>
          <w:p>
            <w:pPr>
              <w:spacing w:before="0" w:after="0" w:line="312" w:lineRule="auto"/>
            </w:pPr>
            <w:r>
              <w:rPr>
                <w:rFonts w:ascii="Calibri" w:hAnsi="Calibri" w:cs="Calibri" w:eastAsia="PingFang SC"/>
                <w:color w:val="3D3A33"/>
                <w:sz w:val="22"/>
                <w:szCs w:val="22"/>
              </w:rPr>
              <w:t xml:space="preserve">The badness of death, Part II: The deprivation account</w:t>
            </w:r>
          </w:p>
        </w:tc>
        <w:tc>
          <w:tcPr>
            <w:tcW w:w="2061" w:type="dxa"/>
          </w:tcPr>
          <w:p>
            <w:pPr>
              <w:spacing w:before="0" w:after="0" w:line="312" w:lineRule="auto"/>
            </w:pPr>
            <w:r>
              <w:rPr>
                <w:rFonts w:ascii="Calibri" w:hAnsi="Calibri" w:cs="Calibri" w:eastAsia="PingFang SC"/>
                <w:color w:val="3D3A33"/>
                <w:sz w:val="22"/>
                <w:szCs w:val="22"/>
              </w:rPr>
              <w:t xml:space="preserve">The deprivation account</w:t>
            </w:r>
          </w:p>
        </w:tc>
        <w:tc>
          <w:tcPr>
            <w:tcW w:w="3518" w:type="dxa"/>
          </w:tcPr>
          <w:p>
            <w:pPr>
              <w:spacing w:before="0" w:after="0" w:line="312" w:lineRule="auto"/>
            </w:pPr>
            <w:r>
              <w:rPr>
                <w:rFonts w:ascii="Calibri" w:hAnsi="Calibri" w:cs="Calibri" w:eastAsia="PingFang SC"/>
                <w:color w:val="3D3A33"/>
                <w:sz w:val="22"/>
                <w:szCs w:val="22"/>
              </w:rPr>
              <w:t xml:space="preserve">[[17. The badness of death, Part II: The deprivation account]]</w:t>
            </w:r>
          </w:p>
        </w:tc>
      </w:tr>
      <w:tr>
        <w:tc>
          <w:tcPr>
            <w:tcW w:w="539" w:type="dxa"/>
          </w:tcPr>
          <w:p>
            <w:pPr>
              <w:spacing w:before="0" w:after="0" w:line="312" w:lineRule="auto"/>
            </w:pPr>
            <w:r>
              <w:rPr>
                <w:rFonts w:ascii="Calibri" w:hAnsi="Calibri" w:cs="Calibri" w:eastAsia="PingFang SC"/>
                <w:color w:val="3D3A33"/>
                <w:sz w:val="22"/>
                <w:szCs w:val="22"/>
              </w:rPr>
              <w:t xml:space="preserve">18</w:t>
            </w:r>
          </w:p>
        </w:tc>
        <w:tc>
          <w:tcPr>
            <w:tcW w:w="3243" w:type="dxa"/>
          </w:tcPr>
          <w:p>
            <w:pPr>
              <w:spacing w:before="0" w:after="0" w:line="312" w:lineRule="auto"/>
            </w:pPr>
            <w:r>
              <w:rPr>
                <w:rFonts w:ascii="Calibri" w:hAnsi="Calibri" w:cs="Calibri" w:eastAsia="PingFang SC"/>
                <w:color w:val="3D3A33"/>
                <w:sz w:val="22"/>
                <w:szCs w:val="22"/>
              </w:rPr>
              <w:t xml:space="preserve">The badness of death, Part III; Immortality, Part I</w:t>
            </w:r>
          </w:p>
        </w:tc>
        <w:tc>
          <w:tcPr>
            <w:tcW w:w="2061" w:type="dxa"/>
          </w:tcPr>
          <w:p>
            <w:pPr>
              <w:spacing w:before="0" w:after="0" w:line="312" w:lineRule="auto"/>
            </w:pPr>
            <w:r>
              <w:rPr>
                <w:rFonts w:ascii="Calibri" w:hAnsi="Calibri" w:cs="Calibri" w:eastAsia="PingFang SC"/>
                <w:color w:val="3D3A33"/>
                <w:sz w:val="22"/>
                <w:szCs w:val="22"/>
              </w:rPr>
              <w:t xml:space="preserve">The badness of death · immortality</w:t>
            </w:r>
          </w:p>
        </w:tc>
        <w:tc>
          <w:tcPr>
            <w:tcW w:w="3518" w:type="dxa"/>
          </w:tcPr>
          <w:p>
            <w:pPr>
              <w:spacing w:before="0" w:after="0" w:line="312" w:lineRule="auto"/>
            </w:pPr>
            <w:r>
              <w:rPr>
                <w:rFonts w:ascii="Calibri" w:hAnsi="Calibri" w:cs="Calibri" w:eastAsia="PingFang SC"/>
                <w:color w:val="3D3A33"/>
                <w:sz w:val="22"/>
                <w:szCs w:val="22"/>
              </w:rPr>
              <w:t xml:space="preserve">[[18. The badness of death, Part III; Immortality, Part I]]</w:t>
            </w:r>
          </w:p>
        </w:tc>
      </w:tr>
      <w:tr>
        <w:tc>
          <w:tcPr>
            <w:tcW w:w="539" w:type="dxa"/>
          </w:tcPr>
          <w:p>
            <w:pPr>
              <w:spacing w:before="0" w:after="0" w:line="312" w:lineRule="auto"/>
            </w:pPr>
            <w:r>
              <w:rPr>
                <w:rFonts w:ascii="Calibri" w:hAnsi="Calibri" w:cs="Calibri" w:eastAsia="PingFang SC"/>
                <w:color w:val="3D3A33"/>
                <w:sz w:val="22"/>
                <w:szCs w:val="22"/>
              </w:rPr>
              <w:t xml:space="preserve">19</w:t>
            </w:r>
          </w:p>
        </w:tc>
        <w:tc>
          <w:tcPr>
            <w:tcW w:w="3243" w:type="dxa"/>
          </w:tcPr>
          <w:p>
            <w:pPr>
              <w:spacing w:before="0" w:after="0" w:line="312" w:lineRule="auto"/>
            </w:pPr>
            <w:r>
              <w:rPr>
                <w:rFonts w:ascii="Calibri" w:hAnsi="Calibri" w:cs="Calibri" w:eastAsia="PingFang SC"/>
                <w:color w:val="3D3A33"/>
                <w:sz w:val="22"/>
                <w:szCs w:val="22"/>
              </w:rPr>
              <w:t xml:space="preserve">Immortality Part II; The value of life, Part I</w:t>
            </w:r>
          </w:p>
        </w:tc>
        <w:tc>
          <w:tcPr>
            <w:tcW w:w="2061" w:type="dxa"/>
          </w:tcPr>
          <w:p>
            <w:pPr>
              <w:spacing w:before="0" w:after="0" w:line="312" w:lineRule="auto"/>
            </w:pPr>
            <w:r>
              <w:rPr>
                <w:rFonts w:ascii="Calibri" w:hAnsi="Calibri" w:cs="Calibri" w:eastAsia="PingFang SC"/>
                <w:color w:val="3D3A33"/>
                <w:sz w:val="22"/>
                <w:szCs w:val="22"/>
              </w:rPr>
              <w:t xml:space="preserve">Immortality · the value of life</w:t>
            </w:r>
          </w:p>
        </w:tc>
        <w:tc>
          <w:tcPr>
            <w:tcW w:w="3518" w:type="dxa"/>
          </w:tcPr>
          <w:p>
            <w:pPr>
              <w:spacing w:before="0" w:after="0" w:line="312" w:lineRule="auto"/>
            </w:pPr>
            <w:r>
              <w:rPr>
                <w:rFonts w:ascii="Calibri" w:hAnsi="Calibri" w:cs="Calibri" w:eastAsia="PingFang SC"/>
                <w:color w:val="3D3A33"/>
                <w:sz w:val="22"/>
                <w:szCs w:val="22"/>
              </w:rPr>
              <w:t xml:space="preserve">[[19. Immortality Part II; The value of life, Part I]]</w:t>
            </w:r>
          </w:p>
        </w:tc>
      </w:tr>
      <w:tr>
        <w:tc>
          <w:tcPr>
            <w:tcW w:w="539" w:type="dxa"/>
          </w:tcPr>
          <w:p>
            <w:pPr>
              <w:spacing w:before="0" w:after="0" w:line="312" w:lineRule="auto"/>
            </w:pPr>
            <w:r>
              <w:rPr>
                <w:rFonts w:ascii="Calibri" w:hAnsi="Calibri" w:cs="Calibri" w:eastAsia="PingFang SC"/>
                <w:color w:val="3D3A33"/>
                <w:sz w:val="22"/>
                <w:szCs w:val="22"/>
              </w:rPr>
              <w:t xml:space="preserve">20</w:t>
            </w:r>
          </w:p>
        </w:tc>
        <w:tc>
          <w:tcPr>
            <w:tcW w:w="3243" w:type="dxa"/>
          </w:tcPr>
          <w:p>
            <w:pPr>
              <w:spacing w:before="0" w:after="0" w:line="312" w:lineRule="auto"/>
            </w:pPr>
            <w:r>
              <w:rPr>
                <w:rFonts w:ascii="Calibri" w:hAnsi="Calibri" w:cs="Calibri" w:eastAsia="PingFang SC"/>
                <w:color w:val="3D3A33"/>
                <w:sz w:val="22"/>
                <w:szCs w:val="22"/>
              </w:rPr>
              <w:t xml:space="preserve">The value of life, Part II; Other bad aspects of death, Part I</w:t>
            </w:r>
          </w:p>
        </w:tc>
        <w:tc>
          <w:tcPr>
            <w:tcW w:w="2061" w:type="dxa"/>
          </w:tcPr>
          <w:p>
            <w:pPr>
              <w:spacing w:before="0" w:after="0" w:line="312" w:lineRule="auto"/>
            </w:pPr>
            <w:r>
              <w:rPr>
                <w:rFonts w:ascii="Calibri" w:hAnsi="Calibri" w:cs="Calibri" w:eastAsia="PingFang SC"/>
                <w:color w:val="3D3A33"/>
                <w:sz w:val="22"/>
                <w:szCs w:val="22"/>
              </w:rPr>
              <w:t xml:space="preserve">The value of life · other bad aspects</w:t>
            </w:r>
          </w:p>
        </w:tc>
        <w:tc>
          <w:tcPr>
            <w:tcW w:w="3518" w:type="dxa"/>
          </w:tcPr>
          <w:p>
            <w:pPr>
              <w:spacing w:before="0" w:after="0" w:line="312" w:lineRule="auto"/>
            </w:pPr>
            <w:r>
              <w:rPr>
                <w:rFonts w:ascii="Calibri" w:hAnsi="Calibri" w:cs="Calibri" w:eastAsia="PingFang SC"/>
                <w:color w:val="3D3A33"/>
                <w:sz w:val="22"/>
                <w:szCs w:val="22"/>
              </w:rPr>
              <w:t xml:space="preserve">[[20. The value of life, Part II; Other bad aspects of death, Part I]]</w:t>
            </w:r>
          </w:p>
        </w:tc>
      </w:tr>
      <w:tr>
        <w:tc>
          <w:tcPr>
            <w:tcW w:w="539" w:type="dxa"/>
          </w:tcPr>
          <w:p>
            <w:pPr>
              <w:spacing w:before="0" w:after="0" w:line="312" w:lineRule="auto"/>
            </w:pPr>
            <w:r>
              <w:rPr>
                <w:rFonts w:ascii="Calibri" w:hAnsi="Calibri" w:cs="Calibri" w:eastAsia="PingFang SC"/>
                <w:color w:val="3D3A33"/>
                <w:sz w:val="22"/>
                <w:szCs w:val="22"/>
              </w:rPr>
              <w:t xml:space="preserve">21</w:t>
            </w:r>
          </w:p>
        </w:tc>
        <w:tc>
          <w:tcPr>
            <w:tcW w:w="3243" w:type="dxa"/>
          </w:tcPr>
          <w:p>
            <w:pPr>
              <w:spacing w:before="0" w:after="0" w:line="312" w:lineRule="auto"/>
            </w:pPr>
            <w:r>
              <w:rPr>
                <w:rFonts w:ascii="Calibri" w:hAnsi="Calibri" w:cs="Calibri" w:eastAsia="PingFang SC"/>
                <w:color w:val="3D3A33"/>
                <w:sz w:val="22"/>
                <w:szCs w:val="22"/>
              </w:rPr>
              <w:t xml:space="preserve">Other bad aspects of death, Part II</w:t>
            </w:r>
          </w:p>
        </w:tc>
        <w:tc>
          <w:tcPr>
            <w:tcW w:w="2061" w:type="dxa"/>
          </w:tcPr>
          <w:p>
            <w:pPr>
              <w:spacing w:before="0" w:after="0" w:line="312" w:lineRule="auto"/>
            </w:pPr>
            <w:r>
              <w:rPr>
                <w:rFonts w:ascii="Calibri" w:hAnsi="Calibri" w:cs="Calibri" w:eastAsia="PingFang SC"/>
                <w:color w:val="3D3A33"/>
                <w:sz w:val="22"/>
                <w:szCs w:val="22"/>
              </w:rPr>
              <w:t xml:space="preserve">Other bad aspects of death</w:t>
            </w:r>
          </w:p>
        </w:tc>
        <w:tc>
          <w:tcPr>
            <w:tcW w:w="3518" w:type="dxa"/>
          </w:tcPr>
          <w:p>
            <w:pPr>
              <w:spacing w:before="0" w:after="0" w:line="312" w:lineRule="auto"/>
            </w:pPr>
            <w:r>
              <w:rPr>
                <w:rFonts w:ascii="Calibri" w:hAnsi="Calibri" w:cs="Calibri" w:eastAsia="PingFang SC"/>
                <w:color w:val="3D3A33"/>
                <w:sz w:val="22"/>
                <w:szCs w:val="22"/>
              </w:rPr>
              <w:t xml:space="preserve">[[21. Other bad aspects of death, Part II]]</w:t>
            </w:r>
          </w:p>
        </w:tc>
      </w:tr>
      <w:tr>
        <w:tc>
          <w:tcPr>
            <w:tcW w:w="539" w:type="dxa"/>
          </w:tcPr>
          <w:p>
            <w:pPr>
              <w:spacing w:before="0" w:after="0" w:line="312" w:lineRule="auto"/>
            </w:pPr>
            <w:r>
              <w:rPr>
                <w:rFonts w:ascii="Calibri" w:hAnsi="Calibri" w:cs="Calibri" w:eastAsia="PingFang SC"/>
                <w:color w:val="3D3A33"/>
                <w:sz w:val="22"/>
                <w:szCs w:val="22"/>
              </w:rPr>
              <w:t xml:space="preserve">22</w:t>
            </w:r>
          </w:p>
        </w:tc>
        <w:tc>
          <w:tcPr>
            <w:tcW w:w="3243" w:type="dxa"/>
          </w:tcPr>
          <w:p>
            <w:pPr>
              <w:spacing w:before="0" w:after="0" w:line="312" w:lineRule="auto"/>
            </w:pPr>
            <w:r>
              <w:rPr>
                <w:rFonts w:ascii="Calibri" w:hAnsi="Calibri" w:cs="Calibri" w:eastAsia="PingFang SC"/>
                <w:color w:val="3D3A33"/>
                <w:sz w:val="22"/>
                <w:szCs w:val="22"/>
              </w:rPr>
              <w:t xml:space="preserve">Fear of death</w:t>
            </w:r>
          </w:p>
        </w:tc>
        <w:tc>
          <w:tcPr>
            <w:tcW w:w="2061" w:type="dxa"/>
          </w:tcPr>
          <w:p>
            <w:pPr>
              <w:spacing w:before="0" w:after="0" w:line="312" w:lineRule="auto"/>
            </w:pPr>
            <w:r>
              <w:rPr>
                <w:rFonts w:ascii="Calibri" w:hAnsi="Calibri" w:cs="Calibri" w:eastAsia="PingFang SC"/>
                <w:color w:val="3D3A33"/>
                <w:sz w:val="22"/>
                <w:szCs w:val="22"/>
              </w:rPr>
              <w:t xml:space="preserve">Fear of death</w:t>
            </w:r>
          </w:p>
        </w:tc>
        <w:tc>
          <w:tcPr>
            <w:tcW w:w="3518" w:type="dxa"/>
          </w:tcPr>
          <w:p>
            <w:pPr>
              <w:spacing w:before="0" w:after="0" w:line="312" w:lineRule="auto"/>
            </w:pPr>
            <w:r>
              <w:rPr>
                <w:rFonts w:ascii="Calibri" w:hAnsi="Calibri" w:cs="Calibri" w:eastAsia="PingFang SC"/>
                <w:color w:val="3D3A33"/>
                <w:sz w:val="22"/>
                <w:szCs w:val="22"/>
              </w:rPr>
              <w:t xml:space="preserve">[[22. Fear of death]]</w:t>
            </w:r>
          </w:p>
        </w:tc>
      </w:tr>
      <w:tr>
        <w:tc>
          <w:tcPr>
            <w:tcW w:w="539" w:type="dxa"/>
          </w:tcPr>
          <w:p>
            <w:pPr>
              <w:spacing w:before="0" w:after="0" w:line="312" w:lineRule="auto"/>
            </w:pPr>
            <w:r>
              <w:rPr>
                <w:rFonts w:ascii="Calibri" w:hAnsi="Calibri" w:cs="Calibri" w:eastAsia="PingFang SC"/>
                <w:color w:val="3D3A33"/>
                <w:sz w:val="22"/>
                <w:szCs w:val="22"/>
              </w:rPr>
              <w:t xml:space="preserve">23</w:t>
            </w:r>
          </w:p>
        </w:tc>
        <w:tc>
          <w:tcPr>
            <w:tcW w:w="3243" w:type="dxa"/>
          </w:tcPr>
          <w:p>
            <w:pPr>
              <w:spacing w:before="0" w:after="0" w:line="312" w:lineRule="auto"/>
            </w:pPr>
            <w:r>
              <w:rPr>
                <w:rFonts w:ascii="Calibri" w:hAnsi="Calibri" w:cs="Calibri" w:eastAsia="PingFang SC"/>
                <w:color w:val="3D3A33"/>
                <w:sz w:val="22"/>
                <w:szCs w:val="22"/>
              </w:rPr>
              <w:t xml:space="preserve">How to live given the certainty of death</w:t>
            </w:r>
          </w:p>
        </w:tc>
        <w:tc>
          <w:tcPr>
            <w:tcW w:w="2061" w:type="dxa"/>
          </w:tcPr>
          <w:p>
            <w:pPr>
              <w:spacing w:before="0" w:after="0" w:line="312" w:lineRule="auto"/>
            </w:pPr>
            <w:r>
              <w:rPr>
                <w:rFonts w:ascii="Calibri" w:hAnsi="Calibri" w:cs="Calibri" w:eastAsia="PingFang SC"/>
                <w:color w:val="3D3A33"/>
                <w:sz w:val="22"/>
                <w:szCs w:val="22"/>
              </w:rPr>
              <w:t xml:space="preserve">Living under mortality</w:t>
            </w:r>
          </w:p>
        </w:tc>
        <w:tc>
          <w:tcPr>
            <w:tcW w:w="3518" w:type="dxa"/>
          </w:tcPr>
          <w:p>
            <w:pPr>
              <w:spacing w:before="0" w:after="0" w:line="312" w:lineRule="auto"/>
            </w:pPr>
            <w:r>
              <w:rPr>
                <w:rFonts w:ascii="Calibri" w:hAnsi="Calibri" w:cs="Calibri" w:eastAsia="PingFang SC"/>
                <w:color w:val="3D3A33"/>
                <w:sz w:val="22"/>
                <w:szCs w:val="22"/>
              </w:rPr>
              <w:t xml:space="preserve">[[23. How to live given the certainty of death]]</w:t>
            </w:r>
          </w:p>
        </w:tc>
      </w:tr>
      <w:tr>
        <w:tc>
          <w:tcPr>
            <w:tcW w:w="539" w:type="dxa"/>
          </w:tcPr>
          <w:p>
            <w:pPr>
              <w:spacing w:before="0" w:after="0" w:line="312" w:lineRule="auto"/>
            </w:pPr>
            <w:r>
              <w:rPr>
                <w:rFonts w:ascii="Calibri" w:hAnsi="Calibri" w:cs="Calibri" w:eastAsia="PingFang SC"/>
                <w:color w:val="3D3A33"/>
                <w:sz w:val="22"/>
                <w:szCs w:val="22"/>
              </w:rPr>
              <w:t xml:space="preserve">24</w:t>
            </w:r>
          </w:p>
        </w:tc>
        <w:tc>
          <w:tcPr>
            <w:tcW w:w="3243" w:type="dxa"/>
          </w:tcPr>
          <w:p>
            <w:pPr>
              <w:spacing w:before="0" w:after="0" w:line="312" w:lineRule="auto"/>
            </w:pPr>
            <w:r>
              <w:rPr>
                <w:rFonts w:ascii="Calibri" w:hAnsi="Calibri" w:cs="Calibri" w:eastAsia="PingFang SC"/>
                <w:color w:val="3D3A33"/>
                <w:sz w:val="22"/>
                <w:szCs w:val="22"/>
              </w:rPr>
              <w:t xml:space="preserve">Suicide, Part I: The rationality of suicide</w:t>
            </w:r>
          </w:p>
        </w:tc>
        <w:tc>
          <w:tcPr>
            <w:tcW w:w="2061" w:type="dxa"/>
          </w:tcPr>
          <w:p>
            <w:pPr>
              <w:spacing w:before="0" w:after="0" w:line="312" w:lineRule="auto"/>
            </w:pPr>
            <w:r>
              <w:rPr>
                <w:rFonts w:ascii="Calibri" w:hAnsi="Calibri" w:cs="Calibri" w:eastAsia="PingFang SC"/>
                <w:color w:val="3D3A33"/>
                <w:sz w:val="22"/>
                <w:szCs w:val="22"/>
              </w:rPr>
              <w:t xml:space="preserve">Suicide · rationality</w:t>
            </w:r>
          </w:p>
        </w:tc>
        <w:tc>
          <w:tcPr>
            <w:tcW w:w="3518" w:type="dxa"/>
          </w:tcPr>
          <w:p>
            <w:pPr>
              <w:spacing w:before="0" w:after="0" w:line="312" w:lineRule="auto"/>
            </w:pPr>
            <w:r>
              <w:rPr>
                <w:rFonts w:ascii="Calibri" w:hAnsi="Calibri" w:cs="Calibri" w:eastAsia="PingFang SC"/>
                <w:color w:val="3D3A33"/>
                <w:sz w:val="22"/>
                <w:szCs w:val="22"/>
              </w:rPr>
              <w:t xml:space="preserve">[[24. Suicide, Part I: The rationality of suicide]]</w:t>
            </w:r>
          </w:p>
        </w:tc>
      </w:tr>
      <w:tr>
        <w:tc>
          <w:tcPr>
            <w:tcW w:w="539" w:type="dxa"/>
          </w:tcPr>
          <w:p>
            <w:pPr>
              <w:spacing w:before="0" w:after="0" w:line="312" w:lineRule="auto"/>
            </w:pPr>
            <w:r>
              <w:rPr>
                <w:rFonts w:ascii="Calibri" w:hAnsi="Calibri" w:cs="Calibri" w:eastAsia="PingFang SC"/>
                <w:color w:val="3D3A33"/>
                <w:sz w:val="22"/>
                <w:szCs w:val="22"/>
              </w:rPr>
              <w:t xml:space="preserve">25</w:t>
            </w:r>
          </w:p>
        </w:tc>
        <w:tc>
          <w:tcPr>
            <w:tcW w:w="3243" w:type="dxa"/>
          </w:tcPr>
          <w:p>
            <w:pPr>
              <w:spacing w:before="0" w:after="0" w:line="312" w:lineRule="auto"/>
            </w:pPr>
            <w:r>
              <w:rPr>
                <w:rFonts w:ascii="Calibri" w:hAnsi="Calibri" w:cs="Calibri" w:eastAsia="PingFang SC"/>
                <w:color w:val="3D3A33"/>
                <w:sz w:val="22"/>
                <w:szCs w:val="22"/>
              </w:rPr>
              <w:t xml:space="preserve">Suicide, Part II: Deciding under uncertainty</w:t>
            </w:r>
          </w:p>
        </w:tc>
        <w:tc>
          <w:tcPr>
            <w:tcW w:w="2061" w:type="dxa"/>
          </w:tcPr>
          <w:p>
            <w:pPr>
              <w:spacing w:before="0" w:after="0" w:line="312" w:lineRule="auto"/>
            </w:pPr>
            <w:r>
              <w:rPr>
                <w:rFonts w:ascii="Calibri" w:hAnsi="Calibri" w:cs="Calibri" w:eastAsia="PingFang SC"/>
                <w:color w:val="3D3A33"/>
                <w:sz w:val="22"/>
                <w:szCs w:val="22"/>
              </w:rPr>
              <w:t xml:space="preserve">Suicide · deciding under uncertainty</w:t>
            </w:r>
          </w:p>
        </w:tc>
        <w:tc>
          <w:tcPr>
            <w:tcW w:w="3518" w:type="dxa"/>
          </w:tcPr>
          <w:p>
            <w:pPr>
              <w:spacing w:before="0" w:after="0" w:line="312" w:lineRule="auto"/>
            </w:pPr>
            <w:r>
              <w:rPr>
                <w:rFonts w:ascii="Calibri" w:hAnsi="Calibri" w:cs="Calibri" w:eastAsia="PingFang SC"/>
                <w:color w:val="3D3A33"/>
                <w:sz w:val="22"/>
                <w:szCs w:val="22"/>
              </w:rPr>
              <w:t xml:space="preserve">[[25. Suicide, Part II: Deciding under uncertainty]]</w:t>
            </w:r>
          </w:p>
        </w:tc>
      </w:tr>
      <w:tr>
        <w:tc>
          <w:tcPr>
            <w:tcW w:w="539" w:type="dxa"/>
          </w:tcPr>
          <w:p>
            <w:pPr>
              <w:spacing w:before="0" w:after="0" w:line="312" w:lineRule="auto"/>
            </w:pPr>
            <w:r>
              <w:rPr>
                <w:rFonts w:ascii="Calibri" w:hAnsi="Calibri" w:cs="Calibri" w:eastAsia="PingFang SC"/>
                <w:color w:val="3D3A33"/>
                <w:sz w:val="22"/>
                <w:szCs w:val="22"/>
              </w:rPr>
              <w:t xml:space="preserve">26</w:t>
            </w:r>
          </w:p>
        </w:tc>
        <w:tc>
          <w:tcPr>
            <w:tcW w:w="3243" w:type="dxa"/>
          </w:tcPr>
          <w:p>
            <w:pPr>
              <w:spacing w:before="0" w:after="0" w:line="312" w:lineRule="auto"/>
            </w:pPr>
            <w:r>
              <w:rPr>
                <w:rFonts w:ascii="Calibri" w:hAnsi="Calibri" w:cs="Calibri" w:eastAsia="PingFang SC"/>
                <w:color w:val="3D3A33"/>
                <w:sz w:val="22"/>
                <w:szCs w:val="22"/>
              </w:rPr>
              <w:t xml:space="preserve">Suicide, Part III: The morality of suicide and course conclusion</w:t>
            </w:r>
          </w:p>
        </w:tc>
        <w:tc>
          <w:tcPr>
            <w:tcW w:w="2061" w:type="dxa"/>
          </w:tcPr>
          <w:p>
            <w:pPr>
              <w:spacing w:before="0" w:after="0" w:line="312" w:lineRule="auto"/>
            </w:pPr>
            <w:r>
              <w:rPr>
                <w:rFonts w:ascii="Calibri" w:hAnsi="Calibri" w:cs="Calibri" w:eastAsia="PingFang SC"/>
                <w:color w:val="3D3A33"/>
                <w:sz w:val="22"/>
                <w:szCs w:val="22"/>
              </w:rPr>
              <w:t xml:space="preserve">Suicide · morality and conclusion</w:t>
            </w:r>
          </w:p>
        </w:tc>
        <w:tc>
          <w:tcPr>
            <w:tcW w:w="3518" w:type="dxa"/>
          </w:tcPr>
          <w:p>
            <w:pPr>
              <w:spacing w:before="0" w:after="0" w:line="312" w:lineRule="auto"/>
            </w:pPr>
            <w:r>
              <w:rPr>
                <w:rFonts w:ascii="Calibri" w:hAnsi="Calibri" w:cs="Calibri" w:eastAsia="PingFang SC"/>
                <w:color w:val="3D3A33"/>
                <w:sz w:val="22"/>
                <w:szCs w:val="22"/>
              </w:rPr>
              <w:t xml:space="preserve">[[26. Suicide, Part III: The morality of suicide and course conclusion]]</w:t>
            </w:r>
          </w:p>
        </w:tc>
      </w:tr>
    </w:tbl>
    <w:p>
      <w:pPr>
        <w:spacing w:before="0" w:after="160" w:line="312" w:lineRule="auto"/>
      </w:pPr>
      <w:r>
        <w:rPr>
          <w:rFonts w:ascii="Calibri" w:hAnsi="Calibri" w:cs="Calibri" w:eastAsia="PingFang SC"/>
          <w:color w:val="3D3A33"/>
          <w:sz w:val="22"/>
          <w:szCs w:val="22"/>
        </w:rPr>
        <w:t xml:space="preserve">Chinese editions of these same notes live in </w:t>
      </w:r>
      <w:r>
        <w:rPr>
          <w:rFonts w:ascii="Calibri" w:hAnsi="Calibri" w:cs="Calibri" w:eastAsia="PingFang SC"/>
          <w:color w:val="3D3A33"/>
          <w:sz w:val="22"/>
          <w:szCs w:val="22"/>
        </w:rPr>
        <w:t xml:space="preserve">../notes/</w:t>
      </w:r>
      <w:r>
        <w:rPr>
          <w:rFonts w:ascii="Calibri" w:hAnsi="Calibri" w:cs="Calibri" w:eastAsia="PingFang SC"/>
          <w:color w:val="3D3A33"/>
          <w:sz w:val="22"/>
          <w:szCs w:val="22"/>
        </w:rPr>
        <w:t xml:space="preserve">.</w:t>
      </w:r>
    </w:p>
    <w:p>
      <w:pPr>
        <w:spacing w:before="240" w:after="80" w:line="312" w:lineRule="auto"/>
      </w:pPr>
      <w:r>
        <w:rPr>
          <w:rFonts w:ascii="Calibri" w:hAnsi="Calibri" w:cs="Calibri" w:eastAsia="PingFang SC"/>
          <w:b/>
          <w:color w:val="9E3D34"/>
          <w:sz w:val="26"/>
          <w:szCs w:val="26"/>
        </w:rPr>
        <w:t xml:space="preserve">The six modules</w:t>
      </w:r>
    </w:p>
    <w:p>
      <w:pPr>
        <w:spacing w:before="0" w:after="160" w:line="312" w:lineRule="auto"/>
      </w:pPr>
      <w:r>
        <w:rPr>
          <w:rFonts w:ascii="Calibri" w:hAnsi="Calibri" w:cs="Calibri" w:eastAsia="PingFang SC"/>
          <w:b/>
          <w:color w:val="3D3A33"/>
          <w:sz w:val="22"/>
          <w:szCs w:val="22"/>
        </w:rPr>
        <w:t xml:space="preserve">1. What is a person (02–06)</w:t>
      </w:r>
      <w:r>
        <w:rPr>
          <w:rFonts w:ascii="Calibri" w:hAnsi="Calibri" w:cs="Calibri" w:eastAsia="PingFang SC"/>
          <w:color w:val="3D3A33"/>
          <w:sz w:val="22"/>
          <w:szCs w:val="22"/>
        </w:rPr>
        <w:t xml:space="preserve"> Dualism vs. physicalism. The soul can be neither observed nor introspected, so the only live defence is inference to the best explanation: find a feature F that physicalism cannot explain and that positing a soul explains better. The candidates are tried in turn — being alive, purposive motion, free will, belief and desire, emotion.</w:t>
      </w:r>
    </w:p>
    <w:p>
      <w:pPr>
        <w:spacing w:before="0" w:after="160" w:line="312" w:lineRule="auto"/>
      </w:pPr>
      <w:r>
        <w:rPr>
          <w:rFonts w:ascii="Calibri" w:hAnsi="Calibri" w:cs="Calibri" w:eastAsia="PingFang SC"/>
          <w:b/>
          <w:color w:val="3D3A33"/>
          <w:sz w:val="22"/>
          <w:szCs w:val="22"/>
        </w:rPr>
        <w:t xml:space="preserve">2. Plato's arguments for immortality (07–09)</w:t>
      </w:r>
      <w:r>
        <w:rPr>
          <w:rFonts w:ascii="Calibri" w:hAnsi="Calibri" w:cs="Calibri" w:eastAsia="PingFang SC"/>
          <w:color w:val="3D3A33"/>
          <w:sz w:val="22"/>
          <w:szCs w:val="22"/>
        </w:rPr>
        <w:t xml:space="preserve"> The arguments of the </w:t>
      </w:r>
      <w:r>
        <w:rPr>
          <w:rFonts w:ascii="Calibri" w:hAnsi="Calibri" w:cs="Calibri" w:eastAsia="PingFang SC"/>
          <w:i/>
          <w:color w:val="3D3A33"/>
          <w:sz w:val="22"/>
          <w:szCs w:val="22"/>
        </w:rPr>
        <w:t xml:space="preserve">Phaedo</w:t>
      </w:r>
      <w:r>
        <w:rPr>
          <w:rFonts w:ascii="Calibri" w:hAnsi="Calibri" w:cs="Calibri" w:eastAsia="PingFang SC"/>
          <w:color w:val="3D3A33"/>
          <w:sz w:val="22"/>
          <w:szCs w:val="22"/>
        </w:rPr>
        <w:t xml:space="preserve">: from the soul's bringing life and admitting no death, to the claim that only composites can be destroyed and the soul is simple. Each is tested and each is found wanting.</w:t>
      </w:r>
    </w:p>
    <w:p>
      <w:pPr>
        <w:spacing w:before="0" w:after="160" w:line="312" w:lineRule="auto"/>
      </w:pPr>
      <w:r>
        <w:rPr>
          <w:rFonts w:ascii="Calibri" w:hAnsi="Calibri" w:cs="Calibri" w:eastAsia="PingFang SC"/>
          <w:b/>
          <w:color w:val="3D3A33"/>
          <w:sz w:val="22"/>
          <w:szCs w:val="22"/>
        </w:rPr>
        <w:t xml:space="preserve">3. Personal identity (10–13)</w:t>
      </w:r>
      <w:r>
        <w:rPr>
          <w:rFonts w:ascii="Calibri" w:hAnsi="Calibri" w:cs="Calibri" w:eastAsia="PingFang SC"/>
          <w:color w:val="3D3A33"/>
          <w:sz w:val="22"/>
          <w:szCs w:val="22"/>
        </w:rPr>
        <w:t xml:space="preserve"> What keeps you the same person over time? The soul theory, the body theory and the personality (psychological continuity) theory each face fatal counterexamples — fission cases, hypnosis, amnesia, radical character change. The module ends in a turn: perhaps identity itself is not what matters, but survival, continuation, psychological connectedness.</w:t>
      </w:r>
    </w:p>
    <w:p>
      <w:pPr>
        <w:spacing w:before="0" w:after="160" w:line="312" w:lineRule="auto"/>
      </w:pPr>
      <w:r>
        <w:rPr>
          <w:rFonts w:ascii="Calibri" w:hAnsi="Calibri" w:cs="Calibri" w:eastAsia="PingFang SC"/>
          <w:b/>
          <w:color w:val="3D3A33"/>
          <w:sz w:val="22"/>
          <w:szCs w:val="22"/>
        </w:rPr>
        <w:t xml:space="preserve">4. The nature of death and believing you will die (14–15)</w:t>
      </w:r>
      <w:r>
        <w:rPr>
          <w:rFonts w:ascii="Calibri" w:hAnsi="Calibri" w:cs="Calibri" w:eastAsia="PingFang SC"/>
          <w:color w:val="3D3A33"/>
          <w:sz w:val="22"/>
          <w:szCs w:val="22"/>
        </w:rPr>
        <w:t xml:space="preserve"> Death is not a state but a terminus; imagining "my death" as something I undergo is a trick of the imagination. The key distinction is </w:t>
      </w:r>
      <w:r>
        <w:rPr>
          <w:rFonts w:ascii="Calibri" w:hAnsi="Calibri" w:cs="Calibri" w:eastAsia="PingFang SC"/>
          <w:b/>
          <w:color w:val="3D3A33"/>
          <w:sz w:val="22"/>
          <w:szCs w:val="22"/>
        </w:rPr>
        <w:t xml:space="preserve">death vs. dying vs. being dead</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b/>
          <w:color w:val="3D3A33"/>
          <w:sz w:val="22"/>
          <w:szCs w:val="22"/>
        </w:rPr>
        <w:t xml:space="preserve">5. The badness of death (16–21)</w:t>
      </w:r>
      <w:r>
        <w:rPr>
          <w:rFonts w:ascii="Calibri" w:hAnsi="Calibri" w:cs="Calibri" w:eastAsia="PingFang SC"/>
          <w:color w:val="3D3A33"/>
          <w:sz w:val="22"/>
          <w:szCs w:val="22"/>
        </w:rPr>
        <w:t xml:space="preserve"> If death is the end, what is bad about it? The </w:t>
      </w:r>
      <w:r>
        <w:rPr>
          <w:rFonts w:ascii="Calibri" w:hAnsi="Calibri" w:cs="Calibri" w:eastAsia="PingFang SC"/>
          <w:b/>
          <w:color w:val="3D3A33"/>
          <w:sz w:val="22"/>
          <w:szCs w:val="22"/>
        </w:rPr>
        <w:t xml:space="preserve">deprivation account</w:t>
      </w:r>
      <w:r>
        <w:rPr>
          <w:rFonts w:ascii="Calibri" w:hAnsi="Calibri" w:cs="Calibri" w:eastAsia="PingFang SC"/>
          <w:color w:val="3D3A33"/>
          <w:sz w:val="22"/>
          <w:szCs w:val="22"/>
        </w:rPr>
        <w:t xml:space="preserve">: death is bad because it deprives you of goods you would otherwise have had — so dying young is worse than dying old, and immortality may not be good at all (repetition, boredom, the dilution of a life's value).</w:t>
      </w:r>
    </w:p>
    <w:p>
      <w:pPr>
        <w:spacing w:before="0" w:after="160" w:line="312" w:lineRule="auto"/>
      </w:pPr>
      <w:r>
        <w:rPr>
          <w:rFonts w:ascii="Calibri" w:hAnsi="Calibri" w:cs="Calibri" w:eastAsia="PingFang SC"/>
          <w:b/>
          <w:color w:val="3D3A33"/>
          <w:sz w:val="22"/>
          <w:szCs w:val="22"/>
        </w:rPr>
        <w:t xml:space="preserve">6. Fear, living, suicide (22–26)</w:t>
      </w:r>
      <w:r>
        <w:rPr>
          <w:rFonts w:ascii="Calibri" w:hAnsi="Calibri" w:cs="Calibri" w:eastAsia="PingFang SC"/>
          <w:color w:val="3D3A33"/>
          <w:sz w:val="22"/>
          <w:szCs w:val="22"/>
        </w:rPr>
        <w:t xml:space="preserve"> Does fear of death have an object — the state of being dead, or the process of dying? If death is annihilation, is fear of it simply irrational? From there the course turns to living under mortality and to the rationality, uncertainty and morality of suicide, including an examination of the assumption that the value of a life can be weighed.</w:t>
      </w:r>
    </w:p>
    <w:p>
      <w:pPr>
        <w:spacing w:before="240" w:after="80" w:line="312" w:lineRule="auto"/>
      </w:pPr>
      <w:r>
        <w:rPr>
          <w:rFonts w:ascii="Calibri" w:hAnsi="Calibri" w:cs="Calibri" w:eastAsia="PingFang SC"/>
          <w:b/>
          <w:color w:val="9E3D34"/>
          <w:sz w:val="26"/>
          <w:szCs w:val="26"/>
        </w:rPr>
        <w:t xml:space="preserve">How to read these notes</w:t>
      </w:r>
    </w:p>
    <w:p>
      <w:pPr>
        <w:spacing w:before="0" w:after="160" w:line="312" w:lineRule="auto"/>
      </w:pPr>
      <w:r>
        <w:rPr>
          <w:rFonts w:ascii="Calibri" w:hAnsi="Calibri" w:cs="Calibri" w:eastAsia="PingFang SC"/>
          <w:color w:val="3D3A33"/>
          <w:sz w:val="22"/>
          <w:szCs w:val="22"/>
        </w:rPr>
        <w:t xml:space="preserve">One file per lecture, uniform structure: </w:t>
      </w:r>
      <w:r>
        <w:rPr>
          <w:rFonts w:ascii="Calibri" w:hAnsi="Calibri" w:cs="Calibri" w:eastAsia="PingFang SC"/>
          <w:b/>
          <w:color w:val="3D3A33"/>
          <w:sz w:val="22"/>
          <w:szCs w:val="22"/>
        </w:rPr>
        <w:t xml:space="preserve">Chapter Overview</w:t>
      </w:r>
      <w:r>
        <w:rPr>
          <w:rFonts w:ascii="Calibri" w:hAnsi="Calibri" w:cs="Calibri" w:eastAsia="PingFang SC"/>
          <w:color w:val="3D3A33"/>
          <w:sz w:val="22"/>
          <w:szCs w:val="22"/>
        </w:rPr>
        <w:t xml:space="preserve"> (timeline navigation) → </w:t>
      </w:r>
      <w:r>
        <w:rPr>
          <w:rFonts w:ascii="Calibri" w:hAnsi="Calibri" w:cs="Calibri" w:eastAsia="PingFang SC"/>
          <w:b/>
          <w:color w:val="3D3A33"/>
          <w:sz w:val="22"/>
          <w:szCs w:val="22"/>
        </w:rPr>
        <w:t xml:space="preserve">Overall Summary</w:t>
      </w:r>
      <w:r>
        <w:rPr>
          <w:rFonts w:ascii="Calibri" w:hAnsi="Calibri" w:cs="Calibri" w:eastAsia="PingFang SC"/>
          <w:color w:val="3D3A33"/>
          <w:sz w:val="22"/>
          <w:szCs w:val="22"/>
        </w:rPr>
        <w:t xml:space="preserve"> (condensed through three density-iteration rounds, plus highlights) → </w:t>
      </w:r>
      <w:r>
        <w:rPr>
          <w:rFonts w:ascii="Calibri" w:hAnsi="Calibri" w:cs="Calibri" w:eastAsia="PingFang SC"/>
          <w:b/>
          <w:color w:val="3D3A33"/>
          <w:sz w:val="22"/>
          <w:szCs w:val="22"/>
        </w:rPr>
        <w:t xml:space="preserve">Topic Chapters</w:t>
      </w:r>
      <w:r>
        <w:rPr>
          <w:rFonts w:ascii="Calibri" w:hAnsi="Calibri" w:cs="Calibri" w:eastAsia="PingFang SC"/>
          <w:color w:val="3D3A33"/>
          <w:sz w:val="22"/>
          <w:szCs w:val="22"/>
        </w:rPr>
        <w:t xml:space="preserve"> (the lecture's actual order of argument, 2–3 sentences per bullet) → </w:t>
      </w:r>
      <w:r>
        <w:rPr>
          <w:rFonts w:ascii="Calibri" w:hAnsi="Calibri" w:cs="Calibri" w:eastAsia="PingFang SC"/>
          <w:b/>
          <w:color w:val="3D3A33"/>
          <w:sz w:val="22"/>
          <w:szCs w:val="22"/>
        </w:rPr>
        <w:t xml:space="preserve">Key Quotes</w:t>
      </w:r>
      <w:r>
        <w:rPr>
          <w:rFonts w:ascii="Calibri" w:hAnsi="Calibri" w:cs="Calibri" w:eastAsia="PingFang SC"/>
          <w:color w:val="3D3A33"/>
          <w:sz w:val="22"/>
          <w:szCs w:val="22"/>
        </w:rPr>
        <w:t xml:space="preserve"> (Kagan's exact words plus context) → </w:t>
      </w:r>
      <w:r>
        <w:rPr>
          <w:rFonts w:ascii="Calibri" w:hAnsi="Calibri" w:cs="Calibri" w:eastAsia="PingFang SC"/>
          <w:b/>
          <w:color w:val="3D3A33"/>
          <w:sz w:val="22"/>
          <w:szCs w:val="22"/>
        </w:rPr>
        <w:t xml:space="preserve">Novel Ideas / Counter-intuitive Views / Core Tensions / Methodology / Key Data</w:t>
      </w:r>
      <w:r>
        <w:rPr>
          <w:rFonts w:ascii="Calibri" w:hAnsi="Calibri" w:cs="Calibri" w:eastAsia="PingFang SC"/>
          <w:color w:val="3D3A33"/>
          <w:sz w:val="22"/>
          <w:szCs w:val="22"/>
        </w:rPr>
        <w:t xml:space="preserve">.</w:t>
      </w:r>
    </w:p>
    <w:p>
      <w:pPr>
        <w:spacing w:before="0" w:after="160" w:line="312" w:lineRule="auto"/>
      </w:pPr>
      <w:r>
        <w:rPr>
          <w:rFonts w:ascii="Calibri" w:hAnsi="Calibri" w:cs="Calibri" w:eastAsia="PingFang SC"/>
          <w:color w:val="3D3A33"/>
          <w:sz w:val="22"/>
          <w:szCs w:val="22"/>
        </w:rPr>
        <w:t xml:space="preserve">To skim the course: read only the Overall Summary and Key Highlights of each file. To follow the arguments: read Topic Chapters and Core Tensions. To quote the lectures in an essay: take the verbatim English from Key Quotes and locate it in the original video by timestamp.</w:t>
      </w:r>
    </w:p>
    <w:p>
      <w:pPr>
        <w:spacing w:before="240" w:after="80" w:line="312" w:lineRule="auto"/>
      </w:pPr>
      <w:r>
        <w:rPr>
          <w:rFonts w:ascii="Calibri" w:hAnsi="Calibri" w:cs="Calibri" w:eastAsia="PingFang SC"/>
          <w:b/>
          <w:color w:val="9E3D34"/>
          <w:sz w:val="26"/>
          <w:szCs w:val="26"/>
        </w:rPr>
        <w:t xml:space="preserve">Source transcripts</w:t>
      </w:r>
    </w:p>
    <w:p>
      <w:pPr>
        <w:spacing w:before="0" w:after="160" w:line="312" w:lineRule="auto"/>
      </w:pPr>
      <w:r>
        <w:rPr>
          <w:rFonts w:ascii="Calibri" w:hAnsi="Calibri" w:cs="Calibri" w:eastAsia="PingFang SC"/>
          <w:color w:val="3D3A33"/>
          <w:sz w:val="22"/>
          <w:szCs w:val="22"/>
        </w:rPr>
        <w:t xml:space="preserve">The complete </w:t>
      </w:r>
      <w:r>
        <w:rPr>
          <w:rFonts w:ascii="Calibri" w:hAnsi="Calibri" w:cs="Calibri" w:eastAsia="PingFang SC"/>
          <w:b/>
          <w:color w:val="3D3A33"/>
          <w:sz w:val="22"/>
          <w:szCs w:val="22"/>
        </w:rPr>
        <w:t xml:space="preserve">English timestamped transcript</w:t>
      </w:r>
      <w:r>
        <w:rPr>
          <w:rFonts w:ascii="Calibri" w:hAnsi="Calibri" w:cs="Calibri" w:eastAsia="PingFang SC"/>
          <w:color w:val="3D3A33"/>
          <w:sz w:val="22"/>
          <w:szCs w:val="22"/>
        </w:rPr>
        <w:t xml:space="preserve"> of every lecture is kept in </w:t>
      </w:r>
      <w:r>
        <w:rPr>
          <w:rFonts w:ascii="Calibri" w:hAnsi="Calibri" w:cs="Calibri" w:eastAsia="PingFang SC"/>
          <w:color w:val="3D3A33"/>
          <w:sz w:val="22"/>
          <w:szCs w:val="22"/>
        </w:rPr>
        <w:t xml:space="preserve">../raw/</w:t>
      </w:r>
      <w:r>
        <w:rPr>
          <w:rFonts w:ascii="Calibri" w:hAnsi="Calibri" w:cs="Calibri" w:eastAsia="PingFang SC"/>
          <w:color w:val="3D3A33"/>
          <w:sz w:val="22"/>
          <w:szCs w:val="22"/>
        </w:rPr>
        <w:t xml:space="preserve">, one file per lecture matching these notes, with the official chapter timeline in its frontmatter. Every Key Quote can be traced back to its point in the original video.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