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10</w:t>
      </w:r>
    </w:p>
    <w:p>
      <w:pPr>
        <w:spacing w:before="240" w:after="80" w:line="312" w:lineRule="auto"/>
      </w:pPr>
      <w:r>
        <w:rPr>
          <w:rFonts w:ascii="Calibri" w:hAnsi="Calibri" w:cs="Calibri" w:eastAsia="PingFang SC"/>
          <w:b/>
          <w:color w:val="33302A"/>
          <w:sz w:val="32"/>
          <w:szCs w:val="32"/>
        </w:rPr>
        <w:t xml:space="preserve">PMGT1711 Week 10 - Leverage Points, Paradigms and Risk Interdependencies</w:t>
      </w:r>
    </w:p>
    <w:p>
      <w:pPr>
        <w:spacing w:before="240" w:after="80" w:line="312" w:lineRule="auto"/>
      </w:pPr>
      <w:r>
        <w:rPr>
          <w:rFonts w:ascii="Calibri" w:hAnsi="Calibri" w:cs="Calibri" w:eastAsia="PingFang SC"/>
          <w:b/>
          <w:color w:val="9E3D34"/>
          <w:sz w:val="26"/>
          <w:szCs w:val="26"/>
        </w:rPr>
        <w:t xml:space="preserve">Leverage and Learning</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leverage point</w:t>
      </w:r>
      <w:r>
        <w:rPr>
          <w:rFonts w:ascii="Calibri" w:hAnsi="Calibri" w:cs="Calibri" w:eastAsia="PingFang SC"/>
          <w:color w:val="3D3A33"/>
          <w:sz w:val="22"/>
          <w:szCs w:val="22"/>
        </w:rPr>
        <w:t xml:space="preserve"> is a place to intervene in a system where a relatively small change may produce a substantial change in behaviour or outcomes. Leverage concerns the mechanism through which an intervention works, not simply its visibility or cost. A deep intervention may face resistance or take time to affect outcomes; depth does not guarantee that it is always the most appropriate choice.</w:t>
      </w:r>
    </w:p>
    <w:p>
      <w:pPr>
        <w:spacing w:before="0" w:after="160" w:line="312" w:lineRule="auto"/>
      </w:pPr>
      <w:r>
        <w:rPr>
          <w:rFonts w:ascii="Calibri" w:hAnsi="Calibri" w:cs="Calibri" w:eastAsia="PingFang SC"/>
          <w:color w:val="3D3A33"/>
          <w:sz w:val="22"/>
          <w:szCs w:val="22"/>
        </w:rPr>
        <w:t xml:space="preserve">Learning can occur at different levels: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74"/>
        <w:gridCol w:w="5231"/>
        <w:gridCol w:w="2455"/>
      </w:tblGrid>
      <w:tr>
        <w:trPr>
          <w:tblHeader/>
        </w:trPr>
        <w:tc>
          <w:tcPr>
            <w:tcW w:w="1674" w:type="dxa"/>
            <w:shd w:val="clear" w:color="auto" w:fill="EAE7DD"/>
          </w:tcPr>
          <w:p>
            <w:pPr>
              <w:spacing w:before="0" w:after="0" w:line="312" w:lineRule="auto"/>
            </w:pPr>
            <w:r>
              <w:rPr>
                <w:rFonts w:ascii="Calibri" w:hAnsi="Calibri" w:cs="Calibri" w:eastAsia="PingFang SC"/>
                <w:b/>
                <w:color w:val="3D3A33"/>
                <w:sz w:val="22"/>
                <w:szCs w:val="22"/>
              </w:rPr>
              <w:t xml:space="preserve">Learning loop</w:t>
            </w:r>
          </w:p>
        </w:tc>
        <w:tc>
          <w:tcPr>
            <w:tcW w:w="5231" w:type="dxa"/>
            <w:shd w:val="clear" w:color="auto" w:fill="EAE7DD"/>
          </w:tcPr>
          <w:p>
            <w:pPr>
              <w:spacing w:before="0" w:after="0" w:line="312" w:lineRule="auto"/>
            </w:pPr>
            <w:r>
              <w:rPr>
                <w:rFonts w:ascii="Calibri" w:hAnsi="Calibri" w:cs="Calibri" w:eastAsia="PingFang SC"/>
                <w:b/>
                <w:color w:val="3D3A33"/>
                <w:sz w:val="22"/>
                <w:szCs w:val="22"/>
              </w:rPr>
              <w:t xml:space="preserve">Focus</w:t>
            </w:r>
          </w:p>
        </w:tc>
        <w:tc>
          <w:tcPr>
            <w:tcW w:w="2455" w:type="dxa"/>
            <w:shd w:val="clear" w:color="auto" w:fill="EAE7DD"/>
          </w:tcPr>
          <w:p>
            <w:pPr>
              <w:spacing w:before="0" w:after="0" w:line="312" w:lineRule="auto"/>
            </w:pPr>
            <w:r>
              <w:rPr>
                <w:rFonts w:ascii="Calibri" w:hAnsi="Calibri" w:cs="Calibri" w:eastAsia="PingFang SC"/>
                <w:b/>
                <w:color w:val="3D3A33"/>
                <w:sz w:val="22"/>
                <w:szCs w:val="22"/>
              </w:rPr>
              <w:t xml:space="preserve">Guiding idea</w:t>
            </w:r>
          </w:p>
        </w:tc>
      </w:tr>
      <w:tr>
        <w:tc>
          <w:tcPr>
            <w:tcW w:w="1674" w:type="dxa"/>
          </w:tcPr>
          <w:p>
            <w:pPr>
              <w:spacing w:before="0" w:after="0" w:line="312" w:lineRule="auto"/>
            </w:pPr>
            <w:r>
              <w:rPr>
                <w:rFonts w:ascii="Calibri" w:hAnsi="Calibri" w:cs="Calibri" w:eastAsia="PingFang SC"/>
                <w:color w:val="3D3A33"/>
                <w:sz w:val="22"/>
                <w:szCs w:val="22"/>
              </w:rPr>
              <w:t xml:space="preserve">Single-loop</w:t>
            </w:r>
          </w:p>
        </w:tc>
        <w:tc>
          <w:tcPr>
            <w:tcW w:w="5231" w:type="dxa"/>
          </w:tcPr>
          <w:p>
            <w:pPr>
              <w:spacing w:before="0" w:after="0" w:line="312" w:lineRule="auto"/>
            </w:pPr>
            <w:r>
              <w:rPr>
                <w:rFonts w:ascii="Calibri" w:hAnsi="Calibri" w:cs="Calibri" w:eastAsia="PingFang SC"/>
                <w:color w:val="3D3A33"/>
                <w:sz w:val="22"/>
                <w:szCs w:val="22"/>
              </w:rPr>
              <w:t xml:space="preserve">Correct errors within existing assumptions and procedures</w:t>
            </w:r>
          </w:p>
        </w:tc>
        <w:tc>
          <w:tcPr>
            <w:tcW w:w="2455" w:type="dxa"/>
          </w:tcPr>
          <w:p>
            <w:pPr>
              <w:spacing w:before="0" w:after="0" w:line="312" w:lineRule="auto"/>
            </w:pPr>
            <w:r>
              <w:rPr>
                <w:rFonts w:ascii="Calibri" w:hAnsi="Calibri" w:cs="Calibri" w:eastAsia="PingFang SC"/>
                <w:color w:val="3D3A33"/>
                <w:sz w:val="22"/>
                <w:szCs w:val="22"/>
              </w:rPr>
              <w:t xml:space="preserve">Do things right</w:t>
            </w:r>
          </w:p>
        </w:tc>
      </w:tr>
      <w:tr>
        <w:tc>
          <w:tcPr>
            <w:tcW w:w="1674" w:type="dxa"/>
          </w:tcPr>
          <w:p>
            <w:pPr>
              <w:spacing w:before="0" w:after="0" w:line="312" w:lineRule="auto"/>
            </w:pPr>
            <w:r>
              <w:rPr>
                <w:rFonts w:ascii="Calibri" w:hAnsi="Calibri" w:cs="Calibri" w:eastAsia="PingFang SC"/>
                <w:color w:val="3D3A33"/>
                <w:sz w:val="22"/>
                <w:szCs w:val="22"/>
              </w:rPr>
              <w:t xml:space="preserve">Double-loop</w:t>
            </w:r>
          </w:p>
        </w:tc>
        <w:tc>
          <w:tcPr>
            <w:tcW w:w="5231" w:type="dxa"/>
          </w:tcPr>
          <w:p>
            <w:pPr>
              <w:spacing w:before="0" w:after="0" w:line="312" w:lineRule="auto"/>
            </w:pPr>
            <w:r>
              <w:rPr>
                <w:rFonts w:ascii="Calibri" w:hAnsi="Calibri" w:cs="Calibri" w:eastAsia="PingFang SC"/>
                <w:color w:val="3D3A33"/>
                <w:sz w:val="22"/>
                <w:szCs w:val="22"/>
              </w:rPr>
              <w:t xml:space="preserve">Examine causes and reconsider the approach or framing</w:t>
            </w:r>
          </w:p>
        </w:tc>
        <w:tc>
          <w:tcPr>
            <w:tcW w:w="2455" w:type="dxa"/>
          </w:tcPr>
          <w:p>
            <w:pPr>
              <w:spacing w:before="0" w:after="0" w:line="312" w:lineRule="auto"/>
            </w:pPr>
            <w:r>
              <w:rPr>
                <w:rFonts w:ascii="Calibri" w:hAnsi="Calibri" w:cs="Calibri" w:eastAsia="PingFang SC"/>
                <w:color w:val="3D3A33"/>
                <w:sz w:val="22"/>
                <w:szCs w:val="22"/>
              </w:rPr>
              <w:t xml:space="preserve">Do the right things</w:t>
            </w:r>
          </w:p>
        </w:tc>
      </w:tr>
      <w:tr>
        <w:tc>
          <w:tcPr>
            <w:tcW w:w="1674" w:type="dxa"/>
          </w:tcPr>
          <w:p>
            <w:pPr>
              <w:spacing w:before="0" w:after="0" w:line="312" w:lineRule="auto"/>
            </w:pPr>
            <w:r>
              <w:rPr>
                <w:rFonts w:ascii="Calibri" w:hAnsi="Calibri" w:cs="Calibri" w:eastAsia="PingFang SC"/>
                <w:color w:val="3D3A33"/>
                <w:sz w:val="22"/>
                <w:szCs w:val="22"/>
              </w:rPr>
              <w:t xml:space="preserve">Triple-loop</w:t>
            </w:r>
          </w:p>
        </w:tc>
        <w:tc>
          <w:tcPr>
            <w:tcW w:w="5231" w:type="dxa"/>
          </w:tcPr>
          <w:p>
            <w:pPr>
              <w:spacing w:before="0" w:after="0" w:line="312" w:lineRule="auto"/>
            </w:pPr>
            <w:r>
              <w:rPr>
                <w:rFonts w:ascii="Calibri" w:hAnsi="Calibri" w:cs="Calibri" w:eastAsia="PingFang SC"/>
                <w:color w:val="3D3A33"/>
                <w:sz w:val="22"/>
                <w:szCs w:val="22"/>
              </w:rPr>
              <w:t xml:space="preserve">Question values and how the system decides what is right</w:t>
            </w:r>
          </w:p>
        </w:tc>
        <w:tc>
          <w:tcPr>
            <w:tcW w:w="2455" w:type="dxa"/>
          </w:tcPr>
          <w:p>
            <w:pPr>
              <w:spacing w:before="0" w:after="0" w:line="312" w:lineRule="auto"/>
            </w:pPr>
            <w:r>
              <w:rPr>
                <w:rFonts w:ascii="Calibri" w:hAnsi="Calibri" w:cs="Calibri" w:eastAsia="PingFang SC"/>
                <w:color w:val="3D3A33"/>
                <w:sz w:val="22"/>
                <w:szCs w:val="22"/>
              </w:rPr>
              <w:t xml:space="preserve">Examine why the system, processes and desired outcomes exist</w:t>
            </w:r>
          </w:p>
        </w:tc>
      </w:tr>
    </w:tbl>
    <w:p>
      <w:pPr>
        <w:spacing w:before="0" w:after="160" w:line="312" w:lineRule="auto"/>
      </w:pPr>
      <w:r>
        <w:rPr>
          <w:rFonts w:ascii="Calibri" w:hAnsi="Calibri" w:cs="Calibri" w:eastAsia="PingFang SC"/>
          <w:color w:val="3D3A33"/>
          <w:sz w:val="22"/>
          <w:szCs w:val="22"/>
        </w:rPr>
        <w:t xml:space="preserve">Single-loop correction can be useful without changing the wider purpose. Double-loop learning reframes the approach. Triple-loop learning examines the values and decision processes underlying the framing itself.</w:t>
      </w:r>
    </w:p>
    <w:p>
      <w:pPr>
        <w:spacing w:before="240" w:after="80" w:line="312" w:lineRule="auto"/>
      </w:pPr>
      <w:r>
        <w:rPr>
          <w:rFonts w:ascii="Calibri" w:hAnsi="Calibri" w:cs="Calibri" w:eastAsia="PingFang SC"/>
          <w:b/>
          <w:color w:val="9E3D34"/>
          <w:sz w:val="26"/>
          <w:szCs w:val="26"/>
        </w:rPr>
        <w:t xml:space="preserve">System Concepts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55"/>
        <w:gridCol w:w="7605"/>
      </w:tblGrid>
      <w:tr>
        <w:trPr>
          <w:tblHeader/>
        </w:trPr>
        <w:tc>
          <w:tcPr>
            <w:tcW w:w="1755" w:type="dxa"/>
            <w:shd w:val="clear" w:color="auto" w:fill="EAE7DD"/>
          </w:tcPr>
          <w:p>
            <w:pPr>
              <w:spacing w:before="0" w:after="0" w:line="312" w:lineRule="auto"/>
            </w:pPr>
            <w:r>
              <w:rPr>
                <w:rFonts w:ascii="Calibri" w:hAnsi="Calibri" w:cs="Calibri" w:eastAsia="PingFang SC"/>
                <w:b/>
                <w:color w:val="3D3A33"/>
                <w:sz w:val="22"/>
                <w:szCs w:val="22"/>
              </w:rPr>
              <w:t xml:space="preserve">Concept</w:t>
            </w:r>
          </w:p>
        </w:tc>
        <w:tc>
          <w:tcPr>
            <w:tcW w:w="7605"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1755" w:type="dxa"/>
          </w:tcPr>
          <w:p>
            <w:pPr>
              <w:spacing w:before="0" w:after="0" w:line="312" w:lineRule="auto"/>
            </w:pPr>
            <w:r>
              <w:rPr>
                <w:rFonts w:ascii="Calibri" w:hAnsi="Calibri" w:cs="Calibri" w:eastAsia="PingFang SC"/>
                <w:color w:val="3D3A33"/>
                <w:sz w:val="22"/>
                <w:szCs w:val="22"/>
              </w:rPr>
              <w:t xml:space="preserve">Stock</w:t>
            </w:r>
          </w:p>
        </w:tc>
        <w:tc>
          <w:tcPr>
            <w:tcW w:w="7605" w:type="dxa"/>
          </w:tcPr>
          <w:p>
            <w:pPr>
              <w:spacing w:before="0" w:after="0" w:line="312" w:lineRule="auto"/>
            </w:pPr>
            <w:r>
              <w:rPr>
                <w:rFonts w:ascii="Calibri" w:hAnsi="Calibri" w:cs="Calibri" w:eastAsia="PingFang SC"/>
                <w:color w:val="3D3A33"/>
                <w:sz w:val="22"/>
                <w:szCs w:val="22"/>
              </w:rPr>
              <w:t xml:space="preserve">An accumulated quantity or system state</w:t>
            </w:r>
          </w:p>
        </w:tc>
      </w:tr>
      <w:tr>
        <w:tc>
          <w:tcPr>
            <w:tcW w:w="1755" w:type="dxa"/>
          </w:tcPr>
          <w:p>
            <w:pPr>
              <w:spacing w:before="0" w:after="0" w:line="312" w:lineRule="auto"/>
            </w:pPr>
            <w:r>
              <w:rPr>
                <w:rFonts w:ascii="Calibri" w:hAnsi="Calibri" w:cs="Calibri" w:eastAsia="PingFang SC"/>
                <w:color w:val="3D3A33"/>
                <w:sz w:val="22"/>
                <w:szCs w:val="22"/>
              </w:rPr>
              <w:t xml:space="preserve">Flow</w:t>
            </w:r>
          </w:p>
        </w:tc>
        <w:tc>
          <w:tcPr>
            <w:tcW w:w="7605" w:type="dxa"/>
          </w:tcPr>
          <w:p>
            <w:pPr>
              <w:spacing w:before="0" w:after="0" w:line="312" w:lineRule="auto"/>
            </w:pPr>
            <w:r>
              <w:rPr>
                <w:rFonts w:ascii="Calibri" w:hAnsi="Calibri" w:cs="Calibri" w:eastAsia="PingFang SC"/>
                <w:color w:val="3D3A33"/>
                <w:sz w:val="22"/>
                <w:szCs w:val="22"/>
              </w:rPr>
              <w:t xml:space="preserve">A rate that increases or decreases a stock</w:t>
            </w:r>
          </w:p>
        </w:tc>
      </w:tr>
      <w:tr>
        <w:tc>
          <w:tcPr>
            <w:tcW w:w="1755" w:type="dxa"/>
          </w:tcPr>
          <w:p>
            <w:pPr>
              <w:spacing w:before="0" w:after="0" w:line="312" w:lineRule="auto"/>
            </w:pPr>
            <w:r>
              <w:rPr>
                <w:rFonts w:ascii="Calibri" w:hAnsi="Calibri" w:cs="Calibri" w:eastAsia="PingFang SC"/>
                <w:color w:val="3D3A33"/>
                <w:sz w:val="22"/>
                <w:szCs w:val="22"/>
              </w:rPr>
              <w:t xml:space="preserve">Feedback</w:t>
            </w:r>
          </w:p>
        </w:tc>
        <w:tc>
          <w:tcPr>
            <w:tcW w:w="7605" w:type="dxa"/>
          </w:tcPr>
          <w:p>
            <w:pPr>
              <w:spacing w:before="0" w:after="0" w:line="312" w:lineRule="auto"/>
            </w:pPr>
            <w:r>
              <w:rPr>
                <w:rFonts w:ascii="Calibri" w:hAnsi="Calibri" w:cs="Calibri" w:eastAsia="PingFang SC"/>
                <w:color w:val="3D3A33"/>
                <w:sz w:val="22"/>
                <w:szCs w:val="22"/>
              </w:rPr>
              <w:t xml:space="preserve">A chain of effects that returns to influence an earlier condition</w:t>
            </w:r>
          </w:p>
        </w:tc>
      </w:tr>
      <w:tr>
        <w:tc>
          <w:tcPr>
            <w:tcW w:w="1755" w:type="dxa"/>
          </w:tcPr>
          <w:p>
            <w:pPr>
              <w:spacing w:before="0" w:after="0" w:line="312" w:lineRule="auto"/>
            </w:pPr>
            <w:r>
              <w:rPr>
                <w:rFonts w:ascii="Calibri" w:hAnsi="Calibri" w:cs="Calibri" w:eastAsia="PingFang SC"/>
                <w:color w:val="3D3A33"/>
                <w:sz w:val="22"/>
                <w:szCs w:val="22"/>
              </w:rPr>
              <w:t xml:space="preserve">Delay</w:t>
            </w:r>
          </w:p>
        </w:tc>
        <w:tc>
          <w:tcPr>
            <w:tcW w:w="7605" w:type="dxa"/>
          </w:tcPr>
          <w:p>
            <w:pPr>
              <w:spacing w:before="0" w:after="0" w:line="312" w:lineRule="auto"/>
            </w:pPr>
            <w:r>
              <w:rPr>
                <w:rFonts w:ascii="Calibri" w:hAnsi="Calibri" w:cs="Calibri" w:eastAsia="PingFang SC"/>
                <w:color w:val="3D3A33"/>
                <w:sz w:val="22"/>
                <w:szCs w:val="22"/>
              </w:rPr>
              <w:t xml:space="preserve">A separation in time between an action and its effect or between information and response</w:t>
            </w:r>
          </w:p>
        </w:tc>
      </w:tr>
      <w:tr>
        <w:tc>
          <w:tcPr>
            <w:tcW w:w="1755" w:type="dxa"/>
          </w:tcPr>
          <w:p>
            <w:pPr>
              <w:spacing w:before="0" w:after="0" w:line="312" w:lineRule="auto"/>
            </w:pPr>
            <w:r>
              <w:rPr>
                <w:rFonts w:ascii="Calibri" w:hAnsi="Calibri" w:cs="Calibri" w:eastAsia="PingFang SC"/>
                <w:color w:val="3D3A33"/>
                <w:sz w:val="22"/>
                <w:szCs w:val="22"/>
              </w:rPr>
              <w:t xml:space="preserve">Parameter</w:t>
            </w:r>
          </w:p>
        </w:tc>
        <w:tc>
          <w:tcPr>
            <w:tcW w:w="7605" w:type="dxa"/>
          </w:tcPr>
          <w:p>
            <w:pPr>
              <w:spacing w:before="0" w:after="0" w:line="312" w:lineRule="auto"/>
            </w:pPr>
            <w:r>
              <w:rPr>
                <w:rFonts w:ascii="Calibri" w:hAnsi="Calibri" w:cs="Calibri" w:eastAsia="PingFang SC"/>
                <w:color w:val="3D3A33"/>
                <w:sz w:val="22"/>
                <w:szCs w:val="22"/>
              </w:rPr>
              <w:t xml:space="preserve">A numerical setting that affects operation</w:t>
            </w:r>
          </w:p>
        </w:tc>
      </w:tr>
    </w:tbl>
    <w:p>
      <w:pPr>
        <w:spacing w:before="0" w:after="160" w:line="312" w:lineRule="auto"/>
      </w:pPr>
      <w:r>
        <w:rPr>
          <w:rFonts w:ascii="Calibri" w:hAnsi="Calibri" w:cs="Calibri" w:eastAsia="PingFang SC"/>
          <w:color w:val="3D3A33"/>
          <w:sz w:val="22"/>
          <w:szCs w:val="22"/>
        </w:rPr>
        <w:t xml:space="preserve">For a stock measured in units and flows measured in units per time period, the basic relationship is:</w:t>
      </w:r>
    </w:p>
    <w:p>
      <w:pPr>
        <w:spacing w:before="0" w:after="160" w:line="312" w:lineRule="auto"/>
      </w:pPr>
      <w:r>
        <w:rPr>
          <w:rFonts w:ascii="Calibri" w:hAnsi="Calibri" w:cs="Calibri" w:eastAsia="PingFang SC"/>
          <w:color w:val="3D3A33"/>
          <w:sz w:val="22"/>
          <w:szCs w:val="22"/>
        </w:rPr>
        <w:t xml:space="preserve">Change in stock = total inflow over the period - total outflow over the period</w:t>
      </w:r>
    </w:p>
    <w:p>
      <w:pPr>
        <w:spacing w:before="0" w:after="160" w:line="312" w:lineRule="auto"/>
      </w:pPr>
      <w:r>
        <w:rPr>
          <w:rFonts w:ascii="Calibri" w:hAnsi="Calibri" w:cs="Calibri" w:eastAsia="PingFang SC"/>
          <w:color w:val="3D3A33"/>
          <w:sz w:val="22"/>
          <w:szCs w:val="22"/>
        </w:rPr>
        <w:t xml:space="preserve">Thus the final stock equals the initial stock plus this change. Flow rates must be converted into quantities over the chosen interval before being added to a stock. A stock and a flow are not interchangeable quantities.</w:t>
      </w:r>
    </w:p>
    <w:p>
      <w:pPr>
        <w:spacing w:before="0" w:after="160" w:line="312" w:lineRule="auto"/>
      </w:pPr>
      <w:r>
        <w:rPr>
          <w:rFonts w:ascii="Calibri" w:hAnsi="Calibri" w:cs="Calibri" w:eastAsia="PingFang SC"/>
          <w:b/>
          <w:color w:val="3D3A33"/>
          <w:sz w:val="22"/>
          <w:szCs w:val="22"/>
        </w:rPr>
        <w:t xml:space="preserve">Balancing feedback</w:t>
      </w:r>
      <w:r>
        <w:rPr>
          <w:rFonts w:ascii="Calibri" w:hAnsi="Calibri" w:cs="Calibri" w:eastAsia="PingFang SC"/>
          <w:color w:val="3D3A33"/>
          <w:sz w:val="22"/>
          <w:szCs w:val="22"/>
        </w:rPr>
        <w:t xml:space="preserve">, also called negative feedback, counteracts a change or a departure from a target. </w:t>
      </w:r>
      <w:r>
        <w:rPr>
          <w:rFonts w:ascii="Calibri" w:hAnsi="Calibri" w:cs="Calibri" w:eastAsia="PingFang SC"/>
          <w:b/>
          <w:color w:val="3D3A33"/>
          <w:sz w:val="22"/>
          <w:szCs w:val="22"/>
        </w:rPr>
        <w:t xml:space="preserve">Reinforcing feedback</w:t>
      </w:r>
      <w:r>
        <w:rPr>
          <w:rFonts w:ascii="Calibri" w:hAnsi="Calibri" w:cs="Calibri" w:eastAsia="PingFang SC"/>
          <w:color w:val="3D3A33"/>
          <w:sz w:val="22"/>
          <w:szCs w:val="22"/>
        </w:rPr>
        <w:t xml:space="preserve">, also called positive feedback, amplifies a change, whether growth or decline. Positive does not mean beneficial, and negative does not mean harmful.</w:t>
      </w:r>
    </w:p>
    <w:p>
      <w:pPr>
        <w:spacing w:before="0" w:after="160" w:line="312" w:lineRule="auto"/>
      </w:pPr>
      <w:r>
        <w:rPr>
          <w:rFonts w:ascii="Calibri" w:hAnsi="Calibri" w:cs="Calibri" w:eastAsia="PingFang SC"/>
          <w:color w:val="3D3A33"/>
          <w:sz w:val="22"/>
          <w:szCs w:val="22"/>
        </w:rPr>
        <w:t xml:space="preserve">Delays can make a response arrive after conditions have changed. Repeated correction before earlier effects become visible can produce excessive responses and oscillation.</w:t>
      </w:r>
    </w:p>
    <w:p>
      <w:pPr>
        <w:spacing w:before="240" w:after="80" w:line="312" w:lineRule="auto"/>
      </w:pPr>
      <w:r>
        <w:rPr>
          <w:rFonts w:ascii="Calibri" w:hAnsi="Calibri" w:cs="Calibri" w:eastAsia="PingFang SC"/>
          <w:b/>
          <w:color w:val="9E3D34"/>
          <w:sz w:val="26"/>
          <w:szCs w:val="26"/>
        </w:rPr>
        <w:t xml:space="preserve">Sustainability and Project Purpose</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triple bottom line</w:t>
      </w:r>
      <w:r>
        <w:rPr>
          <w:rFonts w:ascii="Calibri" w:hAnsi="Calibri" w:cs="Calibri" w:eastAsia="PingFang SC"/>
          <w:color w:val="3D3A33"/>
          <w:sz w:val="22"/>
          <w:szCs w:val="22"/>
        </w:rPr>
        <w:t xml:space="preserve"> considers People, Planet and Profit: social wellbeing, environmental consequences and economic viability. This broadens evaluation beyond the </w:t>
      </w:r>
      <w:r>
        <w:rPr>
          <w:rFonts w:ascii="Calibri" w:hAnsi="Calibri" w:cs="Calibri" w:eastAsia="PingFang SC"/>
          <w:b/>
          <w:color w:val="3D3A33"/>
          <w:sz w:val="22"/>
          <w:szCs w:val="22"/>
        </w:rPr>
        <w:t xml:space="preserve">iron triangle</w:t>
      </w:r>
      <w:r>
        <w:rPr>
          <w:rFonts w:ascii="Calibri" w:hAnsi="Calibri" w:cs="Calibri" w:eastAsia="PingFang SC"/>
          <w:color w:val="3D3A33"/>
          <w:sz w:val="22"/>
          <w:szCs w:val="22"/>
        </w:rPr>
        <w:t xml:space="preserve"> of cost, time and scope.</w:t>
      </w:r>
    </w:p>
    <w:p>
      <w:pPr>
        <w:spacing w:before="0" w:after="160" w:line="312" w:lineRule="auto"/>
      </w:pPr>
      <w:r>
        <w:rPr>
          <w:rFonts w:ascii="Calibri" w:hAnsi="Calibri" w:cs="Calibri" w:eastAsia="PingFang SC"/>
          <w:color w:val="3D3A33"/>
          <w:sz w:val="22"/>
          <w:szCs w:val="22"/>
        </w:rPr>
        <w:t xml:space="preserve">Human sustainability includes safe conditions, reasonable working hours and good health. Efficient delivery against a narrow cost or schedule target does not establish that these wider outcomes are acceptable.</w:t>
      </w:r>
    </w:p>
    <w:p>
      <w:pPr>
        <w:spacing w:before="240" w:after="80" w:line="312" w:lineRule="auto"/>
      </w:pPr>
      <w:r>
        <w:rPr>
          <w:rFonts w:ascii="Calibri" w:hAnsi="Calibri" w:cs="Calibri" w:eastAsia="PingFang SC"/>
          <w:b/>
          <w:color w:val="9E3D34"/>
          <w:sz w:val="26"/>
          <w:szCs w:val="26"/>
        </w:rPr>
        <w:t xml:space="preserve">Paradigms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paradigm</w:t>
      </w:r>
      <w:r>
        <w:rPr>
          <w:rFonts w:ascii="Calibri" w:hAnsi="Calibri" w:cs="Calibri" w:eastAsia="PingFang SC"/>
          <w:color w:val="3D3A33"/>
          <w:sz w:val="22"/>
          <w:szCs w:val="22"/>
        </w:rPr>
        <w:t xml:space="preserve"> is a shared set of beliefs, values, techniques and exemplary ways of solving problems. It shapes what a community regards as a meaningful problem and a legitimate answer. Thomas Kuhn used the concept to examine scientific change, including shifts in astronomical explanations associated with Ptolemy and Copernicus.</w:t>
      </w:r>
    </w:p>
    <w:p>
      <w:pPr>
        <w:spacing w:before="0" w:after="160" w:line="312" w:lineRule="auto"/>
      </w:pPr>
      <w:r>
        <w:rPr>
          <w:rFonts w:ascii="Calibri" w:hAnsi="Calibri" w:cs="Calibri" w:eastAsia="PingFang SC"/>
          <w:color w:val="3D3A33"/>
          <w:sz w:val="22"/>
          <w:szCs w:val="22"/>
        </w:rPr>
        <w:t xml:space="preserve">In projects, consider </w:t>
      </w:r>
      <w:r>
        <w:rPr>
          <w:rFonts w:ascii="Calibri" w:hAnsi="Calibri" w:cs="Calibri" w:eastAsia="PingFang SC"/>
          <w:b/>
          <w:color w:val="3D3A33"/>
          <w:sz w:val="22"/>
          <w:szCs w:val="22"/>
        </w:rPr>
        <w:t xml:space="preserve">Enterprise Resource Planning (ERP)</w:t>
      </w:r>
      <w:r>
        <w:rPr>
          <w:rFonts w:ascii="Calibri" w:hAnsi="Calibri" w:cs="Calibri" w:eastAsia="PingFang SC"/>
          <w:color w:val="3D3A33"/>
          <w:sz w:val="22"/>
          <w:szCs w:val="22"/>
        </w:rPr>
        <w:t xml:space="preserve">, an integrated approach to managing business information and processes. Treating ERP as an information technology installation emphasises technical implementation. Treating it as business change also brings organisational processes, responsibilities and behaviour into scope. The technology can be similar while the understood purpose and necessary work differ.</w:t>
      </w:r>
    </w:p>
    <w:p>
      <w:pPr>
        <w:spacing w:before="240" w:after="80" w:line="312" w:lineRule="auto"/>
      </w:pPr>
      <w:r>
        <w:rPr>
          <w:rFonts w:ascii="Calibri" w:hAnsi="Calibri" w:cs="Calibri" w:eastAsia="PingFang SC"/>
          <w:b/>
          <w:color w:val="9E3D34"/>
          <w:sz w:val="26"/>
          <w:szCs w:val="26"/>
        </w:rPr>
        <w:t xml:space="preserve">Meadows' Twelve Leverage Points</w:t>
      </w:r>
    </w:p>
    <w:p>
      <w:pPr>
        <w:spacing w:before="0" w:after="160" w:line="312" w:lineRule="auto"/>
      </w:pPr>
      <w:r>
        <w:rPr>
          <w:rFonts w:ascii="Calibri" w:hAnsi="Calibri" w:cs="Calibri" w:eastAsia="PingFang SC"/>
          <w:color w:val="3D3A33"/>
          <w:sz w:val="22"/>
          <w:szCs w:val="22"/>
        </w:rPr>
        <w:t xml:space="preserve">The hierarchy runs from number 12, relatively shallow, toward number 1, relatively deep. The numbers are labels in the hierarchy, not measured quantities of effect.</w:t>
      </w:r>
    </w:p>
    <w:p>
      <w:pPr>
        <w:spacing w:before="0" w:after="160" w:line="312" w:lineRule="auto"/>
      </w:pPr>
      <w:r>
        <w:rPr>
          <w:rFonts w:ascii="Calibri" w:hAnsi="Calibri" w:cs="Calibri" w:eastAsia="PingFang SC"/>
          <w:color w:val="3D3A33"/>
          <w:sz w:val="22"/>
          <w:szCs w:val="22"/>
        </w:rPr>
        <w:t xml:space="preserve">A separate four-level depth scale runs in the opposite numerical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Depth 1: very shallow.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Depth 2: shallow.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Depth 3: deep.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Depth 4: very deep.</w:t>
      </w:r>
    </w:p>
    <w:p>
      <w:pPr>
        <w:spacing w:before="0" w:after="160" w:line="312" w:lineRule="auto"/>
      </w:pPr>
      <w:r>
        <w:rPr>
          <w:rFonts w:ascii="Calibri" w:hAnsi="Calibri" w:cs="Calibri" w:eastAsia="PingFang SC"/>
          <w:color w:val="3D3A33"/>
          <w:sz w:val="22"/>
          <w:szCs w:val="22"/>
        </w:rPr>
        <w:t xml:space="preserve">These scales support interpretation rather than an automatic numerical calculation. Classification depends on the actual mechanism, and some interventions span categories.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800"/>
        <w:gridCol w:w="2997"/>
        <w:gridCol w:w="800"/>
        <w:gridCol w:w="4764"/>
      </w:tblGrid>
      <w:tr>
        <w:trPr>
          <w:tblHeader/>
        </w:trPr>
        <w:tc>
          <w:tcPr>
            <w:tcW w:w="800" w:type="dxa"/>
            <w:shd w:val="clear" w:color="auto" w:fill="EAE7DD"/>
          </w:tcPr>
          <w:p>
            <w:pPr>
              <w:spacing w:before="0" w:after="0" w:line="312" w:lineRule="auto"/>
            </w:pPr>
            <w:r>
              <w:rPr>
                <w:rFonts w:ascii="Calibri" w:hAnsi="Calibri" w:cs="Calibri" w:eastAsia="PingFang SC"/>
                <w:b/>
                <w:color w:val="3D3A33"/>
                <w:sz w:val="22"/>
                <w:szCs w:val="22"/>
              </w:rPr>
              <w:t xml:space="preserve">Meadows number</w:t>
            </w:r>
          </w:p>
        </w:tc>
        <w:tc>
          <w:tcPr>
            <w:tcW w:w="2997" w:type="dxa"/>
            <w:shd w:val="clear" w:color="auto" w:fill="EAE7DD"/>
          </w:tcPr>
          <w:p>
            <w:pPr>
              <w:spacing w:before="0" w:after="0" w:line="312" w:lineRule="auto"/>
            </w:pPr>
            <w:r>
              <w:rPr>
                <w:rFonts w:ascii="Calibri" w:hAnsi="Calibri" w:cs="Calibri" w:eastAsia="PingFang SC"/>
                <w:b/>
                <w:color w:val="3D3A33"/>
                <w:sz w:val="22"/>
                <w:szCs w:val="22"/>
              </w:rPr>
              <w:t xml:space="preserve">Intervention location</w:t>
            </w:r>
          </w:p>
        </w:tc>
        <w:tc>
          <w:tcPr>
            <w:tcW w:w="800" w:type="dxa"/>
            <w:shd w:val="clear" w:color="auto" w:fill="EAE7DD"/>
          </w:tcPr>
          <w:p>
            <w:pPr>
              <w:spacing w:before="0" w:after="0" w:line="312" w:lineRule="auto"/>
            </w:pPr>
            <w:r>
              <w:rPr>
                <w:rFonts w:ascii="Calibri" w:hAnsi="Calibri" w:cs="Calibri" w:eastAsia="PingFang SC"/>
                <w:b/>
                <w:color w:val="3D3A33"/>
                <w:sz w:val="22"/>
                <w:szCs w:val="22"/>
              </w:rPr>
              <w:t xml:space="preserve">Four-level depth interpretation</w:t>
            </w:r>
          </w:p>
        </w:tc>
        <w:tc>
          <w:tcPr>
            <w:tcW w:w="4764" w:type="dxa"/>
            <w:shd w:val="clear" w:color="auto" w:fill="EAE7DD"/>
          </w:tcPr>
          <w:p>
            <w:pPr>
              <w:spacing w:before="0" w:after="0" w:line="312" w:lineRule="auto"/>
            </w:pPr>
            <w:r>
              <w:rPr>
                <w:rFonts w:ascii="Calibri" w:hAnsi="Calibri" w:cs="Calibri" w:eastAsia="PingFang SC"/>
                <w:b/>
                <w:color w:val="3D3A33"/>
                <w:sz w:val="22"/>
                <w:szCs w:val="22"/>
              </w:rPr>
              <w:t xml:space="preserve">Main mechanism</w:t>
            </w:r>
          </w:p>
        </w:tc>
      </w:tr>
      <w:tr>
        <w:tc>
          <w:tcPr>
            <w:tcW w:w="800" w:type="dxa"/>
          </w:tcPr>
          <w:p>
            <w:pPr>
              <w:spacing w:before="0" w:after="0" w:line="312" w:lineRule="auto"/>
            </w:pPr>
            <w:r>
              <w:rPr>
                <w:rFonts w:ascii="Calibri" w:hAnsi="Calibri" w:cs="Calibri" w:eastAsia="PingFang SC"/>
                <w:color w:val="3D3A33"/>
                <w:sz w:val="22"/>
                <w:szCs w:val="22"/>
              </w:rPr>
              <w:t xml:space="preserve">12</w:t>
            </w:r>
          </w:p>
        </w:tc>
        <w:tc>
          <w:tcPr>
            <w:tcW w:w="2997" w:type="dxa"/>
          </w:tcPr>
          <w:p>
            <w:pPr>
              <w:spacing w:before="0" w:after="0" w:line="312" w:lineRule="auto"/>
            </w:pPr>
            <w:r>
              <w:rPr>
                <w:rFonts w:ascii="Calibri" w:hAnsi="Calibri" w:cs="Calibri" w:eastAsia="PingFang SC"/>
                <w:color w:val="3D3A33"/>
                <w:sz w:val="22"/>
                <w:szCs w:val="22"/>
              </w:rPr>
              <w:t xml:space="preserve">Constants, parameters and numbers</w:t>
            </w:r>
          </w:p>
        </w:tc>
        <w:tc>
          <w:tcPr>
            <w:tcW w:w="800" w:type="dxa"/>
          </w:tcPr>
          <w:p>
            <w:pPr>
              <w:spacing w:before="0" w:after="0" w:line="312" w:lineRule="auto"/>
            </w:pPr>
            <w:r>
              <w:rPr>
                <w:rFonts w:ascii="Calibri" w:hAnsi="Calibri" w:cs="Calibri" w:eastAsia="PingFang SC"/>
                <w:color w:val="3D3A33"/>
                <w:sz w:val="22"/>
                <w:szCs w:val="22"/>
              </w:rPr>
              <w:t xml:space="preserve">1</w:t>
            </w:r>
          </w:p>
        </w:tc>
        <w:tc>
          <w:tcPr>
            <w:tcW w:w="4764" w:type="dxa"/>
          </w:tcPr>
          <w:p>
            <w:pPr>
              <w:spacing w:before="0" w:after="0" w:line="312" w:lineRule="auto"/>
            </w:pPr>
            <w:r>
              <w:rPr>
                <w:rFonts w:ascii="Calibri" w:hAnsi="Calibri" w:cs="Calibri" w:eastAsia="PingFang SC"/>
                <w:color w:val="3D3A33"/>
                <w:sz w:val="22"/>
                <w:szCs w:val="22"/>
              </w:rPr>
              <w:t xml:space="preserve">Adjust numerical settings without necessarily altering underlying structure</w:t>
            </w:r>
          </w:p>
        </w:tc>
      </w:tr>
      <w:tr>
        <w:tc>
          <w:tcPr>
            <w:tcW w:w="800" w:type="dxa"/>
          </w:tcPr>
          <w:p>
            <w:pPr>
              <w:spacing w:before="0" w:after="0" w:line="312" w:lineRule="auto"/>
            </w:pPr>
            <w:r>
              <w:rPr>
                <w:rFonts w:ascii="Calibri" w:hAnsi="Calibri" w:cs="Calibri" w:eastAsia="PingFang SC"/>
                <w:color w:val="3D3A33"/>
                <w:sz w:val="22"/>
                <w:szCs w:val="22"/>
              </w:rPr>
              <w:t xml:space="preserve">11</w:t>
            </w:r>
          </w:p>
        </w:tc>
        <w:tc>
          <w:tcPr>
            <w:tcW w:w="2997" w:type="dxa"/>
          </w:tcPr>
          <w:p>
            <w:pPr>
              <w:spacing w:before="0" w:after="0" w:line="312" w:lineRule="auto"/>
            </w:pPr>
            <w:r>
              <w:rPr>
                <w:rFonts w:ascii="Calibri" w:hAnsi="Calibri" w:cs="Calibri" w:eastAsia="PingFang SC"/>
                <w:color w:val="3D3A33"/>
                <w:sz w:val="22"/>
                <w:szCs w:val="22"/>
              </w:rPr>
              <w:t xml:space="preserve">Buffers relative to flows</w:t>
            </w:r>
          </w:p>
        </w:tc>
        <w:tc>
          <w:tcPr>
            <w:tcW w:w="800" w:type="dxa"/>
          </w:tcPr>
          <w:p>
            <w:pPr>
              <w:spacing w:before="0" w:after="0" w:line="312" w:lineRule="auto"/>
            </w:pPr>
            <w:r>
              <w:rPr>
                <w:rFonts w:ascii="Calibri" w:hAnsi="Calibri" w:cs="Calibri" w:eastAsia="PingFang SC"/>
                <w:color w:val="3D3A33"/>
                <w:sz w:val="22"/>
                <w:szCs w:val="22"/>
              </w:rPr>
              <w:t xml:space="preserve">1</w:t>
            </w:r>
          </w:p>
        </w:tc>
        <w:tc>
          <w:tcPr>
            <w:tcW w:w="4764" w:type="dxa"/>
          </w:tcPr>
          <w:p>
            <w:pPr>
              <w:spacing w:before="0" w:after="0" w:line="312" w:lineRule="auto"/>
            </w:pPr>
            <w:r>
              <w:rPr>
                <w:rFonts w:ascii="Calibri" w:hAnsi="Calibri" w:cs="Calibri" w:eastAsia="PingFang SC"/>
                <w:color w:val="3D3A33"/>
                <w:sz w:val="22"/>
                <w:szCs w:val="22"/>
              </w:rPr>
              <w:t xml:space="preserve">Change the capacity to absorb fluctuations</w:t>
            </w:r>
          </w:p>
        </w:tc>
      </w:tr>
      <w:tr>
        <w:tc>
          <w:tcPr>
            <w:tcW w:w="800" w:type="dxa"/>
          </w:tcPr>
          <w:p>
            <w:pPr>
              <w:spacing w:before="0" w:after="0" w:line="312" w:lineRule="auto"/>
            </w:pPr>
            <w:r>
              <w:rPr>
                <w:rFonts w:ascii="Calibri" w:hAnsi="Calibri" w:cs="Calibri" w:eastAsia="PingFang SC"/>
                <w:color w:val="3D3A33"/>
                <w:sz w:val="22"/>
                <w:szCs w:val="22"/>
              </w:rPr>
              <w:t xml:space="preserve">10</w:t>
            </w:r>
          </w:p>
        </w:tc>
        <w:tc>
          <w:tcPr>
            <w:tcW w:w="2997" w:type="dxa"/>
          </w:tcPr>
          <w:p>
            <w:pPr>
              <w:spacing w:before="0" w:after="0" w:line="312" w:lineRule="auto"/>
            </w:pPr>
            <w:r>
              <w:rPr>
                <w:rFonts w:ascii="Calibri" w:hAnsi="Calibri" w:cs="Calibri" w:eastAsia="PingFang SC"/>
                <w:color w:val="3D3A33"/>
                <w:sz w:val="22"/>
                <w:szCs w:val="22"/>
              </w:rPr>
              <w:t xml:space="preserve">Material stock-and-flow structures</w:t>
            </w:r>
          </w:p>
        </w:tc>
        <w:tc>
          <w:tcPr>
            <w:tcW w:w="800" w:type="dxa"/>
          </w:tcPr>
          <w:p>
            <w:pPr>
              <w:spacing w:before="0" w:after="0" w:line="312" w:lineRule="auto"/>
            </w:pPr>
            <w:r>
              <w:rPr>
                <w:rFonts w:ascii="Calibri" w:hAnsi="Calibri" w:cs="Calibri" w:eastAsia="PingFang SC"/>
                <w:color w:val="3D3A33"/>
                <w:sz w:val="22"/>
                <w:szCs w:val="22"/>
              </w:rPr>
              <w:t xml:space="preserve">1</w:t>
            </w:r>
          </w:p>
        </w:tc>
        <w:tc>
          <w:tcPr>
            <w:tcW w:w="4764" w:type="dxa"/>
          </w:tcPr>
          <w:p>
            <w:pPr>
              <w:spacing w:before="0" w:after="0" w:line="312" w:lineRule="auto"/>
            </w:pPr>
            <w:r>
              <w:rPr>
                <w:rFonts w:ascii="Calibri" w:hAnsi="Calibri" w:cs="Calibri" w:eastAsia="PingFang SC"/>
                <w:color w:val="3D3A33"/>
                <w:sz w:val="22"/>
                <w:szCs w:val="22"/>
              </w:rPr>
              <w:t xml:space="preserve">Change physical arrangements that channel behaviour</w:t>
            </w:r>
          </w:p>
        </w:tc>
      </w:tr>
      <w:tr>
        <w:tc>
          <w:tcPr>
            <w:tcW w:w="800" w:type="dxa"/>
          </w:tcPr>
          <w:p>
            <w:pPr>
              <w:spacing w:before="0" w:after="0" w:line="312" w:lineRule="auto"/>
            </w:pPr>
            <w:r>
              <w:rPr>
                <w:rFonts w:ascii="Calibri" w:hAnsi="Calibri" w:cs="Calibri" w:eastAsia="PingFang SC"/>
                <w:color w:val="3D3A33"/>
                <w:sz w:val="22"/>
                <w:szCs w:val="22"/>
              </w:rPr>
              <w:t xml:space="preserve">9</w:t>
            </w:r>
          </w:p>
        </w:tc>
        <w:tc>
          <w:tcPr>
            <w:tcW w:w="2997" w:type="dxa"/>
          </w:tcPr>
          <w:p>
            <w:pPr>
              <w:spacing w:before="0" w:after="0" w:line="312" w:lineRule="auto"/>
            </w:pPr>
            <w:r>
              <w:rPr>
                <w:rFonts w:ascii="Calibri" w:hAnsi="Calibri" w:cs="Calibri" w:eastAsia="PingFang SC"/>
                <w:color w:val="3D3A33"/>
                <w:sz w:val="22"/>
                <w:szCs w:val="22"/>
              </w:rPr>
              <w:t xml:space="preserve">Delays relative to rates of change</w:t>
            </w:r>
          </w:p>
        </w:tc>
        <w:tc>
          <w:tcPr>
            <w:tcW w:w="800" w:type="dxa"/>
          </w:tcPr>
          <w:p>
            <w:pPr>
              <w:spacing w:before="0" w:after="0" w:line="312" w:lineRule="auto"/>
            </w:pPr>
            <w:r>
              <w:rPr>
                <w:rFonts w:ascii="Calibri" w:hAnsi="Calibri" w:cs="Calibri" w:eastAsia="PingFang SC"/>
                <w:color w:val="3D3A33"/>
                <w:sz w:val="22"/>
                <w:szCs w:val="22"/>
              </w:rPr>
              <w:t xml:space="preserve">2</w:t>
            </w:r>
          </w:p>
        </w:tc>
        <w:tc>
          <w:tcPr>
            <w:tcW w:w="4764" w:type="dxa"/>
          </w:tcPr>
          <w:p>
            <w:pPr>
              <w:spacing w:before="0" w:after="0" w:line="312" w:lineRule="auto"/>
            </w:pPr>
            <w:r>
              <w:rPr>
                <w:rFonts w:ascii="Calibri" w:hAnsi="Calibri" w:cs="Calibri" w:eastAsia="PingFang SC"/>
                <w:color w:val="3D3A33"/>
                <w:sz w:val="22"/>
                <w:szCs w:val="22"/>
              </w:rPr>
              <w:t xml:space="preserve">Change the timing of information, decisions or physical response</w:t>
            </w:r>
          </w:p>
        </w:tc>
      </w:tr>
      <w:tr>
        <w:tc>
          <w:tcPr>
            <w:tcW w:w="800" w:type="dxa"/>
          </w:tcPr>
          <w:p>
            <w:pPr>
              <w:spacing w:before="0" w:after="0" w:line="312" w:lineRule="auto"/>
            </w:pPr>
            <w:r>
              <w:rPr>
                <w:rFonts w:ascii="Calibri" w:hAnsi="Calibri" w:cs="Calibri" w:eastAsia="PingFang SC"/>
                <w:color w:val="3D3A33"/>
                <w:sz w:val="22"/>
                <w:szCs w:val="22"/>
              </w:rPr>
              <w:t xml:space="preserve">8</w:t>
            </w:r>
          </w:p>
        </w:tc>
        <w:tc>
          <w:tcPr>
            <w:tcW w:w="2997" w:type="dxa"/>
          </w:tcPr>
          <w:p>
            <w:pPr>
              <w:spacing w:before="0" w:after="0" w:line="312" w:lineRule="auto"/>
            </w:pPr>
            <w:r>
              <w:rPr>
                <w:rFonts w:ascii="Calibri" w:hAnsi="Calibri" w:cs="Calibri" w:eastAsia="PingFang SC"/>
                <w:color w:val="3D3A33"/>
                <w:sz w:val="22"/>
                <w:szCs w:val="22"/>
              </w:rPr>
              <w:t xml:space="preserve">Strength of balancing feedback</w:t>
            </w:r>
          </w:p>
        </w:tc>
        <w:tc>
          <w:tcPr>
            <w:tcW w:w="800" w:type="dxa"/>
          </w:tcPr>
          <w:p>
            <w:pPr>
              <w:spacing w:before="0" w:after="0" w:line="312" w:lineRule="auto"/>
            </w:pPr>
            <w:r>
              <w:rPr>
                <w:rFonts w:ascii="Calibri" w:hAnsi="Calibri" w:cs="Calibri" w:eastAsia="PingFang SC"/>
                <w:color w:val="3D3A33"/>
                <w:sz w:val="22"/>
                <w:szCs w:val="22"/>
              </w:rPr>
              <w:t xml:space="preserve">2-3</w:t>
            </w:r>
          </w:p>
        </w:tc>
        <w:tc>
          <w:tcPr>
            <w:tcW w:w="4764" w:type="dxa"/>
          </w:tcPr>
          <w:p>
            <w:pPr>
              <w:spacing w:before="0" w:after="0" w:line="312" w:lineRule="auto"/>
            </w:pPr>
            <w:r>
              <w:rPr>
                <w:rFonts w:ascii="Calibri" w:hAnsi="Calibri" w:cs="Calibri" w:eastAsia="PingFang SC"/>
                <w:color w:val="3D3A33"/>
                <w:sz w:val="22"/>
                <w:szCs w:val="22"/>
              </w:rPr>
              <w:t xml:space="preserve">Improve the capacity to detect and correct departures from a target</w:t>
            </w:r>
          </w:p>
        </w:tc>
      </w:tr>
      <w:tr>
        <w:tc>
          <w:tcPr>
            <w:tcW w:w="800" w:type="dxa"/>
          </w:tcPr>
          <w:p>
            <w:pPr>
              <w:spacing w:before="0" w:after="0" w:line="312" w:lineRule="auto"/>
            </w:pPr>
            <w:r>
              <w:rPr>
                <w:rFonts w:ascii="Calibri" w:hAnsi="Calibri" w:cs="Calibri" w:eastAsia="PingFang SC"/>
                <w:color w:val="3D3A33"/>
                <w:sz w:val="22"/>
                <w:szCs w:val="22"/>
              </w:rPr>
              <w:t xml:space="preserve">7</w:t>
            </w:r>
          </w:p>
        </w:tc>
        <w:tc>
          <w:tcPr>
            <w:tcW w:w="2997" w:type="dxa"/>
          </w:tcPr>
          <w:p>
            <w:pPr>
              <w:spacing w:before="0" w:after="0" w:line="312" w:lineRule="auto"/>
            </w:pPr>
            <w:r>
              <w:rPr>
                <w:rFonts w:ascii="Calibri" w:hAnsi="Calibri" w:cs="Calibri" w:eastAsia="PingFang SC"/>
                <w:color w:val="3D3A33"/>
                <w:sz w:val="22"/>
                <w:szCs w:val="22"/>
              </w:rPr>
              <w:t xml:space="preserve">Gain of reinforcing feedback</w:t>
            </w:r>
          </w:p>
        </w:tc>
        <w:tc>
          <w:tcPr>
            <w:tcW w:w="800" w:type="dxa"/>
          </w:tcPr>
          <w:p>
            <w:pPr>
              <w:spacing w:before="0" w:after="0" w:line="312" w:lineRule="auto"/>
            </w:pPr>
            <w:r>
              <w:rPr>
                <w:rFonts w:ascii="Calibri" w:hAnsi="Calibri" w:cs="Calibri" w:eastAsia="PingFang SC"/>
                <w:color w:val="3D3A33"/>
                <w:sz w:val="22"/>
                <w:szCs w:val="22"/>
              </w:rPr>
              <w:t xml:space="preserve">2</w:t>
            </w:r>
          </w:p>
        </w:tc>
        <w:tc>
          <w:tcPr>
            <w:tcW w:w="4764" w:type="dxa"/>
          </w:tcPr>
          <w:p>
            <w:pPr>
              <w:spacing w:before="0" w:after="0" w:line="312" w:lineRule="auto"/>
            </w:pPr>
            <w:r>
              <w:rPr>
                <w:rFonts w:ascii="Calibri" w:hAnsi="Calibri" w:cs="Calibri" w:eastAsia="PingFang SC"/>
                <w:color w:val="3D3A33"/>
                <w:sz w:val="22"/>
                <w:szCs w:val="22"/>
              </w:rPr>
              <w:t xml:space="preserve">Alter the amplification of a self-reinforcing process</w:t>
            </w:r>
          </w:p>
        </w:tc>
      </w:tr>
      <w:tr>
        <w:tc>
          <w:tcPr>
            <w:tcW w:w="800" w:type="dxa"/>
          </w:tcPr>
          <w:p>
            <w:pPr>
              <w:spacing w:before="0" w:after="0" w:line="312" w:lineRule="auto"/>
            </w:pPr>
            <w:r>
              <w:rPr>
                <w:rFonts w:ascii="Calibri" w:hAnsi="Calibri" w:cs="Calibri" w:eastAsia="PingFang SC"/>
                <w:color w:val="3D3A33"/>
                <w:sz w:val="22"/>
                <w:szCs w:val="22"/>
              </w:rPr>
              <w:t xml:space="preserve">6</w:t>
            </w:r>
          </w:p>
        </w:tc>
        <w:tc>
          <w:tcPr>
            <w:tcW w:w="2997" w:type="dxa"/>
          </w:tcPr>
          <w:p>
            <w:pPr>
              <w:spacing w:before="0" w:after="0" w:line="312" w:lineRule="auto"/>
            </w:pPr>
            <w:r>
              <w:rPr>
                <w:rFonts w:ascii="Calibri" w:hAnsi="Calibri" w:cs="Calibri" w:eastAsia="PingFang SC"/>
                <w:color w:val="3D3A33"/>
                <w:sz w:val="22"/>
                <w:szCs w:val="22"/>
              </w:rPr>
              <w:t xml:space="preserve">Information-flow structure</w:t>
            </w:r>
          </w:p>
        </w:tc>
        <w:tc>
          <w:tcPr>
            <w:tcW w:w="800" w:type="dxa"/>
          </w:tcPr>
          <w:p>
            <w:pPr>
              <w:spacing w:before="0" w:after="0" w:line="312" w:lineRule="auto"/>
            </w:pPr>
            <w:r>
              <w:rPr>
                <w:rFonts w:ascii="Calibri" w:hAnsi="Calibri" w:cs="Calibri" w:eastAsia="PingFang SC"/>
                <w:color w:val="3D3A33"/>
                <w:sz w:val="22"/>
                <w:szCs w:val="22"/>
              </w:rPr>
              <w:t xml:space="preserve">2-3</w:t>
            </w:r>
          </w:p>
        </w:tc>
        <w:tc>
          <w:tcPr>
            <w:tcW w:w="4764" w:type="dxa"/>
          </w:tcPr>
          <w:p>
            <w:pPr>
              <w:spacing w:before="0" w:after="0" w:line="312" w:lineRule="auto"/>
            </w:pPr>
            <w:r>
              <w:rPr>
                <w:rFonts w:ascii="Calibri" w:hAnsi="Calibri" w:cs="Calibri" w:eastAsia="PingFang SC"/>
                <w:color w:val="3D3A33"/>
                <w:sz w:val="22"/>
                <w:szCs w:val="22"/>
              </w:rPr>
              <w:t xml:space="preserve">Change who can access consequential information</w:t>
            </w:r>
          </w:p>
        </w:tc>
      </w:tr>
      <w:tr>
        <w:tc>
          <w:tcPr>
            <w:tcW w:w="800" w:type="dxa"/>
          </w:tcPr>
          <w:p>
            <w:pPr>
              <w:spacing w:before="0" w:after="0" w:line="312" w:lineRule="auto"/>
            </w:pPr>
            <w:r>
              <w:rPr>
                <w:rFonts w:ascii="Calibri" w:hAnsi="Calibri" w:cs="Calibri" w:eastAsia="PingFang SC"/>
                <w:color w:val="3D3A33"/>
                <w:sz w:val="22"/>
                <w:szCs w:val="22"/>
              </w:rPr>
              <w:t xml:space="preserve">5</w:t>
            </w:r>
          </w:p>
        </w:tc>
        <w:tc>
          <w:tcPr>
            <w:tcW w:w="2997" w:type="dxa"/>
          </w:tcPr>
          <w:p>
            <w:pPr>
              <w:spacing w:before="0" w:after="0" w:line="312" w:lineRule="auto"/>
            </w:pPr>
            <w:r>
              <w:rPr>
                <w:rFonts w:ascii="Calibri" w:hAnsi="Calibri" w:cs="Calibri" w:eastAsia="PingFang SC"/>
                <w:color w:val="3D3A33"/>
                <w:sz w:val="22"/>
                <w:szCs w:val="22"/>
              </w:rPr>
              <w:t xml:space="preserve">Rules</w:t>
            </w:r>
          </w:p>
        </w:tc>
        <w:tc>
          <w:tcPr>
            <w:tcW w:w="800" w:type="dxa"/>
          </w:tcPr>
          <w:p>
            <w:pPr>
              <w:spacing w:before="0" w:after="0" w:line="312" w:lineRule="auto"/>
            </w:pPr>
            <w:r>
              <w:rPr>
                <w:rFonts w:ascii="Calibri" w:hAnsi="Calibri" w:cs="Calibri" w:eastAsia="PingFang SC"/>
                <w:color w:val="3D3A33"/>
                <w:sz w:val="22"/>
                <w:szCs w:val="22"/>
              </w:rPr>
              <w:t xml:space="preserve">2</w:t>
            </w:r>
          </w:p>
        </w:tc>
        <w:tc>
          <w:tcPr>
            <w:tcW w:w="4764" w:type="dxa"/>
          </w:tcPr>
          <w:p>
            <w:pPr>
              <w:spacing w:before="0" w:after="0" w:line="312" w:lineRule="auto"/>
            </w:pPr>
            <w:r>
              <w:rPr>
                <w:rFonts w:ascii="Calibri" w:hAnsi="Calibri" w:cs="Calibri" w:eastAsia="PingFang SC"/>
                <w:color w:val="3D3A33"/>
                <w:sz w:val="22"/>
                <w:szCs w:val="22"/>
              </w:rPr>
              <w:t xml:space="preserve">Change incentives, penalties, constraints or decision rights</w:t>
            </w:r>
          </w:p>
        </w:tc>
      </w:tr>
      <w:tr>
        <w:tc>
          <w:tcPr>
            <w:tcW w:w="800" w:type="dxa"/>
          </w:tcPr>
          <w:p>
            <w:pPr>
              <w:spacing w:before="0" w:after="0" w:line="312" w:lineRule="auto"/>
            </w:pPr>
            <w:r>
              <w:rPr>
                <w:rFonts w:ascii="Calibri" w:hAnsi="Calibri" w:cs="Calibri" w:eastAsia="PingFang SC"/>
                <w:color w:val="3D3A33"/>
                <w:sz w:val="22"/>
                <w:szCs w:val="22"/>
              </w:rPr>
              <w:t xml:space="preserve">4</w:t>
            </w:r>
          </w:p>
        </w:tc>
        <w:tc>
          <w:tcPr>
            <w:tcW w:w="2997" w:type="dxa"/>
          </w:tcPr>
          <w:p>
            <w:pPr>
              <w:spacing w:before="0" w:after="0" w:line="312" w:lineRule="auto"/>
            </w:pPr>
            <w:r>
              <w:rPr>
                <w:rFonts w:ascii="Calibri" w:hAnsi="Calibri" w:cs="Calibri" w:eastAsia="PingFang SC"/>
                <w:color w:val="3D3A33"/>
                <w:sz w:val="22"/>
                <w:szCs w:val="22"/>
              </w:rPr>
              <w:t xml:space="preserve">Capacity to evolve or self-organise</w:t>
            </w:r>
          </w:p>
        </w:tc>
        <w:tc>
          <w:tcPr>
            <w:tcW w:w="800" w:type="dxa"/>
          </w:tcPr>
          <w:p>
            <w:pPr>
              <w:spacing w:before="0" w:after="0" w:line="312" w:lineRule="auto"/>
            </w:pPr>
            <w:r>
              <w:rPr>
                <w:rFonts w:ascii="Calibri" w:hAnsi="Calibri" w:cs="Calibri" w:eastAsia="PingFang SC"/>
                <w:color w:val="3D3A33"/>
                <w:sz w:val="22"/>
                <w:szCs w:val="22"/>
              </w:rPr>
              <w:t xml:space="preserve">3</w:t>
            </w:r>
          </w:p>
        </w:tc>
        <w:tc>
          <w:tcPr>
            <w:tcW w:w="4764" w:type="dxa"/>
          </w:tcPr>
          <w:p>
            <w:pPr>
              <w:spacing w:before="0" w:after="0" w:line="312" w:lineRule="auto"/>
            </w:pPr>
            <w:r>
              <w:rPr>
                <w:rFonts w:ascii="Calibri" w:hAnsi="Calibri" w:cs="Calibri" w:eastAsia="PingFang SC"/>
                <w:color w:val="3D3A33"/>
                <w:sz w:val="22"/>
                <w:szCs w:val="22"/>
              </w:rPr>
              <w:t xml:space="preserve">Enable the creation of new structures, rules and connections</w:t>
            </w:r>
          </w:p>
        </w:tc>
      </w:tr>
      <w:tr>
        <w:tc>
          <w:tcPr>
            <w:tcW w:w="800" w:type="dxa"/>
          </w:tcPr>
          <w:p>
            <w:pPr>
              <w:spacing w:before="0" w:after="0" w:line="312" w:lineRule="auto"/>
            </w:pPr>
            <w:r>
              <w:rPr>
                <w:rFonts w:ascii="Calibri" w:hAnsi="Calibri" w:cs="Calibri" w:eastAsia="PingFang SC"/>
                <w:color w:val="3D3A33"/>
                <w:sz w:val="22"/>
                <w:szCs w:val="22"/>
              </w:rPr>
              <w:t xml:space="preserve">3</w:t>
            </w:r>
          </w:p>
        </w:tc>
        <w:tc>
          <w:tcPr>
            <w:tcW w:w="2997" w:type="dxa"/>
          </w:tcPr>
          <w:p>
            <w:pPr>
              <w:spacing w:before="0" w:after="0" w:line="312" w:lineRule="auto"/>
            </w:pPr>
            <w:r>
              <w:rPr>
                <w:rFonts w:ascii="Calibri" w:hAnsi="Calibri" w:cs="Calibri" w:eastAsia="PingFang SC"/>
                <w:color w:val="3D3A33"/>
                <w:sz w:val="22"/>
                <w:szCs w:val="22"/>
              </w:rPr>
              <w:t xml:space="preserve">Goals</w:t>
            </w:r>
          </w:p>
        </w:tc>
        <w:tc>
          <w:tcPr>
            <w:tcW w:w="800" w:type="dxa"/>
          </w:tcPr>
          <w:p>
            <w:pPr>
              <w:spacing w:before="0" w:after="0" w:line="312" w:lineRule="auto"/>
            </w:pPr>
            <w:r>
              <w:rPr>
                <w:rFonts w:ascii="Calibri" w:hAnsi="Calibri" w:cs="Calibri" w:eastAsia="PingFang SC"/>
                <w:color w:val="3D3A33"/>
                <w:sz w:val="22"/>
                <w:szCs w:val="22"/>
              </w:rPr>
              <w:t xml:space="preserve">4</w:t>
            </w:r>
          </w:p>
        </w:tc>
        <w:tc>
          <w:tcPr>
            <w:tcW w:w="4764" w:type="dxa"/>
          </w:tcPr>
          <w:p>
            <w:pPr>
              <w:spacing w:before="0" w:after="0" w:line="312" w:lineRule="auto"/>
            </w:pPr>
            <w:r>
              <w:rPr>
                <w:rFonts w:ascii="Calibri" w:hAnsi="Calibri" w:cs="Calibri" w:eastAsia="PingFang SC"/>
                <w:color w:val="3D3A33"/>
                <w:sz w:val="22"/>
                <w:szCs w:val="22"/>
              </w:rPr>
              <w:t xml:space="preserve">Change what the system is trying to achieve</w:t>
            </w:r>
          </w:p>
        </w:tc>
      </w:tr>
      <w:tr>
        <w:tc>
          <w:tcPr>
            <w:tcW w:w="800" w:type="dxa"/>
          </w:tcPr>
          <w:p>
            <w:pPr>
              <w:spacing w:before="0" w:after="0" w:line="312" w:lineRule="auto"/>
            </w:pPr>
            <w:r>
              <w:rPr>
                <w:rFonts w:ascii="Calibri" w:hAnsi="Calibri" w:cs="Calibri" w:eastAsia="PingFang SC"/>
                <w:color w:val="3D3A33"/>
                <w:sz w:val="22"/>
                <w:szCs w:val="22"/>
              </w:rPr>
              <w:t xml:space="preserve">2</w:t>
            </w:r>
          </w:p>
        </w:tc>
        <w:tc>
          <w:tcPr>
            <w:tcW w:w="2997" w:type="dxa"/>
          </w:tcPr>
          <w:p>
            <w:pPr>
              <w:spacing w:before="0" w:after="0" w:line="312" w:lineRule="auto"/>
            </w:pPr>
            <w:r>
              <w:rPr>
                <w:rFonts w:ascii="Calibri" w:hAnsi="Calibri" w:cs="Calibri" w:eastAsia="PingFang SC"/>
                <w:color w:val="3D3A33"/>
                <w:sz w:val="22"/>
                <w:szCs w:val="22"/>
              </w:rPr>
              <w:t xml:space="preserve">Mindset or paradigm</w:t>
            </w:r>
          </w:p>
        </w:tc>
        <w:tc>
          <w:tcPr>
            <w:tcW w:w="800" w:type="dxa"/>
          </w:tcPr>
          <w:p>
            <w:pPr>
              <w:spacing w:before="0" w:after="0" w:line="312" w:lineRule="auto"/>
            </w:pPr>
            <w:r>
              <w:rPr>
                <w:rFonts w:ascii="Calibri" w:hAnsi="Calibri" w:cs="Calibri" w:eastAsia="PingFang SC"/>
                <w:color w:val="3D3A33"/>
                <w:sz w:val="22"/>
                <w:szCs w:val="22"/>
              </w:rPr>
              <w:t xml:space="preserve">4</w:t>
            </w:r>
          </w:p>
        </w:tc>
        <w:tc>
          <w:tcPr>
            <w:tcW w:w="4764" w:type="dxa"/>
          </w:tcPr>
          <w:p>
            <w:pPr>
              <w:spacing w:before="0" w:after="0" w:line="312" w:lineRule="auto"/>
            </w:pPr>
            <w:r>
              <w:rPr>
                <w:rFonts w:ascii="Calibri" w:hAnsi="Calibri" w:cs="Calibri" w:eastAsia="PingFang SC"/>
                <w:color w:val="3D3A33"/>
                <w:sz w:val="22"/>
                <w:szCs w:val="22"/>
              </w:rPr>
              <w:t xml:space="preserve">Change the shared assumptions supporting goals and structures</w:t>
            </w:r>
          </w:p>
        </w:tc>
      </w:tr>
      <w:tr>
        <w:tc>
          <w:tcPr>
            <w:tcW w:w="800" w:type="dxa"/>
          </w:tcPr>
          <w:p>
            <w:pPr>
              <w:spacing w:before="0" w:after="0" w:line="312" w:lineRule="auto"/>
            </w:pPr>
            <w:r>
              <w:rPr>
                <w:rFonts w:ascii="Calibri" w:hAnsi="Calibri" w:cs="Calibri" w:eastAsia="PingFang SC"/>
                <w:color w:val="3D3A33"/>
                <w:sz w:val="22"/>
                <w:szCs w:val="22"/>
              </w:rPr>
              <w:t xml:space="preserve">1</w:t>
            </w:r>
          </w:p>
        </w:tc>
        <w:tc>
          <w:tcPr>
            <w:tcW w:w="2997" w:type="dxa"/>
          </w:tcPr>
          <w:p>
            <w:pPr>
              <w:spacing w:before="0" w:after="0" w:line="312" w:lineRule="auto"/>
            </w:pPr>
            <w:r>
              <w:rPr>
                <w:rFonts w:ascii="Calibri" w:hAnsi="Calibri" w:cs="Calibri" w:eastAsia="PingFang SC"/>
                <w:color w:val="3D3A33"/>
                <w:sz w:val="22"/>
                <w:szCs w:val="22"/>
              </w:rPr>
              <w:t xml:space="preserve">Transcending paradigms</w:t>
            </w:r>
          </w:p>
        </w:tc>
        <w:tc>
          <w:tcPr>
            <w:tcW w:w="800" w:type="dxa"/>
          </w:tcPr>
          <w:p>
            <w:pPr>
              <w:spacing w:before="0" w:after="0" w:line="312" w:lineRule="auto"/>
            </w:pPr>
            <w:r>
              <w:rPr>
                <w:rFonts w:ascii="Calibri" w:hAnsi="Calibri" w:cs="Calibri" w:eastAsia="PingFang SC"/>
                <w:color w:val="3D3A33"/>
                <w:sz w:val="22"/>
                <w:szCs w:val="22"/>
              </w:rPr>
              <w:t xml:space="preserve">4</w:t>
            </w:r>
          </w:p>
        </w:tc>
        <w:tc>
          <w:tcPr>
            <w:tcW w:w="4764" w:type="dxa"/>
          </w:tcPr>
          <w:p>
            <w:pPr>
              <w:spacing w:before="0" w:after="0" w:line="312" w:lineRule="auto"/>
            </w:pPr>
            <w:r>
              <w:rPr>
                <w:rFonts w:ascii="Calibri" w:hAnsi="Calibri" w:cs="Calibri" w:eastAsia="PingFang SC"/>
                <w:color w:val="3D3A33"/>
                <w:sz w:val="22"/>
                <w:szCs w:val="22"/>
              </w:rPr>
              <w:t xml:space="preserve">Recognise the limits of any single worldview and avoid rigid attachment to it</w:t>
            </w:r>
          </w:p>
        </w:tc>
      </w:tr>
    </w:tbl>
    <w:p>
      <w:pPr>
        <w:spacing w:before="240" w:after="80" w:line="312" w:lineRule="auto"/>
      </w:pPr>
      <w:r>
        <w:rPr>
          <w:rFonts w:ascii="Calibri" w:hAnsi="Calibri" w:cs="Calibri" w:eastAsia="PingFang SC"/>
          <w:b/>
          <w:color w:val="175244"/>
          <w:sz w:val="22"/>
          <w:szCs w:val="22"/>
        </w:rPr>
        <w:t xml:space="preserve">12: Constants, Parameters and Numbers</w:t>
      </w:r>
    </w:p>
    <w:p>
      <w:pPr>
        <w:spacing w:before="0" w:after="160" w:line="312" w:lineRule="auto"/>
      </w:pPr>
      <w:r>
        <w:rPr>
          <w:rFonts w:ascii="Calibri" w:hAnsi="Calibri" w:cs="Calibri" w:eastAsia="PingFang SC"/>
          <w:color w:val="3D3A33"/>
          <w:sz w:val="22"/>
          <w:szCs w:val="22"/>
        </w:rPr>
        <w:t xml:space="preserve">Examples include tax rates, subsidy amounts, standards and numerical limits. Such changes are common because they are visible and comparatively easy to specify, but may leave the basic pattern of behaviour intact.</w:t>
      </w:r>
    </w:p>
    <w:p>
      <w:pPr>
        <w:spacing w:before="0" w:after="160" w:line="312" w:lineRule="auto"/>
      </w:pPr>
      <w:r>
        <w:rPr>
          <w:rFonts w:ascii="Calibri" w:hAnsi="Calibri" w:cs="Calibri" w:eastAsia="PingFang SC"/>
          <w:color w:val="3D3A33"/>
          <w:sz w:val="22"/>
          <w:szCs w:val="22"/>
        </w:rPr>
        <w:t xml:space="preserve">Interest-rate adjustments do not by themselves eliminate business cycles. Donation caps or an age threshold for alcohol sales illustrate numerical settings; identifying a number does not by itself prove a particular policy effect. Near a critical threshold, however, a small numerical change can sometimes trigger a large transition in system behaviour.</w:t>
      </w:r>
    </w:p>
    <w:p>
      <w:pPr>
        <w:spacing w:before="240" w:after="80" w:line="312" w:lineRule="auto"/>
      </w:pPr>
      <w:r>
        <w:rPr>
          <w:rFonts w:ascii="Calibri" w:hAnsi="Calibri" w:cs="Calibri" w:eastAsia="PingFang SC"/>
          <w:b/>
          <w:color w:val="175244"/>
          <w:sz w:val="22"/>
          <w:szCs w:val="22"/>
        </w:rPr>
        <w:t xml:space="preserve">11: Buffers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buffer</w:t>
      </w:r>
      <w:r>
        <w:rPr>
          <w:rFonts w:ascii="Calibri" w:hAnsi="Calibri" w:cs="Calibri" w:eastAsia="PingFang SC"/>
          <w:color w:val="3D3A33"/>
          <w:sz w:val="22"/>
          <w:szCs w:val="22"/>
        </w:rPr>
        <w:t xml:space="preserve"> is a stock that can absorb a disturbance relative to the flows affecting it. A larger lake may absorb a limited warm-water discharge with less temperature variation than a smaller volume, depending on discharge conditions. This does not imply that any lake can absorb unlimited heat or pollution.</w:t>
      </w:r>
    </w:p>
    <w:p>
      <w:pPr>
        <w:spacing w:before="0" w:after="160" w:line="312" w:lineRule="auto"/>
      </w:pPr>
      <w:r>
        <w:rPr>
          <w:rFonts w:ascii="Calibri" w:hAnsi="Calibri" w:cs="Calibri" w:eastAsia="PingFang SC"/>
          <w:color w:val="3D3A33"/>
          <w:sz w:val="22"/>
          <w:szCs w:val="22"/>
        </w:rPr>
        <w:t xml:space="preserve">Larger buffers can stabilise a system but can also reduce flexibility or impose costs. Physical capacity may be difficult to alter. </w:t>
      </w:r>
      <w:r>
        <w:rPr>
          <w:rFonts w:ascii="Calibri" w:hAnsi="Calibri" w:cs="Calibri" w:eastAsia="PingFang SC"/>
          <w:b/>
          <w:color w:val="3D3A33"/>
          <w:sz w:val="22"/>
          <w:szCs w:val="22"/>
        </w:rPr>
        <w:t xml:space="preserve">Just-in-time inventory</w:t>
      </w:r>
      <w:r>
        <w:rPr>
          <w:rFonts w:ascii="Calibri" w:hAnsi="Calibri" w:cs="Calibri" w:eastAsia="PingFang SC"/>
          <w:color w:val="3D3A33"/>
          <w:sz w:val="22"/>
          <w:szCs w:val="22"/>
        </w:rPr>
        <w:t xml:space="preserve"> seeks to keep inventory closely aligned with immediate requirements; it contrasts with retaining a large reserve.</w:t>
      </w:r>
    </w:p>
    <w:p>
      <w:pPr>
        <w:spacing w:before="240" w:after="80" w:line="312" w:lineRule="auto"/>
      </w:pPr>
      <w:r>
        <w:rPr>
          <w:rFonts w:ascii="Calibri" w:hAnsi="Calibri" w:cs="Calibri" w:eastAsia="PingFang SC"/>
          <w:b/>
          <w:color w:val="175244"/>
          <w:sz w:val="22"/>
          <w:szCs w:val="22"/>
        </w:rPr>
        <w:t xml:space="preserve">10: Material Stock-and-Flow Structure</w:t>
      </w:r>
    </w:p>
    <w:p>
      <w:pPr>
        <w:spacing w:before="0" w:after="160" w:line="312" w:lineRule="auto"/>
      </w:pPr>
      <w:r>
        <w:rPr>
          <w:rFonts w:ascii="Calibri" w:hAnsi="Calibri" w:cs="Calibri" w:eastAsia="PingFang SC"/>
          <w:color w:val="3D3A33"/>
          <w:sz w:val="22"/>
          <w:szCs w:val="22"/>
        </w:rPr>
        <w:t xml:space="preserve">Physical layout shapes what can move, where and at what rate. A road network concentrating traffic through Budapest illustrates how structure can generate congestion and pollution that signal timing alone cannot resolve. Diverting industrial wastewater to a treatment plant requires changes to physical pipes and connections.</w:t>
      </w:r>
    </w:p>
    <w:p>
      <w:pPr>
        <w:spacing w:before="0" w:after="160" w:line="312" w:lineRule="auto"/>
      </w:pPr>
      <w:r>
        <w:rPr>
          <w:rFonts w:ascii="Calibri" w:hAnsi="Calibri" w:cs="Calibri" w:eastAsia="PingFang SC"/>
          <w:color w:val="3D3A33"/>
          <w:sz w:val="22"/>
          <w:szCs w:val="22"/>
        </w:rPr>
        <w:t xml:space="preserve">Physical redesign can be powerful but expensive, especially after infrastructure is built.</w:t>
      </w:r>
    </w:p>
    <w:p>
      <w:pPr>
        <w:spacing w:before="240" w:after="80" w:line="312" w:lineRule="auto"/>
      </w:pPr>
      <w:r>
        <w:rPr>
          <w:rFonts w:ascii="Calibri" w:hAnsi="Calibri" w:cs="Calibri" w:eastAsia="PingFang SC"/>
          <w:b/>
          <w:color w:val="175244"/>
          <w:sz w:val="22"/>
          <w:szCs w:val="22"/>
        </w:rPr>
        <w:t xml:space="preserve">9: Delays</w:t>
      </w:r>
    </w:p>
    <w:p>
      <w:pPr>
        <w:spacing w:before="0" w:after="160" w:line="312" w:lineRule="auto"/>
      </w:pPr>
      <w:r>
        <w:rPr>
          <w:rFonts w:ascii="Calibri" w:hAnsi="Calibri" w:cs="Calibri" w:eastAsia="PingFang SC"/>
          <w:color w:val="3D3A33"/>
          <w:sz w:val="22"/>
          <w:szCs w:val="22"/>
        </w:rPr>
        <w:t xml:space="preserve">The significance of a delay depends on how quickly the surrounding system changes. A treatment plant requiring five years to build and expected to operate for about thirty years creates a mismatch between current problems, construction response and uncertain future capacity.</w:t>
      </w:r>
    </w:p>
    <w:p>
      <w:pPr>
        <w:spacing w:before="0" w:after="160" w:line="312" w:lineRule="auto"/>
      </w:pPr>
      <w:r>
        <w:rPr>
          <w:rFonts w:ascii="Calibri" w:hAnsi="Calibri" w:cs="Calibri" w:eastAsia="PingFang SC"/>
          <w:color w:val="3D3A33"/>
          <w:sz w:val="22"/>
          <w:szCs w:val="22"/>
        </w:rPr>
        <w:t xml:space="preserve">Not all delays can be readily shortened. Some organisational delays can be changed, such as the interval between meetings needed for an important decision. A quicker response is useful only if it improves the relevant feedback rather than encouraging premature action.</w:t>
      </w:r>
    </w:p>
    <w:p>
      <w:pPr>
        <w:spacing w:before="240" w:after="80" w:line="312" w:lineRule="auto"/>
      </w:pPr>
      <w:r>
        <w:rPr>
          <w:rFonts w:ascii="Calibri" w:hAnsi="Calibri" w:cs="Calibri" w:eastAsia="PingFang SC"/>
          <w:b/>
          <w:color w:val="175244"/>
          <w:sz w:val="22"/>
          <w:szCs w:val="22"/>
        </w:rPr>
        <w:t xml:space="preserve">8: Balancing Feedback Strength</w:t>
      </w:r>
    </w:p>
    <w:p>
      <w:pPr>
        <w:spacing w:before="0" w:after="160" w:line="312" w:lineRule="auto"/>
      </w:pPr>
      <w:r>
        <w:rPr>
          <w:rFonts w:ascii="Calibri" w:hAnsi="Calibri" w:cs="Calibri" w:eastAsia="PingFang SC"/>
          <w:color w:val="3D3A33"/>
          <w:sz w:val="22"/>
          <w:szCs w:val="22"/>
        </w:rPr>
        <w:t xml:space="preserve">A balancing process needs a target, a way to detect a departure and a response capable of correcting it. A thermostat exemplifies these elements.</w:t>
      </w:r>
    </w:p>
    <w:p>
      <w:pPr>
        <w:spacing w:before="0" w:after="160" w:line="312" w:lineRule="auto"/>
      </w:pPr>
      <w:r>
        <w:rPr>
          <w:rFonts w:ascii="Calibri" w:hAnsi="Calibri" w:cs="Calibri" w:eastAsia="PingFang SC"/>
          <w:color w:val="3D3A33"/>
          <w:sz w:val="22"/>
          <w:szCs w:val="22"/>
        </w:rPr>
        <w:t xml:space="preserve">A charge linked to measured wastewater concentration connects environmental measurement to a corrective incentive. A performance-management process may connect </w:t>
      </w:r>
      <w:r>
        <w:rPr>
          <w:rFonts w:ascii="Calibri" w:hAnsi="Calibri" w:cs="Calibri" w:eastAsia="PingFang SC"/>
          <w:b/>
          <w:color w:val="3D3A33"/>
          <w:sz w:val="22"/>
          <w:szCs w:val="22"/>
        </w:rPr>
        <w:t xml:space="preserve">Key Performance Indicators (KPIs)</w:t>
      </w:r>
      <w:r>
        <w:rPr>
          <w:rFonts w:ascii="Calibri" w:hAnsi="Calibri" w:cs="Calibri" w:eastAsia="PingFang SC"/>
          <w:color w:val="3D3A33"/>
          <w:sz w:val="22"/>
          <w:szCs w:val="22"/>
        </w:rPr>
        <w:t xml:space="preserve">, measurable indicators of performance, to corrective staffing or management decisions.</w:t>
      </w:r>
    </w:p>
    <w:p>
      <w:pPr>
        <w:spacing w:before="0" w:after="160" w:line="312" w:lineRule="auto"/>
      </w:pPr>
      <w:r>
        <w:rPr>
          <w:rFonts w:ascii="Calibri" w:hAnsi="Calibri" w:cs="Calibri" w:eastAsia="PingFang SC"/>
          <w:color w:val="3D3A33"/>
          <w:sz w:val="22"/>
          <w:szCs w:val="22"/>
        </w:rPr>
        <w:t xml:space="preserve">The response must be strong enough relative to the disturbance. Monitoring without an effective response mechanism does not complete the corrective loop.</w:t>
      </w:r>
    </w:p>
    <w:p>
      <w:pPr>
        <w:spacing w:before="240" w:after="80" w:line="312" w:lineRule="auto"/>
      </w:pPr>
      <w:r>
        <w:rPr>
          <w:rFonts w:ascii="Calibri" w:hAnsi="Calibri" w:cs="Calibri" w:eastAsia="PingFang SC"/>
          <w:b/>
          <w:color w:val="175244"/>
          <w:sz w:val="22"/>
          <w:szCs w:val="22"/>
        </w:rPr>
        <w:t xml:space="preserve">7: Reinforcing Feedback Gain</w:t>
      </w:r>
    </w:p>
    <w:p>
      <w:pPr>
        <w:spacing w:before="0" w:after="160" w:line="312" w:lineRule="auto"/>
      </w:pPr>
      <w:r>
        <w:rPr>
          <w:rFonts w:ascii="Calibri" w:hAnsi="Calibri" w:cs="Calibri" w:eastAsia="PingFang SC"/>
          <w:b/>
          <w:color w:val="3D3A33"/>
          <w:sz w:val="22"/>
          <w:szCs w:val="22"/>
        </w:rPr>
        <w:t xml:space="preserve">Gain</w:t>
      </w:r>
      <w:r>
        <w:rPr>
          <w:rFonts w:ascii="Calibri" w:hAnsi="Calibri" w:cs="Calibri" w:eastAsia="PingFang SC"/>
          <w:color w:val="3D3A33"/>
          <w:sz w:val="22"/>
          <w:szCs w:val="22"/>
        </w:rPr>
        <w:t xml:space="preserve"> is the degree to which a process amplifies change. Blood clotting includes chemical processes that activate more platelets, with balancing mechanisms limiting the response. Influenza transmission can create further exposure and hence additional transmission.</w:t>
      </w:r>
    </w:p>
    <w:p>
      <w:pPr>
        <w:spacing w:before="0" w:after="160" w:line="312" w:lineRule="auto"/>
      </w:pPr>
      <w:r>
        <w:rPr>
          <w:rFonts w:ascii="Calibri" w:hAnsi="Calibri" w:cs="Calibri" w:eastAsia="PingFang SC"/>
          <w:color w:val="3D3A33"/>
          <w:sz w:val="22"/>
          <w:szCs w:val="22"/>
        </w:rPr>
        <w:t xml:space="preserve">Reducing harmful amplification may be more effective than continually accelerating compensating responses. Uncontrolled reinforcement can overwhelm a system's corrective capacity.</w:t>
      </w:r>
    </w:p>
    <w:p>
      <w:pPr>
        <w:spacing w:before="240" w:after="80" w:line="312" w:lineRule="auto"/>
      </w:pPr>
      <w:r>
        <w:rPr>
          <w:rFonts w:ascii="Calibri" w:hAnsi="Calibri" w:cs="Calibri" w:eastAsia="PingFang SC"/>
          <w:b/>
          <w:color w:val="175244"/>
          <w:sz w:val="22"/>
          <w:szCs w:val="22"/>
        </w:rPr>
        <w:t xml:space="preserve">6: Information Flows</w:t>
      </w:r>
    </w:p>
    <w:p>
      <w:pPr>
        <w:spacing w:before="0" w:after="160" w:line="312" w:lineRule="auto"/>
      </w:pPr>
      <w:r>
        <w:rPr>
          <w:rFonts w:ascii="Calibri" w:hAnsi="Calibri" w:cs="Calibri" w:eastAsia="PingFang SC"/>
          <w:color w:val="3D3A33"/>
          <w:sz w:val="22"/>
          <w:szCs w:val="22"/>
        </w:rPr>
        <w:t xml:space="preserve">Changing who receives information can change decisions without rebuilding material infrastructure. A visible household electricity meter, rather than an inaccessible one, illustrates how awareness of consumption can support a response. Self-monitoring of blood pressure or blood glucose similarly changes access to actionable information.</w:t>
      </w:r>
    </w:p>
    <w:p>
      <w:pPr>
        <w:spacing w:before="0" w:after="160" w:line="312" w:lineRule="auto"/>
      </w:pPr>
      <w:r>
        <w:rPr>
          <w:rFonts w:ascii="Calibri" w:hAnsi="Calibri" w:cs="Calibri" w:eastAsia="PingFang SC"/>
          <w:color w:val="3D3A33"/>
          <w:sz w:val="22"/>
          <w:szCs w:val="22"/>
        </w:rPr>
        <w:t xml:space="preserve">The relevant mechanism is newly available information and its connection to action. Merely distributing more information is not sufficient if nobody can interpret or use it.</w:t>
      </w:r>
    </w:p>
    <w:p>
      <w:pPr>
        <w:spacing w:before="240" w:after="80" w:line="312" w:lineRule="auto"/>
      </w:pPr>
      <w:r>
        <w:rPr>
          <w:rFonts w:ascii="Calibri" w:hAnsi="Calibri" w:cs="Calibri" w:eastAsia="PingFang SC"/>
          <w:b/>
          <w:color w:val="175244"/>
          <w:sz w:val="22"/>
          <w:szCs w:val="22"/>
        </w:rPr>
        <w:t xml:space="preserve">5: Rules</w:t>
      </w:r>
    </w:p>
    <w:p>
      <w:pPr>
        <w:spacing w:before="0" w:after="160" w:line="312" w:lineRule="auto"/>
      </w:pPr>
      <w:r>
        <w:rPr>
          <w:rFonts w:ascii="Calibri" w:hAnsi="Calibri" w:cs="Calibri" w:eastAsia="PingFang SC"/>
          <w:color w:val="3D3A33"/>
          <w:sz w:val="22"/>
          <w:szCs w:val="22"/>
        </w:rPr>
        <w:t xml:space="preserve">Rules establish incentives, penalties, constraints and who can make decisions. Examples include chemical-discharge laws and pollution-related tax arrangements.</w:t>
      </w:r>
    </w:p>
    <w:p>
      <w:pPr>
        <w:spacing w:before="0" w:after="160" w:line="312" w:lineRule="auto"/>
      </w:pPr>
      <w:r>
        <w:rPr>
          <w:rFonts w:ascii="Calibri" w:hAnsi="Calibri" w:cs="Calibri" w:eastAsia="PingFang SC"/>
          <w:color w:val="3D3A33"/>
          <w:sz w:val="22"/>
          <w:szCs w:val="22"/>
        </w:rPr>
        <w:t xml:space="preserve">Changing only the numerical tax rate is a parameter intervention. Redesigning the incentive or compliance regime is a rule intervention. The classification follows what changes, not the presence of the word tax.</w:t>
      </w:r>
    </w:p>
    <w:p>
      <w:pPr>
        <w:spacing w:before="240" w:after="80" w:line="312" w:lineRule="auto"/>
      </w:pPr>
      <w:r>
        <w:rPr>
          <w:rFonts w:ascii="Calibri" w:hAnsi="Calibri" w:cs="Calibri" w:eastAsia="PingFang SC"/>
          <w:b/>
          <w:color w:val="175244"/>
          <w:sz w:val="22"/>
          <w:szCs w:val="22"/>
        </w:rPr>
        <w:t xml:space="preserve">4: Self-Organisation</w:t>
      </w:r>
    </w:p>
    <w:p>
      <w:pPr>
        <w:spacing w:before="0" w:after="160" w:line="312" w:lineRule="auto"/>
      </w:pPr>
      <w:r>
        <w:rPr>
          <w:rFonts w:ascii="Calibri" w:hAnsi="Calibri" w:cs="Calibri" w:eastAsia="PingFang SC"/>
          <w:color w:val="3D3A33"/>
          <w:sz w:val="22"/>
          <w:szCs w:val="22"/>
        </w:rPr>
        <w:t xml:space="preserve">Self-organisation is the capacity to generate or modify structures, feedback, information flows and rules. It is broader than changing one isolated rule.</w:t>
      </w:r>
    </w:p>
    <w:p>
      <w:pPr>
        <w:spacing w:before="0" w:after="160" w:line="312" w:lineRule="auto"/>
      </w:pPr>
      <w:r>
        <w:rPr>
          <w:rFonts w:ascii="Calibri" w:hAnsi="Calibri" w:cs="Calibri" w:eastAsia="PingFang SC"/>
          <w:color w:val="3D3A33"/>
          <w:sz w:val="22"/>
          <w:szCs w:val="22"/>
        </w:rPr>
        <w:t xml:space="preserve">Microorganisms developing new ways to interact with pollutants illustrate adaptive capability. </w:t>
      </w:r>
      <w:r>
        <w:rPr>
          <w:rFonts w:ascii="Calibri" w:hAnsi="Calibri" w:cs="Calibri" w:eastAsia="PingFang SC"/>
          <w:b/>
          <w:color w:val="3D3A33"/>
          <w:sz w:val="22"/>
          <w:szCs w:val="22"/>
        </w:rPr>
        <w:t xml:space="preserve">Biodegradation</w:t>
      </w:r>
      <w:r>
        <w:rPr>
          <w:rFonts w:ascii="Calibri" w:hAnsi="Calibri" w:cs="Calibri" w:eastAsia="PingFang SC"/>
          <w:color w:val="3D3A33"/>
          <w:sz w:val="22"/>
          <w:szCs w:val="22"/>
        </w:rPr>
        <w:t xml:space="preserve"> is biological breakdown of a substance. </w:t>
      </w:r>
      <w:r>
        <w:rPr>
          <w:rFonts w:ascii="Calibri" w:hAnsi="Calibri" w:cs="Calibri" w:eastAsia="PingFang SC"/>
          <w:b/>
          <w:color w:val="3D3A33"/>
          <w:sz w:val="22"/>
          <w:szCs w:val="22"/>
        </w:rPr>
        <w:t xml:space="preserve">Bioaccumulation</w:t>
      </w:r>
      <w:r>
        <w:rPr>
          <w:rFonts w:ascii="Calibri" w:hAnsi="Calibri" w:cs="Calibri" w:eastAsia="PingFang SC"/>
          <w:color w:val="3D3A33"/>
          <w:sz w:val="22"/>
          <w:szCs w:val="22"/>
        </w:rPr>
        <w:t xml:space="preserve"> is its build-up within organisms; accumulation must not be equated with harmless elimination.</w:t>
      </w:r>
    </w:p>
    <w:p>
      <w:pPr>
        <w:spacing w:before="240" w:after="80" w:line="312" w:lineRule="auto"/>
      </w:pPr>
      <w:r>
        <w:rPr>
          <w:rFonts w:ascii="Calibri" w:hAnsi="Calibri" w:cs="Calibri" w:eastAsia="PingFang SC"/>
          <w:b/>
          <w:color w:val="175244"/>
          <w:sz w:val="22"/>
          <w:szCs w:val="22"/>
        </w:rPr>
        <w:t xml:space="preserve">3: Goals</w:t>
      </w:r>
    </w:p>
    <w:p>
      <w:pPr>
        <w:spacing w:before="0" w:after="160" w:line="312" w:lineRule="auto"/>
      </w:pPr>
      <w:r>
        <w:rPr>
          <w:rFonts w:ascii="Calibri" w:hAnsi="Calibri" w:cs="Calibri" w:eastAsia="PingFang SC"/>
          <w:color w:val="3D3A33"/>
          <w:sz w:val="22"/>
          <w:szCs w:val="22"/>
        </w:rPr>
        <w:t xml:space="preserve">A goal defines the purpose toward which the system operates. Changing a lake's management purpose from unrestricted use toward tourism or conservation can reorganise monitoring, enforcement and access arrangements.</w:t>
      </w:r>
    </w:p>
    <w:p>
      <w:pPr>
        <w:spacing w:before="0" w:after="160" w:line="312" w:lineRule="auto"/>
      </w:pPr>
      <w:r>
        <w:rPr>
          <w:rFonts w:ascii="Calibri" w:hAnsi="Calibri" w:cs="Calibri" w:eastAsia="PingFang SC"/>
          <w:color w:val="3D3A33"/>
          <w:sz w:val="22"/>
          <w:szCs w:val="22"/>
        </w:rPr>
        <w:t xml:space="preserve">Goal changes can redirect parameters, information, feedback and adaptive activity. Efficient pursuit of an inappropriate goal is not sufficient for overall success.</w:t>
      </w:r>
    </w:p>
    <w:p>
      <w:pPr>
        <w:spacing w:before="240" w:after="80" w:line="312" w:lineRule="auto"/>
      </w:pPr>
      <w:r>
        <w:rPr>
          <w:rFonts w:ascii="Calibri" w:hAnsi="Calibri" w:cs="Calibri" w:eastAsia="PingFang SC"/>
          <w:b/>
          <w:color w:val="175244"/>
          <w:sz w:val="22"/>
          <w:szCs w:val="22"/>
        </w:rPr>
        <w:t xml:space="preserve">2: Mindset or Paradigm</w:t>
      </w:r>
    </w:p>
    <w:p>
      <w:pPr>
        <w:spacing w:before="0" w:after="160" w:line="312" w:lineRule="auto"/>
      </w:pPr>
      <w:r>
        <w:rPr>
          <w:rFonts w:ascii="Calibri" w:hAnsi="Calibri" w:cs="Calibri" w:eastAsia="PingFang SC"/>
          <w:color w:val="3D3A33"/>
          <w:sz w:val="22"/>
          <w:szCs w:val="22"/>
        </w:rPr>
        <w:t xml:space="preserve">Paradigms support the selection of goals and the acceptability of structures and rules. Seeing nature mainly as a resource for human use differs from seeing it as an interconnected living system requiring care.</w:t>
      </w:r>
    </w:p>
    <w:p>
      <w:pPr>
        <w:spacing w:before="0" w:after="160" w:line="312" w:lineRule="auto"/>
      </w:pPr>
      <w:r>
        <w:rPr>
          <w:rFonts w:ascii="Calibri" w:hAnsi="Calibri" w:cs="Calibri" w:eastAsia="PingFang SC"/>
          <w:color w:val="3D3A33"/>
          <w:sz w:val="22"/>
          <w:szCs w:val="22"/>
        </w:rPr>
        <w:t xml:space="preserve">Making anomalies and failures visible to people willing to reconsider assumptions can contribute to change. A paradigm shift is not automatically easy, immediate or uncontested.</w:t>
      </w:r>
    </w:p>
    <w:p>
      <w:pPr>
        <w:spacing w:before="240" w:after="80" w:line="312" w:lineRule="auto"/>
      </w:pPr>
      <w:r>
        <w:rPr>
          <w:rFonts w:ascii="Calibri" w:hAnsi="Calibri" w:cs="Calibri" w:eastAsia="PingFang SC"/>
          <w:b/>
          <w:color w:val="175244"/>
          <w:sz w:val="22"/>
          <w:szCs w:val="22"/>
        </w:rPr>
        <w:t xml:space="preserve">1: Transcending Paradigms</w:t>
      </w:r>
    </w:p>
    <w:p>
      <w:pPr>
        <w:spacing w:before="0" w:after="160" w:line="312" w:lineRule="auto"/>
      </w:pPr>
      <w:r>
        <w:rPr>
          <w:rFonts w:ascii="Calibri" w:hAnsi="Calibri" w:cs="Calibri" w:eastAsia="PingFang SC"/>
          <w:color w:val="3D3A33"/>
          <w:sz w:val="22"/>
          <w:szCs w:val="22"/>
        </w:rPr>
        <w:t xml:space="preserve">Transcending paradigms means recognising that every worldview has limits and being able to consider alternatives without rigid dependence on one framework. It is different from replacing one paradigm with another: the latter remains a change at number 2, whereas number 1 concerns one's relationship to paradigms themselves.</w:t>
      </w:r>
    </w:p>
    <w:p>
      <w:pPr>
        <w:spacing w:before="240" w:after="80" w:line="312" w:lineRule="auto"/>
      </w:pPr>
      <w:r>
        <w:rPr>
          <w:rFonts w:ascii="Calibri" w:hAnsi="Calibri" w:cs="Calibri" w:eastAsia="PingFang SC"/>
          <w:b/>
          <w:color w:val="9E3D34"/>
          <w:sz w:val="26"/>
          <w:szCs w:val="26"/>
        </w:rPr>
        <w:t xml:space="preserve">Four Broad Intervention Families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61"/>
        <w:gridCol w:w="1233"/>
        <w:gridCol w:w="6266"/>
      </w:tblGrid>
      <w:tr>
        <w:trPr>
          <w:tblHeader/>
        </w:trPr>
        <w:tc>
          <w:tcPr>
            <w:tcW w:w="1861" w:type="dxa"/>
            <w:shd w:val="clear" w:color="auto" w:fill="EAE7DD"/>
          </w:tcPr>
          <w:p>
            <w:pPr>
              <w:spacing w:before="0" w:after="0" w:line="312" w:lineRule="auto"/>
            </w:pPr>
            <w:r>
              <w:rPr>
                <w:rFonts w:ascii="Calibri" w:hAnsi="Calibri" w:cs="Calibri" w:eastAsia="PingFang SC"/>
                <w:b/>
                <w:color w:val="3D3A33"/>
                <w:sz w:val="22"/>
                <w:szCs w:val="22"/>
              </w:rPr>
              <w:t xml:space="preserve">Family</w:t>
            </w:r>
          </w:p>
        </w:tc>
        <w:tc>
          <w:tcPr>
            <w:tcW w:w="1233" w:type="dxa"/>
            <w:shd w:val="clear" w:color="auto" w:fill="EAE7DD"/>
          </w:tcPr>
          <w:p>
            <w:pPr>
              <w:spacing w:before="0" w:after="0" w:line="312" w:lineRule="auto"/>
            </w:pPr>
            <w:r>
              <w:rPr>
                <w:rFonts w:ascii="Calibri" w:hAnsi="Calibri" w:cs="Calibri" w:eastAsia="PingFang SC"/>
                <w:b/>
                <w:color w:val="3D3A33"/>
                <w:sz w:val="22"/>
                <w:szCs w:val="22"/>
              </w:rPr>
              <w:t xml:space="preserve">Meadows numbers</w:t>
            </w:r>
          </w:p>
        </w:tc>
        <w:tc>
          <w:tcPr>
            <w:tcW w:w="6266" w:type="dxa"/>
            <w:shd w:val="clear" w:color="auto" w:fill="EAE7DD"/>
          </w:tcPr>
          <w:p>
            <w:pPr>
              <w:spacing w:before="0" w:after="0" w:line="312" w:lineRule="auto"/>
            </w:pPr>
            <w:r>
              <w:rPr>
                <w:rFonts w:ascii="Calibri" w:hAnsi="Calibri" w:cs="Calibri" w:eastAsia="PingFang SC"/>
                <w:b/>
                <w:color w:val="3D3A33"/>
                <w:sz w:val="22"/>
                <w:szCs w:val="22"/>
              </w:rPr>
              <w:t xml:space="preserve">Focus</w:t>
            </w:r>
          </w:p>
        </w:tc>
      </w:tr>
      <w:tr>
        <w:tc>
          <w:tcPr>
            <w:tcW w:w="1861" w:type="dxa"/>
          </w:tcPr>
          <w:p>
            <w:pPr>
              <w:spacing w:before="0" w:after="0" w:line="312" w:lineRule="auto"/>
            </w:pPr>
            <w:r>
              <w:rPr>
                <w:rFonts w:ascii="Calibri" w:hAnsi="Calibri" w:cs="Calibri" w:eastAsia="PingFang SC"/>
                <w:color w:val="3D3A33"/>
                <w:sz w:val="22"/>
                <w:szCs w:val="22"/>
              </w:rPr>
              <w:t xml:space="preserve">Parameters</w:t>
            </w:r>
          </w:p>
        </w:tc>
        <w:tc>
          <w:tcPr>
            <w:tcW w:w="1233" w:type="dxa"/>
          </w:tcPr>
          <w:p>
            <w:pPr>
              <w:spacing w:before="0" w:after="0" w:line="312" w:lineRule="auto"/>
            </w:pPr>
            <w:r>
              <w:rPr>
                <w:rFonts w:ascii="Calibri" w:hAnsi="Calibri" w:cs="Calibri" w:eastAsia="PingFang SC"/>
                <w:color w:val="3D3A33"/>
                <w:sz w:val="22"/>
                <w:szCs w:val="22"/>
              </w:rPr>
              <w:t xml:space="preserve">12-10</w:t>
            </w:r>
          </w:p>
        </w:tc>
        <w:tc>
          <w:tcPr>
            <w:tcW w:w="6266" w:type="dxa"/>
          </w:tcPr>
          <w:p>
            <w:pPr>
              <w:spacing w:before="0" w:after="0" w:line="312" w:lineRule="auto"/>
            </w:pPr>
            <w:r>
              <w:rPr>
                <w:rFonts w:ascii="Calibri" w:hAnsi="Calibri" w:cs="Calibri" w:eastAsia="PingFang SC"/>
                <w:color w:val="3D3A33"/>
                <w:sz w:val="22"/>
                <w:szCs w:val="22"/>
              </w:rPr>
              <w:t xml:space="preserve">Numerical and material features of operation</w:t>
            </w:r>
          </w:p>
        </w:tc>
      </w:tr>
      <w:tr>
        <w:tc>
          <w:tcPr>
            <w:tcW w:w="1861" w:type="dxa"/>
          </w:tcPr>
          <w:p>
            <w:pPr>
              <w:spacing w:before="0" w:after="0" w:line="312" w:lineRule="auto"/>
            </w:pPr>
            <w:r>
              <w:rPr>
                <w:rFonts w:ascii="Calibri" w:hAnsi="Calibri" w:cs="Calibri" w:eastAsia="PingFang SC"/>
                <w:color w:val="3D3A33"/>
                <w:sz w:val="22"/>
                <w:szCs w:val="22"/>
              </w:rPr>
              <w:t xml:space="preserve">Feedbacks</w:t>
            </w:r>
          </w:p>
        </w:tc>
        <w:tc>
          <w:tcPr>
            <w:tcW w:w="1233" w:type="dxa"/>
          </w:tcPr>
          <w:p>
            <w:pPr>
              <w:spacing w:before="0" w:after="0" w:line="312" w:lineRule="auto"/>
            </w:pPr>
            <w:r>
              <w:rPr>
                <w:rFonts w:ascii="Calibri" w:hAnsi="Calibri" w:cs="Calibri" w:eastAsia="PingFang SC"/>
                <w:color w:val="3D3A33"/>
                <w:sz w:val="22"/>
                <w:szCs w:val="22"/>
              </w:rPr>
              <w:t xml:space="preserve">9-7</w:t>
            </w:r>
          </w:p>
        </w:tc>
        <w:tc>
          <w:tcPr>
            <w:tcW w:w="6266" w:type="dxa"/>
          </w:tcPr>
          <w:p>
            <w:pPr>
              <w:spacing w:before="0" w:after="0" w:line="312" w:lineRule="auto"/>
            </w:pPr>
            <w:r>
              <w:rPr>
                <w:rFonts w:ascii="Calibri" w:hAnsi="Calibri" w:cs="Calibri" w:eastAsia="PingFang SC"/>
                <w:color w:val="3D3A33"/>
                <w:sz w:val="22"/>
                <w:szCs w:val="22"/>
              </w:rPr>
              <w:t xml:space="preserve">Interactions and timing that drive internal dynamics</w:t>
            </w:r>
          </w:p>
        </w:tc>
      </w:tr>
      <w:tr>
        <w:tc>
          <w:tcPr>
            <w:tcW w:w="1861" w:type="dxa"/>
          </w:tcPr>
          <w:p>
            <w:pPr>
              <w:spacing w:before="0" w:after="0" w:line="312" w:lineRule="auto"/>
            </w:pPr>
            <w:r>
              <w:rPr>
                <w:rFonts w:ascii="Calibri" w:hAnsi="Calibri" w:cs="Calibri" w:eastAsia="PingFang SC"/>
                <w:color w:val="3D3A33"/>
                <w:sz w:val="22"/>
                <w:szCs w:val="22"/>
              </w:rPr>
              <w:t xml:space="preserve">Design</w:t>
            </w:r>
          </w:p>
        </w:tc>
        <w:tc>
          <w:tcPr>
            <w:tcW w:w="1233" w:type="dxa"/>
          </w:tcPr>
          <w:p>
            <w:pPr>
              <w:spacing w:before="0" w:after="0" w:line="312" w:lineRule="auto"/>
            </w:pPr>
            <w:r>
              <w:rPr>
                <w:rFonts w:ascii="Calibri" w:hAnsi="Calibri" w:cs="Calibri" w:eastAsia="PingFang SC"/>
                <w:color w:val="3D3A33"/>
                <w:sz w:val="22"/>
                <w:szCs w:val="22"/>
              </w:rPr>
              <w:t xml:space="preserve">6-4</w:t>
            </w:r>
          </w:p>
        </w:tc>
        <w:tc>
          <w:tcPr>
            <w:tcW w:w="6266" w:type="dxa"/>
          </w:tcPr>
          <w:p>
            <w:pPr>
              <w:spacing w:before="0" w:after="0" w:line="312" w:lineRule="auto"/>
            </w:pPr>
            <w:r>
              <w:rPr>
                <w:rFonts w:ascii="Calibri" w:hAnsi="Calibri" w:cs="Calibri" w:eastAsia="PingFang SC"/>
                <w:color w:val="3D3A33"/>
                <w:sz w:val="22"/>
                <w:szCs w:val="22"/>
              </w:rPr>
              <w:t xml:space="preserve">Information, rules and capacity to change structure</w:t>
            </w:r>
          </w:p>
        </w:tc>
      </w:tr>
      <w:tr>
        <w:tc>
          <w:tcPr>
            <w:tcW w:w="1861" w:type="dxa"/>
          </w:tcPr>
          <w:p>
            <w:pPr>
              <w:spacing w:before="0" w:after="0" w:line="312" w:lineRule="auto"/>
            </w:pPr>
            <w:r>
              <w:rPr>
                <w:rFonts w:ascii="Calibri" w:hAnsi="Calibri" w:cs="Calibri" w:eastAsia="PingFang SC"/>
                <w:color w:val="3D3A33"/>
                <w:sz w:val="22"/>
                <w:szCs w:val="22"/>
              </w:rPr>
              <w:t xml:space="preserve">Intent</w:t>
            </w:r>
          </w:p>
        </w:tc>
        <w:tc>
          <w:tcPr>
            <w:tcW w:w="1233" w:type="dxa"/>
          </w:tcPr>
          <w:p>
            <w:pPr>
              <w:spacing w:before="0" w:after="0" w:line="312" w:lineRule="auto"/>
            </w:pPr>
            <w:r>
              <w:rPr>
                <w:rFonts w:ascii="Calibri" w:hAnsi="Calibri" w:cs="Calibri" w:eastAsia="PingFang SC"/>
                <w:color w:val="3D3A33"/>
                <w:sz w:val="22"/>
                <w:szCs w:val="22"/>
              </w:rPr>
              <w:t xml:space="preserve">3-1</w:t>
            </w:r>
          </w:p>
        </w:tc>
        <w:tc>
          <w:tcPr>
            <w:tcW w:w="6266" w:type="dxa"/>
          </w:tcPr>
          <w:p>
            <w:pPr>
              <w:spacing w:before="0" w:after="0" w:line="312" w:lineRule="auto"/>
            </w:pPr>
            <w:r>
              <w:rPr>
                <w:rFonts w:ascii="Calibri" w:hAnsi="Calibri" w:cs="Calibri" w:eastAsia="PingFang SC"/>
                <w:color w:val="3D3A33"/>
                <w:sz w:val="22"/>
                <w:szCs w:val="22"/>
              </w:rPr>
              <w:t xml:space="preserve">Goals, values and worldviews that orient the system</w:t>
            </w:r>
          </w:p>
        </w:tc>
      </w:tr>
    </w:tbl>
    <w:p>
      <w:pPr>
        <w:spacing w:before="0" w:after="160" w:line="312" w:lineRule="auto"/>
      </w:pPr>
      <w:r>
        <w:rPr>
          <w:rFonts w:ascii="Calibri" w:hAnsi="Calibri" w:cs="Calibri" w:eastAsia="PingFang SC"/>
          <w:color w:val="3D3A33"/>
          <w:sz w:val="22"/>
          <w:szCs w:val="22"/>
        </w:rPr>
        <w:t xml:space="preserve">These families move broadly from shallow to deep. They are not interchangeable with the separate depth 1-4 ratings: the family boundaries do not reproduce every depth rating.</w:t>
      </w:r>
    </w:p>
    <w:p>
      <w:pPr>
        <w:spacing w:before="0" w:after="160" w:line="312" w:lineRule="auto"/>
      </w:pPr>
      <w:r>
        <w:rPr>
          <w:rFonts w:ascii="Calibri" w:hAnsi="Calibri" w:cs="Calibri" w:eastAsia="PingFang SC"/>
          <w:color w:val="3D3A33"/>
          <w:sz w:val="22"/>
          <w:szCs w:val="22"/>
        </w:rPr>
        <w:t xml:space="preserve">Parameters can also be described as material features, and feedbacks as processes. A causal account asks how mechanisms produce effects; a </w:t>
      </w:r>
      <w:r>
        <w:rPr>
          <w:rFonts w:ascii="Calibri" w:hAnsi="Calibri" w:cs="Calibri" w:eastAsia="PingFang SC"/>
          <w:b/>
          <w:color w:val="3D3A33"/>
          <w:sz w:val="22"/>
          <w:szCs w:val="22"/>
        </w:rPr>
        <w:t xml:space="preserve">teleological</w:t>
      </w:r>
      <w:r>
        <w:rPr>
          <w:rFonts w:ascii="Calibri" w:hAnsi="Calibri" w:cs="Calibri" w:eastAsia="PingFang SC"/>
          <w:color w:val="3D3A33"/>
          <w:sz w:val="22"/>
          <w:szCs w:val="22"/>
        </w:rPr>
        <w:t xml:space="preserve"> account asks what purposes an activity serves. This contrast concerns explanation and purpose, not a required chronological order of action.</w:t>
      </w:r>
    </w:p>
    <w:p>
      <w:pPr>
        <w:spacing w:before="240" w:after="80" w:line="312" w:lineRule="auto"/>
      </w:pPr>
      <w:r>
        <w:rPr>
          <w:rFonts w:ascii="Calibri" w:hAnsi="Calibri" w:cs="Calibri" w:eastAsia="PingFang SC"/>
          <w:b/>
          <w:color w:val="9E3D34"/>
          <w:sz w:val="26"/>
          <w:szCs w:val="26"/>
        </w:rPr>
        <w:t xml:space="preserve">Diagnosing an Intervention</w:t>
      </w:r>
    </w:p>
    <w:p>
      <w:pPr>
        <w:spacing w:before="0" w:after="160" w:line="312" w:lineRule="auto"/>
      </w:pPr>
      <w:r>
        <w:rPr>
          <w:rFonts w:ascii="Calibri" w:hAnsi="Calibri" w:cs="Calibri" w:eastAsia="PingFang SC"/>
          <w:color w:val="3D3A33"/>
          <w:sz w:val="22"/>
          <w:szCs w:val="22"/>
        </w:rPr>
        <w:t xml:space="preserve">A useful diagnosis connects the challenge to its underlying mechanism:</w:t>
      </w:r>
    </w:p>
    <w:p>
      <w:pPr>
        <w:numPr>
          <w:ilvl w:val="0"/>
          <w:numId w:val="101"/>
        </w:numPr>
        <w:spacing w:after="80" w:line="312" w:lineRule="auto"/>
      </w:pPr>
      <w:r>
        <w:rPr>
          <w:rFonts w:ascii="Calibri" w:hAnsi="Calibri" w:cs="Calibri" w:eastAsia="PingFang SC"/>
          <w:color w:val="3D3A33"/>
          <w:sz w:val="22"/>
          <w:szCs w:val="22"/>
        </w:rPr>
        <w:t xml:space="preserve">Define the system and the observed problem.</w:t>
      </w:r>
    </w:p>
    <w:p>
      <w:pPr>
        <w:numPr>
          <w:ilvl w:val="0"/>
          <w:numId w:val="101"/>
        </w:numPr>
        <w:spacing w:after="80" w:line="312" w:lineRule="auto"/>
      </w:pPr>
      <w:r>
        <w:rPr>
          <w:rFonts w:ascii="Calibri" w:hAnsi="Calibri" w:cs="Calibri" w:eastAsia="PingFang SC"/>
          <w:color w:val="3D3A33"/>
          <w:sz w:val="22"/>
          <w:szCs w:val="22"/>
        </w:rPr>
        <w:t xml:space="preserve">Identify relevant complexity: dependencies, technical uncertainty, contested direction or relationships.</w:t>
      </w:r>
    </w:p>
    <w:p>
      <w:pPr>
        <w:numPr>
          <w:ilvl w:val="0"/>
          <w:numId w:val="101"/>
        </w:numPr>
        <w:spacing w:after="80" w:line="312" w:lineRule="auto"/>
      </w:pPr>
      <w:r>
        <w:rPr>
          <w:rFonts w:ascii="Calibri" w:hAnsi="Calibri" w:cs="Calibri" w:eastAsia="PingFang SC"/>
          <w:color w:val="3D3A33"/>
          <w:sz w:val="22"/>
          <w:szCs w:val="22"/>
        </w:rPr>
        <w:t xml:space="preserve">Establish what the proposed intervention changes: numbers, material structure, feedback, information, rules, adaptive capacity, goals or assumptions.</w:t>
      </w:r>
    </w:p>
    <w:p>
      <w:pPr>
        <w:numPr>
          <w:ilvl w:val="0"/>
          <w:numId w:val="101"/>
        </w:numPr>
        <w:spacing w:after="80" w:line="312" w:lineRule="auto"/>
      </w:pPr>
      <w:r>
        <w:rPr>
          <w:rFonts w:ascii="Calibri" w:hAnsi="Calibri" w:cs="Calibri" w:eastAsia="PingFang SC"/>
          <w:color w:val="3D3A33"/>
          <w:sz w:val="22"/>
          <w:szCs w:val="22"/>
        </w:rPr>
        <w:t xml:space="preserve">Explain the leverage category and depth judgement.</w:t>
      </w:r>
    </w:p>
    <w:p>
      <w:pPr>
        <w:numPr>
          <w:ilvl w:val="0"/>
          <w:numId w:val="101"/>
        </w:numPr>
        <w:spacing w:after="80" w:line="312" w:lineRule="auto"/>
      </w:pPr>
      <w:r>
        <w:rPr>
          <w:rFonts w:ascii="Calibri" w:hAnsi="Calibri" w:cs="Calibri" w:eastAsia="PingFang SC"/>
          <w:color w:val="3D3A33"/>
          <w:sz w:val="22"/>
          <w:szCs w:val="22"/>
        </w:rPr>
        <w:t xml:space="preserve">Identify participants, decision rights and likely resistance.</w:t>
      </w:r>
    </w:p>
    <w:p>
      <w:pPr>
        <w:numPr>
          <w:ilvl w:val="0"/>
          <w:numId w:val="101"/>
        </w:numPr>
        <w:spacing w:after="80" w:line="312" w:lineRule="auto"/>
      </w:pPr>
      <w:r>
        <w:rPr>
          <w:rFonts w:ascii="Calibri" w:hAnsi="Calibri" w:cs="Calibri" w:eastAsia="PingFang SC"/>
          <w:color w:val="3D3A33"/>
          <w:sz w:val="22"/>
          <w:szCs w:val="22"/>
        </w:rPr>
        <w:t xml:space="preserve">Consider costs, delays and unintended consequences.</w:t>
      </w:r>
    </w:p>
    <w:p>
      <w:pPr>
        <w:numPr>
          <w:ilvl w:val="0"/>
          <w:numId w:val="101"/>
        </w:numPr>
        <w:spacing w:after="80" w:line="312" w:lineRule="auto"/>
      </w:pPr>
      <w:r>
        <w:rPr>
          <w:rFonts w:ascii="Calibri" w:hAnsi="Calibri" w:cs="Calibri" w:eastAsia="PingFang SC"/>
          <w:color w:val="3D3A33"/>
          <w:sz w:val="22"/>
          <w:szCs w:val="22"/>
        </w:rPr>
        <w:t xml:space="preserve">Specify what feedback would indicate improvement.</w:t>
      </w:r>
    </w:p>
    <w:p>
      <w:pPr>
        <w:spacing w:before="0" w:after="160" w:line="312" w:lineRule="auto"/>
      </w:pPr>
      <w:r>
        <w:rPr>
          <w:rFonts w:ascii="Calibri" w:hAnsi="Calibri" w:cs="Calibri" w:eastAsia="PingFang SC"/>
          <w:color w:val="3D3A33"/>
          <w:sz w:val="22"/>
          <w:szCs w:val="22"/>
        </w:rPr>
        <w:t xml:space="preserve">Routine double-sided printing illustrates a shallow operational adjustment. Making it a mandatory default can also change rules; the classification depends on the intervention's design.</w:t>
      </w:r>
    </w:p>
    <w:p>
      <w:pPr>
        <w:spacing w:before="0" w:after="160" w:line="312" w:lineRule="auto"/>
      </w:pPr>
      <w:r>
        <w:rPr>
          <w:rFonts w:ascii="Calibri" w:hAnsi="Calibri" w:cs="Calibri" w:eastAsia="PingFang SC"/>
          <w:color w:val="3D3A33"/>
          <w:sz w:val="22"/>
          <w:szCs w:val="22"/>
        </w:rPr>
        <w:t xml:space="preserve">Sustainability interventions can target manager bonuses, team rewards, procurement criteria, professional education, management methods, safety requirements, environmental laws and the visibility of building ratings. These labels alone do not establish their leverage depth. For example, a reward may simply change an incentive amount or may be part of a redesigned decision system.</w:t>
      </w:r>
    </w:p>
    <w:p>
      <w:pPr>
        <w:spacing w:before="0" w:after="160" w:line="312" w:lineRule="auto"/>
      </w:pPr>
      <w:r>
        <w:rPr>
          <w:rFonts w:ascii="Calibri" w:hAnsi="Calibri" w:cs="Calibri" w:eastAsia="PingFang SC"/>
          <w:b/>
          <w:color w:val="3D3A33"/>
          <w:sz w:val="22"/>
          <w:szCs w:val="22"/>
        </w:rPr>
        <w:t xml:space="preserve">National Australian Built Environment Rating System (NABERS)</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Green Star</w:t>
      </w:r>
      <w:r>
        <w:rPr>
          <w:rFonts w:ascii="Calibri" w:hAnsi="Calibri" w:cs="Calibri" w:eastAsia="PingFang SC"/>
          <w:color w:val="3D3A33"/>
          <w:sz w:val="22"/>
          <w:szCs w:val="22"/>
        </w:rPr>
        <w:t xml:space="preserve"> are building sustainability assessment and rating systems. Making such ratings visible can be analysed as an information-flow change when the mechanism is to inform consequential decisions.</w:t>
      </w:r>
    </w:p>
    <w:p>
      <w:pPr>
        <w:spacing w:before="0" w:after="160" w:line="312" w:lineRule="auto"/>
      </w:pPr>
      <w:r>
        <w:rPr>
          <w:rFonts w:ascii="Calibri" w:hAnsi="Calibri" w:cs="Calibri" w:eastAsia="PingFang SC"/>
          <w:b/>
          <w:color w:val="3D3A33"/>
          <w:sz w:val="22"/>
          <w:szCs w:val="22"/>
        </w:rPr>
        <w:t xml:space="preserve">System dynamics</w:t>
      </w:r>
      <w:r>
        <w:rPr>
          <w:rFonts w:ascii="Calibri" w:hAnsi="Calibri" w:cs="Calibri" w:eastAsia="PingFang SC"/>
          <w:color w:val="3D3A33"/>
          <w:sz w:val="22"/>
          <w:szCs w:val="22"/>
        </w:rPr>
        <w:t xml:space="preserve"> models stocks, flows, feedback and delays to examine changing behaviour over time. Using such a model can support feedback diagnosis, but the model itself does not guarantee that the organisation will act on what it reveals.</w:t>
      </w:r>
    </w:p>
    <w:p>
      <w:pPr>
        <w:spacing w:before="0" w:after="160" w:line="312" w:lineRule="auto"/>
      </w:pPr>
      <w:r>
        <w:rPr>
          <w:rFonts w:ascii="Calibri" w:hAnsi="Calibri" w:cs="Calibri" w:eastAsia="PingFang SC"/>
          <w:color w:val="3D3A33"/>
          <w:sz w:val="22"/>
          <w:szCs w:val="22"/>
        </w:rPr>
        <w:t xml:space="preserve">A disposable-cup problem similarly requires an explanation of what a proposed measure changes; the problem label alone cannot identify its leverage category.</w:t>
      </w:r>
    </w:p>
    <w:p>
      <w:pPr>
        <w:spacing w:before="240" w:after="80" w:line="312" w:lineRule="auto"/>
      </w:pPr>
      <w:r>
        <w:rPr>
          <w:rFonts w:ascii="Calibri" w:hAnsi="Calibri" w:cs="Calibri" w:eastAsia="PingFang SC"/>
          <w:b/>
          <w:color w:val="9E3D34"/>
          <w:sz w:val="26"/>
          <w:szCs w:val="26"/>
        </w:rPr>
        <w:t xml:space="preserve">Risk Interdependencies</w:t>
      </w:r>
    </w:p>
    <w:p>
      <w:pPr>
        <w:spacing w:before="0" w:after="160" w:line="312" w:lineRule="auto"/>
      </w:pPr>
      <w:r>
        <w:rPr>
          <w:rFonts w:ascii="Calibri" w:hAnsi="Calibri" w:cs="Calibri" w:eastAsia="PingFang SC"/>
          <w:color w:val="3D3A33"/>
          <w:sz w:val="22"/>
          <w:szCs w:val="22"/>
        </w:rPr>
        <w:t xml:space="preserve">Risks can interact rather than operate independently. The Risk Interdependencies tool examines relationships among already identified risks, especially harmful compounding processes. It complements conventional risk identification and may reveal additional risks during discussion.</w:t>
      </w:r>
    </w:p>
    <w:p>
      <w:pPr>
        <w:spacing w:before="0" w:after="160" w:line="312" w:lineRule="auto"/>
      </w:pPr>
      <w:r>
        <w:rPr>
          <w:rFonts w:ascii="Calibri" w:hAnsi="Calibri" w:cs="Calibri" w:eastAsia="PingFang SC"/>
          <w:color w:val="3D3A33"/>
          <w:sz w:val="22"/>
          <w:szCs w:val="22"/>
        </w:rPr>
        <w:t xml:space="preserve">It is suited to small and medium projects, can take approximately 20-60 minutes and should be repeated because relationships change.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31"/>
        <w:gridCol w:w="7229"/>
      </w:tblGrid>
      <w:tr>
        <w:trPr>
          <w:tblHeader/>
        </w:trPr>
        <w:tc>
          <w:tcPr>
            <w:tcW w:w="2131" w:type="dxa"/>
            <w:shd w:val="clear" w:color="auto" w:fill="EAE7DD"/>
          </w:tcPr>
          <w:p>
            <w:pPr>
              <w:spacing w:before="0" w:after="0" w:line="312" w:lineRule="auto"/>
            </w:pPr>
            <w:r>
              <w:rPr>
                <w:rFonts w:ascii="Calibri" w:hAnsi="Calibri" w:cs="Calibri" w:eastAsia="PingFang SC"/>
                <w:b/>
                <w:color w:val="3D3A33"/>
                <w:sz w:val="22"/>
                <w:szCs w:val="22"/>
              </w:rPr>
              <w:t xml:space="preserve">Complexity dimension</w:t>
            </w:r>
          </w:p>
        </w:tc>
        <w:tc>
          <w:tcPr>
            <w:tcW w:w="7229" w:type="dxa"/>
            <w:shd w:val="clear" w:color="auto" w:fill="EAE7DD"/>
          </w:tcPr>
          <w:p>
            <w:pPr>
              <w:spacing w:before="0" w:after="0" w:line="312" w:lineRule="auto"/>
            </w:pPr>
            <w:r>
              <w:rPr>
                <w:rFonts w:ascii="Calibri" w:hAnsi="Calibri" w:cs="Calibri" w:eastAsia="PingFang SC"/>
                <w:b/>
                <w:color w:val="3D3A33"/>
                <w:sz w:val="22"/>
                <w:szCs w:val="22"/>
              </w:rPr>
              <w:t xml:space="preserve">Relevant risk connections</w:t>
            </w:r>
          </w:p>
        </w:tc>
      </w:tr>
      <w:tr>
        <w:tc>
          <w:tcPr>
            <w:tcW w:w="2131" w:type="dxa"/>
          </w:tcPr>
          <w:p>
            <w:pPr>
              <w:spacing w:before="0" w:after="0" w:line="312" w:lineRule="auto"/>
            </w:pPr>
            <w:r>
              <w:rPr>
                <w:rFonts w:ascii="Calibri" w:hAnsi="Calibri" w:cs="Calibri" w:eastAsia="PingFang SC"/>
                <w:color w:val="3D3A33"/>
                <w:sz w:val="22"/>
                <w:szCs w:val="22"/>
              </w:rPr>
              <w:t xml:space="preserve">Structural</w:t>
            </w:r>
          </w:p>
        </w:tc>
        <w:tc>
          <w:tcPr>
            <w:tcW w:w="7229" w:type="dxa"/>
          </w:tcPr>
          <w:p>
            <w:pPr>
              <w:spacing w:before="0" w:after="0" w:line="312" w:lineRule="auto"/>
            </w:pPr>
            <w:r>
              <w:rPr>
                <w:rFonts w:ascii="Calibri" w:hAnsi="Calibri" w:cs="Calibri" w:eastAsia="PingFang SC"/>
                <w:color w:val="3D3A33"/>
                <w:sz w:val="22"/>
                <w:szCs w:val="22"/>
              </w:rPr>
              <w:t xml:space="preserve">Numerous dependencies and risks emerging from their interaction</w:t>
            </w:r>
          </w:p>
        </w:tc>
      </w:tr>
      <w:tr>
        <w:tc>
          <w:tcPr>
            <w:tcW w:w="2131" w:type="dxa"/>
          </w:tcPr>
          <w:p>
            <w:pPr>
              <w:spacing w:before="0" w:after="0" w:line="312" w:lineRule="auto"/>
            </w:pPr>
            <w:r>
              <w:rPr>
                <w:rFonts w:ascii="Calibri" w:hAnsi="Calibri" w:cs="Calibri" w:eastAsia="PingFang SC"/>
                <w:color w:val="3D3A33"/>
                <w:sz w:val="22"/>
                <w:szCs w:val="22"/>
              </w:rPr>
              <w:t xml:space="preserve">Technical</w:t>
            </w:r>
          </w:p>
        </w:tc>
        <w:tc>
          <w:tcPr>
            <w:tcW w:w="7229" w:type="dxa"/>
          </w:tcPr>
          <w:p>
            <w:pPr>
              <w:spacing w:before="0" w:after="0" w:line="312" w:lineRule="auto"/>
            </w:pPr>
            <w:r>
              <w:rPr>
                <w:rFonts w:ascii="Calibri" w:hAnsi="Calibri" w:cs="Calibri" w:eastAsia="PingFang SC"/>
                <w:color w:val="3D3A33"/>
                <w:sz w:val="22"/>
                <w:szCs w:val="22"/>
              </w:rPr>
              <w:t xml:space="preserve">Design uncertainty combining with cost and time uncertainty</w:t>
            </w:r>
          </w:p>
        </w:tc>
      </w:tr>
      <w:tr>
        <w:tc>
          <w:tcPr>
            <w:tcW w:w="2131" w:type="dxa"/>
          </w:tcPr>
          <w:p>
            <w:pPr>
              <w:spacing w:before="0" w:after="0" w:line="312" w:lineRule="auto"/>
            </w:pPr>
            <w:r>
              <w:rPr>
                <w:rFonts w:ascii="Calibri" w:hAnsi="Calibri" w:cs="Calibri" w:eastAsia="PingFang SC"/>
                <w:color w:val="3D3A33"/>
                <w:sz w:val="22"/>
                <w:szCs w:val="22"/>
              </w:rPr>
              <w:t xml:space="preserve">Directional</w:t>
            </w:r>
          </w:p>
        </w:tc>
        <w:tc>
          <w:tcPr>
            <w:tcW w:w="7229" w:type="dxa"/>
          </w:tcPr>
          <w:p>
            <w:pPr>
              <w:spacing w:before="0" w:after="0" w:line="312" w:lineRule="auto"/>
            </w:pPr>
            <w:r>
              <w:rPr>
                <w:rFonts w:ascii="Calibri" w:hAnsi="Calibri" w:cs="Calibri" w:eastAsia="PingFang SC"/>
                <w:color w:val="3D3A33"/>
                <w:sz w:val="22"/>
                <w:szCs w:val="22"/>
              </w:rPr>
              <w:t xml:space="preserve">Conflicting interpretations, priorities or political agendas</w:t>
            </w:r>
          </w:p>
        </w:tc>
      </w:tr>
      <w:tr>
        <w:tc>
          <w:tcPr>
            <w:tcW w:w="2131" w:type="dxa"/>
          </w:tcPr>
          <w:p>
            <w:pPr>
              <w:spacing w:before="0" w:after="0" w:line="312" w:lineRule="auto"/>
            </w:pPr>
            <w:r>
              <w:rPr>
                <w:rFonts w:ascii="Calibri" w:hAnsi="Calibri" w:cs="Calibri" w:eastAsia="PingFang SC"/>
                <w:color w:val="3D3A33"/>
                <w:sz w:val="22"/>
                <w:szCs w:val="22"/>
              </w:rPr>
              <w:t xml:space="preserve">Relational</w:t>
            </w:r>
          </w:p>
        </w:tc>
        <w:tc>
          <w:tcPr>
            <w:tcW w:w="7229" w:type="dxa"/>
          </w:tcPr>
          <w:p>
            <w:pPr>
              <w:spacing w:before="0" w:after="0" w:line="312" w:lineRule="auto"/>
            </w:pPr>
            <w:r>
              <w:rPr>
                <w:rFonts w:ascii="Calibri" w:hAnsi="Calibri" w:cs="Calibri" w:eastAsia="PingFang SC"/>
                <w:color w:val="3D3A33"/>
                <w:sz w:val="22"/>
                <w:szCs w:val="22"/>
              </w:rPr>
              <w:t xml:space="preserve">Communication gaps, power imbalances, conflict and distrust reinforcing one another</w:t>
            </w:r>
          </w:p>
        </w:tc>
      </w:tr>
    </w:tbl>
    <w:p>
      <w:pPr>
        <w:spacing w:before="240" w:after="80" w:line="312" w:lineRule="auto"/>
      </w:pPr>
      <w:r>
        <w:rPr>
          <w:rFonts w:ascii="Calibri" w:hAnsi="Calibri" w:cs="Calibri" w:eastAsia="PingFang SC"/>
          <w:b/>
          <w:color w:val="175244"/>
          <w:sz w:val="22"/>
          <w:szCs w:val="22"/>
        </w:rPr>
        <w:t xml:space="preserve">Procedure</w:t>
      </w:r>
    </w:p>
    <w:p>
      <w:pPr>
        <w:numPr>
          <w:ilvl w:val="0"/>
          <w:numId w:val="102"/>
        </w:numPr>
        <w:spacing w:after="80" w:line="312" w:lineRule="auto"/>
      </w:pPr>
      <w:r>
        <w:rPr>
          <w:rFonts w:ascii="Calibri" w:hAnsi="Calibri" w:cs="Calibri" w:eastAsia="PingFang SC"/>
          <w:color w:val="3D3A33"/>
          <w:sz w:val="22"/>
          <w:szCs w:val="22"/>
        </w:rPr>
        <w:t xml:space="preserve">Bring together the project manager, project director and relevant specialists, such as finance, legal or environmental experts.</w:t>
      </w:r>
    </w:p>
    <w:p>
      <w:pPr>
        <w:numPr>
          <w:ilvl w:val="0"/>
          <w:numId w:val="102"/>
        </w:numPr>
        <w:spacing w:after="80" w:line="312" w:lineRule="auto"/>
      </w:pPr>
      <w:r>
        <w:rPr>
          <w:rFonts w:ascii="Calibri" w:hAnsi="Calibri" w:cs="Calibri" w:eastAsia="PingFang SC"/>
          <w:color w:val="3D3A33"/>
          <w:sz w:val="22"/>
          <w:szCs w:val="22"/>
        </w:rPr>
        <w:t xml:space="preserve">Begin with approximately twenty predefined risks.</w:t>
      </w:r>
    </w:p>
    <w:p>
      <w:pPr>
        <w:numPr>
          <w:ilvl w:val="0"/>
          <w:numId w:val="102"/>
        </w:numPr>
        <w:spacing w:after="80" w:line="312" w:lineRule="auto"/>
      </w:pPr>
      <w:r>
        <w:rPr>
          <w:rFonts w:ascii="Calibri" w:hAnsi="Calibri" w:cs="Calibri" w:eastAsia="PingFang SC"/>
          <w:color w:val="3D3A33"/>
          <w:sz w:val="22"/>
          <w:szCs w:val="22"/>
        </w:rPr>
        <w:t xml:space="preserve">Use small discussion groups of two or three people.</w:t>
      </w:r>
    </w:p>
    <w:p>
      <w:pPr>
        <w:numPr>
          <w:ilvl w:val="0"/>
          <w:numId w:val="102"/>
        </w:numPr>
        <w:spacing w:after="80" w:line="312" w:lineRule="auto"/>
      </w:pPr>
      <w:r>
        <w:rPr>
          <w:rFonts w:ascii="Calibri" w:hAnsi="Calibri" w:cs="Calibri" w:eastAsia="PingFang SC"/>
          <w:color w:val="3D3A33"/>
          <w:sz w:val="22"/>
          <w:szCs w:val="22"/>
        </w:rPr>
        <w:t xml:space="preserve">Give each risk an identifier and represent it on a prepared risk circle.</w:t>
      </w:r>
    </w:p>
    <w:p>
      <w:pPr>
        <w:numPr>
          <w:ilvl w:val="0"/>
          <w:numId w:val="102"/>
        </w:numPr>
        <w:spacing w:after="80" w:line="312" w:lineRule="auto"/>
      </w:pPr>
      <w:r>
        <w:rPr>
          <w:rFonts w:ascii="Calibri" w:hAnsi="Calibri" w:cs="Calibri" w:eastAsia="PingFang SC"/>
          <w:color w:val="3D3A33"/>
          <w:sz w:val="22"/>
          <w:szCs w:val="22"/>
        </w:rPr>
        <w:t xml:space="preserve">Construct an influence matrix using the same risk set for rows and columns.</w:t>
      </w:r>
    </w:p>
    <w:p>
      <w:pPr>
        <w:numPr>
          <w:ilvl w:val="0"/>
          <w:numId w:val="102"/>
        </w:numPr>
        <w:spacing w:after="80" w:line="312" w:lineRule="auto"/>
      </w:pPr>
      <w:r>
        <w:rPr>
          <w:rFonts w:ascii="Calibri" w:hAnsi="Calibri" w:cs="Calibri" w:eastAsia="PingFang SC"/>
          <w:color w:val="3D3A33"/>
          <w:sz w:val="22"/>
          <w:szCs w:val="22"/>
        </w:rPr>
        <w:t xml:space="preserve">Mark where one risk influences another.</w:t>
      </w:r>
    </w:p>
    <w:p>
      <w:pPr>
        <w:numPr>
          <w:ilvl w:val="0"/>
          <w:numId w:val="102"/>
        </w:numPr>
        <w:spacing w:after="80" w:line="312" w:lineRule="auto"/>
      </w:pPr>
      <w:r>
        <w:rPr>
          <w:rFonts w:ascii="Calibri" w:hAnsi="Calibri" w:cs="Calibri" w:eastAsia="PingFang SC"/>
          <w:color w:val="3D3A33"/>
          <w:sz w:val="22"/>
          <w:szCs w:val="22"/>
        </w:rPr>
        <w:t xml:space="preserve">Transfer important connections to a directed diagram, using different colours to preserve different groups' contributions if needed.</w:t>
      </w:r>
    </w:p>
    <w:p>
      <w:pPr>
        <w:numPr>
          <w:ilvl w:val="0"/>
          <w:numId w:val="102"/>
        </w:numPr>
        <w:spacing w:after="80" w:line="312" w:lineRule="auto"/>
      </w:pPr>
      <w:r>
        <w:rPr>
          <w:rFonts w:ascii="Calibri" w:hAnsi="Calibri" w:cs="Calibri" w:eastAsia="PingFang SC"/>
          <w:color w:val="3D3A33"/>
          <w:sz w:val="22"/>
          <w:szCs w:val="22"/>
        </w:rPr>
        <w:t xml:space="preserve">Combine the diagrams and examine dependencies and feedback loops.</w:t>
      </w:r>
    </w:p>
    <w:p>
      <w:pPr>
        <w:spacing w:before="0" w:after="160" w:line="312" w:lineRule="auto"/>
      </w:pPr>
      <w:r>
        <w:rPr>
          <w:rFonts w:ascii="Calibri" w:hAnsi="Calibri" w:cs="Calibri" w:eastAsia="PingFang SC"/>
          <w:color w:val="3D3A33"/>
          <w:sz w:val="22"/>
          <w:szCs w:val="22"/>
        </w:rPr>
        <w:t xml:space="preserve">A smaller matrix can demonstrate the technique; seven risks are not a required total.</w:t>
      </w:r>
    </w:p>
    <w:p>
      <w:pPr>
        <w:spacing w:before="240" w:after="80" w:line="312" w:lineRule="auto"/>
      </w:pPr>
      <w:r>
        <w:rPr>
          <w:rFonts w:ascii="Calibri" w:hAnsi="Calibri" w:cs="Calibri" w:eastAsia="PingFang SC"/>
          <w:b/>
          <w:color w:val="175244"/>
          <w:sz w:val="22"/>
          <w:szCs w:val="22"/>
        </w:rPr>
        <w:t xml:space="preserve">Influence Matrix Direction</w:t>
      </w:r>
    </w:p>
    <w:p>
      <w:pPr>
        <w:spacing w:before="0" w:after="160" w:line="312" w:lineRule="auto"/>
      </w:pPr>
      <w:r>
        <w:rPr>
          <w:rFonts w:ascii="Calibri" w:hAnsi="Calibri" w:cs="Calibri" w:eastAsia="PingFang SC"/>
          <w:color w:val="3D3A33"/>
          <w:sz w:val="22"/>
          <w:szCs w:val="22"/>
        </w:rPr>
        <w:t xml:space="preserve">Influencing risks appear in columns. Influenced risks appear in rows. A mark at row C and column D therefore means that D influences C.</w:t>
      </w:r>
    </w:p>
    <w:p>
      <w:pPr>
        <w:spacing w:before="0" w:after="160" w:line="312" w:lineRule="auto"/>
      </w:pPr>
      <w:r>
        <w:rPr>
          <w:rFonts w:ascii="Calibri" w:hAnsi="Calibri" w:cs="Calibri" w:eastAsia="PingFang SC"/>
          <w:color w:val="3D3A33"/>
          <w:sz w:val="22"/>
          <w:szCs w:val="22"/>
        </w:rPr>
        <w:t xml:space="preserve">                              Influencing risk</w:t>
      </w:r>
      <w:r>
        <w:rPr>
          <w:rFonts w:ascii="Calibri" w:hAnsi="Calibri" w:cs="Calibri" w:eastAsia="PingFang SC"/>
          <w:color w:val="3D3A33"/>
          <w:sz w:val="22"/>
          <w:szCs w:val="22"/>
        </w:rPr>
        <w:br/>
      </w:r>
      <w:r>
        <w:rPr>
          <w:rFonts w:ascii="Calibri" w:hAnsi="Calibri" w:cs="Calibri" w:eastAsia="PingFang SC"/>
          <w:color w:val="3D3A33"/>
          <w:sz w:val="22"/>
          <w:szCs w:val="22"/>
        </w:rPr>
        <w:t xml:space="preserve">                         C                     D</w:t>
      </w:r>
      <w:r>
        <w:rPr>
          <w:rFonts w:ascii="Calibri" w:hAnsi="Calibri" w:cs="Calibri" w:eastAsia="PingFang SC"/>
          <w:color w:val="3D3A33"/>
          <w:sz w:val="22"/>
          <w:szCs w:val="22"/>
        </w:rPr>
        <w:br/>
      </w:r>
      <w:r>
        <w:rPr>
          <w:rFonts w:ascii="Calibri" w:hAnsi="Calibri" w:cs="Calibri" w:eastAsia="PingFang SC"/>
          <w:color w:val="3D3A33"/>
          <w:sz w:val="22"/>
          <w:szCs w:val="22"/>
        </w:rPr>
        <w:t xml:space="preserve">Influenced risk C        -                     X</w:t>
      </w:r>
      <w:r>
        <w:rPr>
          <w:rFonts w:ascii="Calibri" w:hAnsi="Calibri" w:cs="Calibri" w:eastAsia="PingFang SC"/>
          <w:color w:val="3D3A33"/>
          <w:sz w:val="22"/>
          <w:szCs w:val="22"/>
        </w:rPr>
        <w:br/>
      </w:r>
      <w:r>
        <w:rPr>
          <w:rFonts w:ascii="Calibri" w:hAnsi="Calibri" w:cs="Calibri" w:eastAsia="PingFang SC"/>
          <w:color w:val="3D3A33"/>
          <w:sz w:val="22"/>
          <w:szCs w:val="22"/>
        </w:rPr>
        <w:t xml:space="preserve">Influenced risk D        blank                 -</w:t>
      </w:r>
      <w:r>
        <w:rPr>
          <w:rFonts w:ascii="Calibri" w:hAnsi="Calibri" w:cs="Calibri" w:eastAsia="PingFang SC"/>
          <w:color w:val="3D3A33"/>
          <w:sz w:val="22"/>
          <w:szCs w:val="22"/>
        </w:rPr>
        <w:br/>
      </w:r>
      <w:r>
        <w:rPr>
          <w:rFonts w:ascii="Calibri" w:hAnsi="Calibri" w:cs="Calibri" w:eastAsia="PingFang SC"/>
          <w:color w:val="3D3A33"/>
          <w:sz w:val="22"/>
          <w:szCs w:val="22"/>
        </w:rPr>
        <w:br/>
      </w:r>
      <w:r>
        <w:rPr>
          <w:rFonts w:ascii="Calibri" w:hAnsi="Calibri" w:cs="Calibri" w:eastAsia="PingFang SC"/>
          <w:color w:val="3D3A33"/>
          <w:sz w:val="22"/>
          <w:szCs w:val="22"/>
        </w:rPr>
        <w:t xml:space="preserve">X at row C, column D: D -&gt; C</w:t>
      </w:r>
      <w:r>
        <w:rPr>
          <w:rFonts w:ascii="Calibri" w:hAnsi="Calibri" w:cs="Calibri" w:eastAsia="PingFang SC"/>
          <w:color w:val="3D3A33"/>
          <w:sz w:val="22"/>
          <w:szCs w:val="22"/>
        </w:rPr>
        <w:br/>
      </w:r>
      <w:r>
        <w:rPr>
          <w:rFonts w:ascii="Calibri" w:hAnsi="Calibri" w:cs="Calibri" w:eastAsia="PingFang SC"/>
          <w:color w:val="3D3A33"/>
          <w:sz w:val="22"/>
          <w:szCs w:val="22"/>
        </w:rPr>
        <w:t xml:space="preserve">Blank: no influence entered in that cell</w:t>
      </w:r>
      <w:r>
        <w:rPr>
          <w:rFonts w:ascii="Calibri" w:hAnsi="Calibri" w:cs="Calibri" w:eastAsia="PingFang SC"/>
          <w:color w:val="3D3A33"/>
          <w:sz w:val="22"/>
          <w:szCs w:val="22"/>
        </w:rPr>
        <w:br/>
      </w:r>
      <w:r>
        <w:rPr>
          <w:rFonts w:ascii="Calibri" w:hAnsi="Calibri" w:cs="Calibri" w:eastAsia="PingFang SC"/>
          <w:color w:val="3D3A33"/>
          <w:sz w:val="22"/>
          <w:szCs w:val="22"/>
        </w:rPr>
        <w:t xml:space="preserve">Dash on diagonal: self-entry not used in this illustration</w:t>
      </w:r>
    </w:p>
    <w:p>
      <w:pPr>
        <w:spacing w:before="0" w:after="160" w:line="312" w:lineRule="auto"/>
      </w:pPr>
      <w:r>
        <w:rPr>
          <w:rFonts w:ascii="Calibri" w:hAnsi="Calibri" w:cs="Calibri" w:eastAsia="PingFang SC"/>
          <w:color w:val="3D3A33"/>
          <w:sz w:val="22"/>
          <w:szCs w:val="22"/>
        </w:rPr>
        <w:t xml:space="preserve">The diagram arrow follows the same direction: influencing risk to influenced risk.</w:t>
      </w:r>
    </w:p>
    <w:p>
      <w:pPr>
        <w:spacing w:before="240" w:after="80" w:line="312" w:lineRule="auto"/>
      </w:pPr>
      <w:r>
        <w:rPr>
          <w:rFonts w:ascii="Calibri" w:hAnsi="Calibri" w:cs="Calibri" w:eastAsia="PingFang SC"/>
          <w:b/>
          <w:color w:val="175244"/>
          <w:sz w:val="22"/>
          <w:szCs w:val="22"/>
        </w:rPr>
        <w:t xml:space="preserve">Negative Publicity and Sponsor Withdrawal</w:t>
      </w:r>
    </w:p>
    <w:p>
      <w:pPr>
        <w:spacing w:before="0" w:after="160" w:line="312" w:lineRule="auto"/>
      </w:pPr>
      <w:r>
        <w:rPr>
          <w:rFonts w:ascii="Calibri" w:hAnsi="Calibri" w:cs="Calibri" w:eastAsia="PingFang SC"/>
          <w:color w:val="3D3A33"/>
          <w:sz w:val="22"/>
          <w:szCs w:val="22"/>
        </w:rPr>
        <w:t xml:space="preserve">Let risk D represent negative media coverage generated by activists and risk C represent withdrawal of a major sponsor.</w:t>
      </w:r>
    </w:p>
    <w:p>
      <w:pPr>
        <w:spacing w:before="0" w:after="160" w:line="312" w:lineRule="auto"/>
      </w:pPr>
      <w:r>
        <w:rPr>
          <w:rFonts w:ascii="Calibri" w:hAnsi="Calibri" w:cs="Calibri" w:eastAsia="PingFang SC"/>
          <w:color w:val="3D3A33"/>
          <w:sz w:val="22"/>
          <w:szCs w:val="22"/>
        </w:rPr>
        <w:t xml:space="preserve">D: Negative media coverage -&gt; C: Sponsor withdrawal</w:t>
      </w:r>
    </w:p>
    <w:p>
      <w:pPr>
        <w:spacing w:before="0" w:after="160" w:line="312" w:lineRule="auto"/>
      </w:pPr>
      <w:r>
        <w:rPr>
          <w:rFonts w:ascii="Calibri" w:hAnsi="Calibri" w:cs="Calibri" w:eastAsia="PingFang SC"/>
          <w:color w:val="3D3A33"/>
          <w:sz w:val="22"/>
          <w:szCs w:val="22"/>
        </w:rPr>
        <w:t xml:space="preserve">This relationship does not establish that sponsor withdrawal also causes the media coverage. Reverse influence requires its own justification.</w:t>
      </w:r>
    </w:p>
    <w:p>
      <w:pPr>
        <w:spacing w:before="240" w:after="80" w:line="312" w:lineRule="auto"/>
      </w:pPr>
      <w:r>
        <w:rPr>
          <w:rFonts w:ascii="Calibri" w:hAnsi="Calibri" w:cs="Calibri" w:eastAsia="PingFang SC"/>
          <w:b/>
          <w:color w:val="175244"/>
          <w:sz w:val="22"/>
          <w:szCs w:val="22"/>
        </w:rPr>
        <w:t xml:space="preserve">A Three-Risk Cycle</w:t>
      </w:r>
    </w:p>
    <w:p>
      <w:pPr>
        <w:spacing w:before="0" w:after="160" w:line="312" w:lineRule="auto"/>
      </w:pPr>
      <w:r>
        <w:rPr>
          <w:rFonts w:ascii="Calibri" w:hAnsi="Calibri" w:cs="Calibri" w:eastAsia="PingFang SC"/>
          <w:color w:val="3D3A33"/>
          <w:sz w:val="22"/>
          <w:szCs w:val="22"/>
        </w:rPr>
        <w:t xml:space="preserve">A risk network can contain the following cycle, where numbers identify risks rather than probabilities or magnitudes:</w:t>
      </w:r>
    </w:p>
    <w:p>
      <w:pPr>
        <w:spacing w:before="0" w:after="160" w:line="312" w:lineRule="auto"/>
      </w:pPr>
      <w:r>
        <w:rPr>
          <w:rFonts w:ascii="Calibri" w:hAnsi="Calibri" w:cs="Calibri" w:eastAsia="PingFang SC"/>
          <w:color w:val="3D3A33"/>
          <w:sz w:val="22"/>
          <w:szCs w:val="22"/>
        </w:rPr>
        <w:t xml:space="preserve">[2] -&gt; [18] -&gt; [12] -&gt; [2]</w:t>
      </w:r>
    </w:p>
    <w:p>
      <w:pPr>
        <w:spacing w:before="0" w:after="160" w:line="312" w:lineRule="auto"/>
      </w:pPr>
      <w:r>
        <w:rPr>
          <w:rFonts w:ascii="Calibri" w:hAnsi="Calibri" w:cs="Calibri" w:eastAsia="PingFang SC"/>
          <w:color w:val="3D3A33"/>
          <w:sz w:val="22"/>
          <w:szCs w:val="22"/>
        </w:rPr>
        <w:t xml:space="preserve">The cycle shows a closed chain of influence. Without the polarity of each relationship, it cannot automatically be classified as reinforcing or balancing.</w:t>
      </w:r>
    </w:p>
    <w:p>
      <w:pPr>
        <w:spacing w:before="0" w:after="160" w:line="312" w:lineRule="auto"/>
      </w:pPr>
      <w:r>
        <w:rPr>
          <w:rFonts w:ascii="Calibri" w:hAnsi="Calibri" w:cs="Calibri" w:eastAsia="PingFang SC"/>
          <w:b/>
          <w:color w:val="3D3A33"/>
          <w:sz w:val="22"/>
          <w:szCs w:val="22"/>
        </w:rPr>
        <w:t xml:space="preserve">Polarity</w:t>
      </w:r>
      <w:r>
        <w:rPr>
          <w:rFonts w:ascii="Calibri" w:hAnsi="Calibri" w:cs="Calibri" w:eastAsia="PingFang SC"/>
          <w:color w:val="3D3A33"/>
          <w:sz w:val="22"/>
          <w:szCs w:val="22"/>
        </w:rPr>
        <w:t xml:space="preserve"> describes whether a change in one variable tends to change the next in the same direction or the opposite direction, other conditions held equal. To classify a loop, examine every connection and the combined effect around the loop. A </w:t>
      </w:r>
      <w:r>
        <w:rPr>
          <w:rFonts w:ascii="Calibri" w:hAnsi="Calibri" w:cs="Calibri" w:eastAsia="PingFang SC"/>
          <w:b/>
          <w:color w:val="3D3A33"/>
          <w:sz w:val="22"/>
          <w:szCs w:val="22"/>
        </w:rPr>
        <w:t xml:space="preserve">causal loop diagram</w:t>
      </w:r>
      <w:r>
        <w:rPr>
          <w:rFonts w:ascii="Calibri" w:hAnsi="Calibri" w:cs="Calibri" w:eastAsia="PingFang SC"/>
          <w:color w:val="3D3A33"/>
          <w:sz w:val="22"/>
          <w:szCs w:val="22"/>
        </w:rPr>
        <w:t xml:space="preserve"> explicitly represents such causal relationships, often including their polarities.</w:t>
      </w:r>
    </w:p>
    <w:p>
      <w:pPr>
        <w:spacing w:before="0" w:after="160" w:line="312" w:lineRule="auto"/>
      </w:pPr>
      <w:r>
        <w:rPr>
          <w:rFonts w:ascii="Calibri" w:hAnsi="Calibri" w:cs="Calibri" w:eastAsia="PingFang SC"/>
          <w:color w:val="3D3A33"/>
          <w:sz w:val="22"/>
          <w:szCs w:val="22"/>
        </w:rPr>
        <w:t xml:space="preserve">The management aim is to identify interventions that weaken harmful amplification or improve relevant information, rules and responses. Treating every risk as independent can miss the mechanism through which a moderate problem becomes a larger project failure.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