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11</w:t>
      </w:r>
    </w:p>
    <w:p>
      <w:pPr>
        <w:spacing w:before="240" w:after="80" w:line="312" w:lineRule="auto"/>
      </w:pPr>
      <w:r>
        <w:rPr>
          <w:rFonts w:ascii="Calibri" w:hAnsi="Calibri" w:cs="Calibri" w:eastAsia="PingFang SC"/>
          <w:b/>
          <w:color w:val="33302A"/>
          <w:sz w:val="32"/>
          <w:szCs w:val="32"/>
        </w:rPr>
        <w:t xml:space="preserve">PMGT1711 Week 11 - Critical Systems Heuristics and Course Review</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has two parts. The first is a review of the whole toolbox: which leverage points suit which type of project complexity, and which systems tool fits which situation. The second is Critical Systems Heuristics (CSH), the "third wave" of systems thinking that follows hard and soft systems thinking. CSH adds one thing the earlier waves lacked: a systematic way to question who and what counts when a project is defined and evaluated.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Leverage points by complexity type: structural, technical, directional, relational and temporal.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Projects as systems embedded in wider ecological, social-political and economic systems, and the tool map that matches tools to complexity 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CSH is: the meaning of heuristic, critical and systems.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Boundary judgements and boundary critique; the "is" and "ought to be" modes of inquiry.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twelve boundary categories, four sources of influence and the resulting 24 boundary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standard questioning order 2 - 1 - 3 within each source of influence.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Witnesses as the key source of legitimation, and the emancipatory function of CSH.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CSH does well and where it falls short: strong in coercive settings, but complex situations demand a pluralist approach.</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Leverage points by complexity type</w:t>
      </w:r>
    </w:p>
    <w:p>
      <w:pPr>
        <w:spacing w:before="0" w:after="160" w:line="312" w:lineRule="auto"/>
      </w:pPr>
      <w:r>
        <w:rPr>
          <w:rFonts w:ascii="Calibri" w:hAnsi="Calibri" w:cs="Calibri" w:eastAsia="PingFang SC"/>
          <w:color w:val="3D3A33"/>
          <w:sz w:val="22"/>
          <w:szCs w:val="22"/>
        </w:rPr>
        <w:t xml:space="preserve">A leverage point is a place in a system where a small intervention produces a large, lasting effect. Different types of complexity call for different leverage points: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68"/>
        <w:gridCol w:w="7492"/>
      </w:tblGrid>
      <w:tr>
        <w:trPr>
          <w:tblHeader/>
        </w:trPr>
        <w:tc>
          <w:tcPr>
            <w:tcW w:w="1868" w:type="dxa"/>
            <w:shd w:val="clear" w:color="auto" w:fill="EAE7DD"/>
          </w:tcPr>
          <w:p>
            <w:pPr>
              <w:spacing w:before="0" w:after="0" w:line="312" w:lineRule="auto"/>
            </w:pPr>
            <w:r>
              <w:rPr>
                <w:rFonts w:ascii="Calibri" w:hAnsi="Calibri" w:cs="Calibri" w:eastAsia="PingFang SC"/>
                <w:b/>
                <w:color w:val="3D3A33"/>
                <w:sz w:val="22"/>
                <w:szCs w:val="22"/>
              </w:rPr>
              <w:t xml:space="preserve">Complexity type</w:t>
            </w:r>
          </w:p>
        </w:tc>
        <w:tc>
          <w:tcPr>
            <w:tcW w:w="7492" w:type="dxa"/>
            <w:shd w:val="clear" w:color="auto" w:fill="EAE7DD"/>
          </w:tcPr>
          <w:p>
            <w:pPr>
              <w:spacing w:before="0" w:after="0" w:line="312" w:lineRule="auto"/>
            </w:pPr>
            <w:r>
              <w:rPr>
                <w:rFonts w:ascii="Calibri" w:hAnsi="Calibri" w:cs="Calibri" w:eastAsia="PingFang SC"/>
                <w:b/>
                <w:color w:val="3D3A33"/>
                <w:sz w:val="22"/>
                <w:szCs w:val="22"/>
              </w:rPr>
              <w:t xml:space="preserve">Leverage points</w:t>
            </w:r>
          </w:p>
        </w:tc>
      </w:tr>
      <w:tr>
        <w:tc>
          <w:tcPr>
            <w:tcW w:w="1868" w:type="dxa"/>
          </w:tcPr>
          <w:p>
            <w:pPr>
              <w:spacing w:before="0" w:after="0" w:line="312" w:lineRule="auto"/>
            </w:pPr>
            <w:r>
              <w:rPr>
                <w:rFonts w:ascii="Calibri" w:hAnsi="Calibri" w:cs="Calibri" w:eastAsia="PingFang SC"/>
                <w:color w:val="3D3A33"/>
                <w:sz w:val="22"/>
                <w:szCs w:val="22"/>
              </w:rPr>
              <w:t xml:space="preserve">Structural</w:t>
            </w:r>
          </w:p>
        </w:tc>
        <w:tc>
          <w:tcPr>
            <w:tcW w:w="7492" w:type="dxa"/>
          </w:tcPr>
          <w:p>
            <w:pPr>
              <w:spacing w:before="0" w:after="0" w:line="312" w:lineRule="auto"/>
            </w:pPr>
            <w:r>
              <w:rPr>
                <w:rFonts w:ascii="Calibri" w:hAnsi="Calibri" w:cs="Calibri" w:eastAsia="PingFang SC"/>
                <w:color w:val="3D3A33"/>
                <w:sz w:val="22"/>
                <w:szCs w:val="22"/>
              </w:rPr>
              <w:t xml:space="preserve">Adjust connections, feedback loops or information flows, for example changing reporting lines or coordination mechanisms so that a bottleneck cannot form</w:t>
            </w:r>
          </w:p>
        </w:tc>
      </w:tr>
      <w:tr>
        <w:tc>
          <w:tcPr>
            <w:tcW w:w="1868" w:type="dxa"/>
          </w:tcPr>
          <w:p>
            <w:pPr>
              <w:spacing w:before="0" w:after="0" w:line="312" w:lineRule="auto"/>
            </w:pPr>
            <w:r>
              <w:rPr>
                <w:rFonts w:ascii="Calibri" w:hAnsi="Calibri" w:cs="Calibri" w:eastAsia="PingFang SC"/>
                <w:color w:val="3D3A33"/>
                <w:sz w:val="22"/>
                <w:szCs w:val="22"/>
              </w:rPr>
              <w:t xml:space="preserve">Technical</w:t>
            </w:r>
          </w:p>
        </w:tc>
        <w:tc>
          <w:tcPr>
            <w:tcW w:w="7492" w:type="dxa"/>
          </w:tcPr>
          <w:p>
            <w:pPr>
              <w:spacing w:before="0" w:after="0" w:line="312" w:lineRule="auto"/>
            </w:pPr>
            <w:r>
              <w:rPr>
                <w:rFonts w:ascii="Calibri" w:hAnsi="Calibri" w:cs="Calibri" w:eastAsia="PingFang SC"/>
                <w:color w:val="3D3A33"/>
                <w:sz w:val="22"/>
                <w:szCs w:val="22"/>
              </w:rPr>
              <w:t xml:space="preserve">Process or design changes that remove constraints, such as automation or modular redesign; these are usually shallow to middle-depth levers</w:t>
            </w:r>
          </w:p>
        </w:tc>
      </w:tr>
      <w:tr>
        <w:tc>
          <w:tcPr>
            <w:tcW w:w="1868" w:type="dxa"/>
          </w:tcPr>
          <w:p>
            <w:pPr>
              <w:spacing w:before="0" w:after="0" w:line="312" w:lineRule="auto"/>
            </w:pPr>
            <w:r>
              <w:rPr>
                <w:rFonts w:ascii="Calibri" w:hAnsi="Calibri" w:cs="Calibri" w:eastAsia="PingFang SC"/>
                <w:color w:val="3D3A33"/>
                <w:sz w:val="22"/>
                <w:szCs w:val="22"/>
              </w:rPr>
              <w:t xml:space="preserve">Directional</w:t>
            </w:r>
          </w:p>
        </w:tc>
        <w:tc>
          <w:tcPr>
            <w:tcW w:w="7492" w:type="dxa"/>
          </w:tcPr>
          <w:p>
            <w:pPr>
              <w:spacing w:before="0" w:after="0" w:line="312" w:lineRule="auto"/>
            </w:pPr>
            <w:r>
              <w:rPr>
                <w:rFonts w:ascii="Calibri" w:hAnsi="Calibri" w:cs="Calibri" w:eastAsia="PingFang SC"/>
                <w:color w:val="3D3A33"/>
                <w:sz w:val="22"/>
                <w:szCs w:val="22"/>
              </w:rPr>
              <w:t xml:space="preserve">Challenge the underlying goals, assumptions or rules; these are deep levers, for example redefining the project's purpose or its success criteria</w:t>
            </w:r>
          </w:p>
        </w:tc>
      </w:tr>
      <w:tr>
        <w:tc>
          <w:tcPr>
            <w:tcW w:w="1868" w:type="dxa"/>
          </w:tcPr>
          <w:p>
            <w:pPr>
              <w:spacing w:before="0" w:after="0" w:line="312" w:lineRule="auto"/>
            </w:pPr>
            <w:r>
              <w:rPr>
                <w:rFonts w:ascii="Calibri" w:hAnsi="Calibri" w:cs="Calibri" w:eastAsia="PingFang SC"/>
                <w:color w:val="3D3A33"/>
                <w:sz w:val="22"/>
                <w:szCs w:val="22"/>
              </w:rPr>
              <w:t xml:space="preserve">Relational</w:t>
            </w:r>
          </w:p>
        </w:tc>
        <w:tc>
          <w:tcPr>
            <w:tcW w:w="7492" w:type="dxa"/>
          </w:tcPr>
          <w:p>
            <w:pPr>
              <w:spacing w:before="0" w:after="0" w:line="312" w:lineRule="auto"/>
            </w:pPr>
            <w:r>
              <w:rPr>
                <w:rFonts w:ascii="Calibri" w:hAnsi="Calibri" w:cs="Calibri" w:eastAsia="PingFang SC"/>
                <w:color w:val="3D3A33"/>
                <w:sz w:val="22"/>
                <w:szCs w:val="22"/>
              </w:rPr>
              <w:t xml:space="preserve">Strengthen collaboration, trust and communication; changing who talks to whom rewires influence across the project</w:t>
            </w:r>
          </w:p>
        </w:tc>
      </w:tr>
      <w:tr>
        <w:tc>
          <w:tcPr>
            <w:tcW w:w="1868" w:type="dxa"/>
          </w:tcPr>
          <w:p>
            <w:pPr>
              <w:spacing w:before="0" w:after="0" w:line="312" w:lineRule="auto"/>
            </w:pPr>
            <w:r>
              <w:rPr>
                <w:rFonts w:ascii="Calibri" w:hAnsi="Calibri" w:cs="Calibri" w:eastAsia="PingFang SC"/>
                <w:color w:val="3D3A33"/>
                <w:sz w:val="22"/>
                <w:szCs w:val="22"/>
              </w:rPr>
              <w:t xml:space="preserve">Temporal</w:t>
            </w:r>
          </w:p>
        </w:tc>
        <w:tc>
          <w:tcPr>
            <w:tcW w:w="7492" w:type="dxa"/>
          </w:tcPr>
          <w:p>
            <w:pPr>
              <w:spacing w:before="0" w:after="0" w:line="312" w:lineRule="auto"/>
            </w:pPr>
            <w:r>
              <w:rPr>
                <w:rFonts w:ascii="Calibri" w:hAnsi="Calibri" w:cs="Calibri" w:eastAsia="PingFang SC"/>
                <w:color w:val="3D3A33"/>
                <w:sz w:val="22"/>
                <w:szCs w:val="22"/>
              </w:rPr>
              <w:t xml:space="preserve">Recognise timing and feedback delays, and act before reinforcing loops lock in a failure path (early intervention to avoid path dependence)</w:t>
            </w:r>
          </w:p>
        </w:tc>
      </w:tr>
    </w:tbl>
    <w:p>
      <w:pPr>
        <w:spacing w:before="0" w:after="160" w:line="312" w:lineRule="auto"/>
      </w:pPr>
      <w:r>
        <w:rPr>
          <w:rFonts w:ascii="Calibri" w:hAnsi="Calibri" w:cs="Calibri" w:eastAsia="PingFang SC"/>
          <w:color w:val="3D3A33"/>
          <w:sz w:val="22"/>
          <w:szCs w:val="22"/>
        </w:rPr>
        <w:t xml:space="preserve">Structural, directional and relational leverage points are especially helpful places to intervene.</w:t>
      </w:r>
    </w:p>
    <w:p>
      <w:pPr>
        <w:spacing w:before="240" w:after="80" w:line="312" w:lineRule="auto"/>
      </w:pPr>
      <w:r>
        <w:rPr>
          <w:rFonts w:ascii="Calibri" w:hAnsi="Calibri" w:cs="Calibri" w:eastAsia="PingFang SC"/>
          <w:b/>
          <w:color w:val="175244"/>
          <w:sz w:val="22"/>
          <w:szCs w:val="22"/>
        </w:rPr>
        <w:t xml:space="preserve">Projects as systems and the tool map</w:t>
      </w:r>
    </w:p>
    <w:p>
      <w:pPr>
        <w:spacing w:before="0" w:after="160" w:line="312" w:lineRule="auto"/>
      </w:pPr>
      <w:r>
        <w:rPr>
          <w:rFonts w:ascii="Calibri" w:hAnsi="Calibri" w:cs="Calibri" w:eastAsia="PingFang SC"/>
          <w:color w:val="3D3A33"/>
          <w:sz w:val="22"/>
          <w:szCs w:val="22"/>
        </w:rPr>
        <w:t xml:space="preserve">A project is a system embedded in wider social-political, economic and environmental systems. Different kinds of system carry different risks and uncertainties (known knowns, known unknowns, unknown knowns and unknown unknowns), and a project can move between simple, complicated and complex states over its life. The manager's job is to recognise the current type of complexity and choose the matching tool: hard systems thinking suits well-defined problems with agreed goals, soft systems thinking suits situations where people disagree about the problem, and critical systems thinking questions whose interests the problem definition serves.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94"/>
        <w:gridCol w:w="3877"/>
        <w:gridCol w:w="4389"/>
      </w:tblGrid>
      <w:tr>
        <w:trPr>
          <w:tblHeader/>
        </w:trPr>
        <w:tc>
          <w:tcPr>
            <w:tcW w:w="1094" w:type="dxa"/>
            <w:shd w:val="clear" w:color="auto" w:fill="EAE7DD"/>
          </w:tcPr>
          <w:p>
            <w:pPr>
              <w:spacing w:before="0" w:after="0" w:line="312" w:lineRule="auto"/>
            </w:pPr>
            <w:r>
              <w:rPr>
                <w:rFonts w:ascii="Calibri" w:hAnsi="Calibri" w:cs="Calibri" w:eastAsia="PingFang SC"/>
                <w:b/>
                <w:color w:val="3D3A33"/>
                <w:sz w:val="22"/>
                <w:szCs w:val="22"/>
              </w:rPr>
              <w:t xml:space="preserve">Complexity type</w:t>
            </w:r>
          </w:p>
        </w:tc>
        <w:tc>
          <w:tcPr>
            <w:tcW w:w="3877" w:type="dxa"/>
            <w:shd w:val="clear" w:color="auto" w:fill="EAE7DD"/>
          </w:tcPr>
          <w:p>
            <w:pPr>
              <w:spacing w:before="0" w:after="0" w:line="312" w:lineRule="auto"/>
            </w:pPr>
            <w:r>
              <w:rPr>
                <w:rFonts w:ascii="Calibri" w:hAnsi="Calibri" w:cs="Calibri" w:eastAsia="PingFang SC"/>
                <w:b/>
                <w:color w:val="3D3A33"/>
                <w:sz w:val="22"/>
                <w:szCs w:val="22"/>
              </w:rPr>
              <w:t xml:space="preserve">Tools</w:t>
            </w:r>
          </w:p>
        </w:tc>
        <w:tc>
          <w:tcPr>
            <w:tcW w:w="4389" w:type="dxa"/>
            <w:shd w:val="clear" w:color="auto" w:fill="EAE7DD"/>
          </w:tcPr>
          <w:p>
            <w:pPr>
              <w:spacing w:before="0" w:after="0" w:line="312" w:lineRule="auto"/>
            </w:pPr>
            <w:r>
              <w:rPr>
                <w:rFonts w:ascii="Calibri" w:hAnsi="Calibri" w:cs="Calibri" w:eastAsia="PingFang SC"/>
                <w:b/>
                <w:color w:val="3D3A33"/>
                <w:sz w:val="22"/>
                <w:szCs w:val="22"/>
              </w:rPr>
              <w:t xml:space="preserve">What the tools do</w:t>
            </w:r>
          </w:p>
        </w:tc>
      </w:tr>
      <w:tr>
        <w:tc>
          <w:tcPr>
            <w:tcW w:w="1094" w:type="dxa"/>
          </w:tcPr>
          <w:p>
            <w:pPr>
              <w:spacing w:before="0" w:after="0" w:line="312" w:lineRule="auto"/>
            </w:pPr>
            <w:r>
              <w:rPr>
                <w:rFonts w:ascii="Calibri" w:hAnsi="Calibri" w:cs="Calibri" w:eastAsia="PingFang SC"/>
                <w:color w:val="3D3A33"/>
                <w:sz w:val="22"/>
                <w:szCs w:val="22"/>
              </w:rPr>
              <w:t xml:space="preserve">Structural</w:t>
            </w:r>
          </w:p>
        </w:tc>
        <w:tc>
          <w:tcPr>
            <w:tcW w:w="3877" w:type="dxa"/>
          </w:tcPr>
          <w:p>
            <w:pPr>
              <w:spacing w:before="0" w:after="0" w:line="312" w:lineRule="auto"/>
            </w:pPr>
            <w:r>
              <w:rPr>
                <w:rFonts w:ascii="Calibri" w:hAnsi="Calibri" w:cs="Calibri" w:eastAsia="PingFang SC"/>
                <w:color w:val="3D3A33"/>
                <w:sz w:val="22"/>
                <w:szCs w:val="22"/>
              </w:rPr>
              <w:t xml:space="preserve">Causal loop diagrams (CLDs) and system dynamics</w:t>
            </w:r>
          </w:p>
        </w:tc>
        <w:tc>
          <w:tcPr>
            <w:tcW w:w="4389" w:type="dxa"/>
          </w:tcPr>
          <w:p>
            <w:pPr>
              <w:spacing w:before="0" w:after="0" w:line="312" w:lineRule="auto"/>
            </w:pPr>
            <w:r>
              <w:rPr>
                <w:rFonts w:ascii="Calibri" w:hAnsi="Calibri" w:cs="Calibri" w:eastAsia="PingFang SC"/>
                <w:color w:val="3D3A33"/>
                <w:sz w:val="22"/>
                <w:szCs w:val="22"/>
              </w:rPr>
              <w:t xml:space="preserve">Map interdependencies, feedback loops and delays, and simulate how stocks (accumulations) and flows (rates of change) behave over time, for example the rework cycle in which discovered errors generate new work and delay</w:t>
            </w:r>
          </w:p>
        </w:tc>
      </w:tr>
      <w:tr>
        <w:tc>
          <w:tcPr>
            <w:tcW w:w="1094" w:type="dxa"/>
          </w:tcPr>
          <w:p>
            <w:pPr>
              <w:spacing w:before="0" w:after="0" w:line="312" w:lineRule="auto"/>
            </w:pPr>
            <w:r>
              <w:rPr>
                <w:rFonts w:ascii="Calibri" w:hAnsi="Calibri" w:cs="Calibri" w:eastAsia="PingFang SC"/>
                <w:color w:val="3D3A33"/>
                <w:sz w:val="22"/>
                <w:szCs w:val="22"/>
              </w:rPr>
              <w:t xml:space="preserve">Technical</w:t>
            </w:r>
          </w:p>
        </w:tc>
        <w:tc>
          <w:tcPr>
            <w:tcW w:w="3877" w:type="dxa"/>
          </w:tcPr>
          <w:p>
            <w:pPr>
              <w:spacing w:before="0" w:after="0" w:line="312" w:lineRule="auto"/>
            </w:pPr>
            <w:r>
              <w:rPr>
                <w:rFonts w:ascii="Calibri" w:hAnsi="Calibri" w:cs="Calibri" w:eastAsia="PingFang SC"/>
                <w:color w:val="3D3A33"/>
                <w:sz w:val="22"/>
                <w:szCs w:val="22"/>
              </w:rPr>
              <w:t xml:space="preserve">Shenhar's typology and the Jazz tool</w:t>
            </w:r>
          </w:p>
        </w:tc>
        <w:tc>
          <w:tcPr>
            <w:tcW w:w="4389" w:type="dxa"/>
          </w:tcPr>
          <w:p>
            <w:pPr>
              <w:spacing w:before="0" w:after="0" w:line="312" w:lineRule="auto"/>
            </w:pPr>
            <w:r>
              <w:rPr>
                <w:rFonts w:ascii="Calibri" w:hAnsi="Calibri" w:cs="Calibri" w:eastAsia="PingFang SC"/>
                <w:color w:val="3D3A33"/>
                <w:sz w:val="22"/>
                <w:szCs w:val="22"/>
              </w:rPr>
              <w:t xml:space="preserve">Classify the level of technological uncertainty (low-tech, medium-tech, high-tech, super-high-tech) and manage with time-linked semi-structures: fixed milestones and roles plus regular meetings and informal communication</w:t>
            </w:r>
          </w:p>
        </w:tc>
      </w:tr>
      <w:tr>
        <w:tc>
          <w:tcPr>
            <w:tcW w:w="1094" w:type="dxa"/>
          </w:tcPr>
          <w:p>
            <w:pPr>
              <w:spacing w:before="0" w:after="0" w:line="312" w:lineRule="auto"/>
            </w:pPr>
            <w:r>
              <w:rPr>
                <w:rFonts w:ascii="Calibri" w:hAnsi="Calibri" w:cs="Calibri" w:eastAsia="PingFang SC"/>
                <w:color w:val="3D3A33"/>
                <w:sz w:val="22"/>
                <w:szCs w:val="22"/>
              </w:rPr>
              <w:t xml:space="preserve">Directional</w:t>
            </w:r>
          </w:p>
        </w:tc>
        <w:tc>
          <w:tcPr>
            <w:tcW w:w="3877" w:type="dxa"/>
          </w:tcPr>
          <w:p>
            <w:pPr>
              <w:spacing w:before="0" w:after="0" w:line="312" w:lineRule="auto"/>
            </w:pPr>
            <w:r>
              <w:rPr>
                <w:rFonts w:ascii="Calibri" w:hAnsi="Calibri" w:cs="Calibri" w:eastAsia="PingFang SC"/>
                <w:color w:val="3D3A33"/>
                <w:sz w:val="22"/>
                <w:szCs w:val="22"/>
              </w:rPr>
              <w:t xml:space="preserve">Viable System Model (VSM), especially System 4; PESTLE; Soft Systems Methodology (SSM)</w:t>
            </w:r>
          </w:p>
        </w:tc>
        <w:tc>
          <w:tcPr>
            <w:tcW w:w="4389" w:type="dxa"/>
          </w:tcPr>
          <w:p>
            <w:pPr>
              <w:spacing w:before="0" w:after="0" w:line="312" w:lineRule="auto"/>
            </w:pPr>
            <w:r>
              <w:rPr>
                <w:rFonts w:ascii="Calibri" w:hAnsi="Calibri" w:cs="Calibri" w:eastAsia="PingFang SC"/>
                <w:color w:val="3D3A33"/>
                <w:sz w:val="22"/>
                <w:szCs w:val="22"/>
              </w:rPr>
              <w:t xml:space="preserve">VSM diagnoses how a purposeful organisation stays viable; System 4 is its intelligence function, scanning the environment. PESTLE scans Political, Economic, Social, Technological, Legal and Environmental drivers. SSM structures debate about what to do when the problem itself is contested</w:t>
            </w:r>
          </w:p>
        </w:tc>
      </w:tr>
      <w:tr>
        <w:tc>
          <w:tcPr>
            <w:tcW w:w="1094" w:type="dxa"/>
          </w:tcPr>
          <w:p>
            <w:pPr>
              <w:spacing w:before="0" w:after="0" w:line="312" w:lineRule="auto"/>
            </w:pPr>
            <w:r>
              <w:rPr>
                <w:rFonts w:ascii="Calibri" w:hAnsi="Calibri" w:cs="Calibri" w:eastAsia="PingFang SC"/>
                <w:color w:val="3D3A33"/>
                <w:sz w:val="22"/>
                <w:szCs w:val="22"/>
              </w:rPr>
              <w:t xml:space="preserve">Relational</w:t>
            </w:r>
          </w:p>
        </w:tc>
        <w:tc>
          <w:tcPr>
            <w:tcW w:w="3877" w:type="dxa"/>
          </w:tcPr>
          <w:p>
            <w:pPr>
              <w:spacing w:before="0" w:after="0" w:line="312" w:lineRule="auto"/>
            </w:pPr>
            <w:r>
              <w:rPr>
                <w:rFonts w:ascii="Calibri" w:hAnsi="Calibri" w:cs="Calibri" w:eastAsia="PingFang SC"/>
                <w:color w:val="3D3A33"/>
                <w:sz w:val="22"/>
                <w:szCs w:val="22"/>
              </w:rPr>
              <w:t xml:space="preserve">Stakeholder mapping, social network analysis (SNA), leverage points</w:t>
            </w:r>
          </w:p>
        </w:tc>
        <w:tc>
          <w:tcPr>
            <w:tcW w:w="4389" w:type="dxa"/>
          </w:tcPr>
          <w:p>
            <w:pPr>
              <w:spacing w:before="0" w:after="0" w:line="312" w:lineRule="auto"/>
            </w:pPr>
            <w:r>
              <w:rPr>
                <w:rFonts w:ascii="Calibri" w:hAnsi="Calibri" w:cs="Calibri" w:eastAsia="PingFang SC"/>
                <w:color w:val="3D3A33"/>
                <w:sz w:val="22"/>
                <w:szCs w:val="22"/>
              </w:rPr>
              <w:t xml:space="preserve">Show who holds influence, how relations are patterned, and where a small change in relationships has a large effect</w:t>
            </w:r>
          </w:p>
        </w:tc>
      </w:tr>
      <w:tr>
        <w:tc>
          <w:tcPr>
            <w:tcW w:w="1094" w:type="dxa"/>
          </w:tcPr>
          <w:p>
            <w:pPr>
              <w:spacing w:before="0" w:after="0" w:line="312" w:lineRule="auto"/>
            </w:pPr>
            <w:r>
              <w:rPr>
                <w:rFonts w:ascii="Calibri" w:hAnsi="Calibri" w:cs="Calibri" w:eastAsia="PingFang SC"/>
                <w:color w:val="3D3A33"/>
                <w:sz w:val="22"/>
                <w:szCs w:val="22"/>
              </w:rPr>
              <w:t xml:space="preserve">Temporal</w:t>
            </w:r>
          </w:p>
        </w:tc>
        <w:tc>
          <w:tcPr>
            <w:tcW w:w="3877" w:type="dxa"/>
          </w:tcPr>
          <w:p>
            <w:pPr>
              <w:spacing w:before="0" w:after="0" w:line="312" w:lineRule="auto"/>
            </w:pPr>
            <w:r>
              <w:rPr>
                <w:rFonts w:ascii="Calibri" w:hAnsi="Calibri" w:cs="Calibri" w:eastAsia="PingFang SC"/>
                <w:color w:val="3D3A33"/>
                <w:sz w:val="22"/>
                <w:szCs w:val="22"/>
              </w:rPr>
              <w:t xml:space="preserve">Complexity mapping tools, PESTLE, VSM</w:t>
            </w:r>
          </w:p>
        </w:tc>
        <w:tc>
          <w:tcPr>
            <w:tcW w:w="4389" w:type="dxa"/>
          </w:tcPr>
          <w:p>
            <w:pPr>
              <w:spacing w:before="0" w:after="0" w:line="312" w:lineRule="auto"/>
            </w:pPr>
            <w:r>
              <w:rPr>
                <w:rFonts w:ascii="Calibri" w:hAnsi="Calibri" w:cs="Calibri" w:eastAsia="PingFang SC"/>
                <w:color w:val="3D3A33"/>
                <w:sz w:val="22"/>
                <w:szCs w:val="22"/>
              </w:rPr>
              <w:t xml:space="preserve">Expose timing, delays and feedback so that intervention arrives before reinforcing loops commit the project to a bad path</w:t>
            </w:r>
          </w:p>
        </w:tc>
      </w:tr>
    </w:tbl>
    <w:p>
      <w:pPr>
        <w:spacing w:before="240" w:after="80" w:line="312" w:lineRule="auto"/>
      </w:pPr>
      <w:r>
        <w:rPr>
          <w:rFonts w:ascii="Calibri" w:hAnsi="Calibri" w:cs="Calibri" w:eastAsia="PingFang SC"/>
          <w:b/>
          <w:color w:val="175244"/>
          <w:sz w:val="22"/>
          <w:szCs w:val="22"/>
        </w:rPr>
        <w:t xml:space="preserve">What Critical Systems Heuristics is</w:t>
      </w:r>
    </w:p>
    <w:p>
      <w:pPr>
        <w:spacing w:before="0" w:after="160" w:line="312" w:lineRule="auto"/>
      </w:pPr>
      <w:r>
        <w:rPr>
          <w:rFonts w:ascii="Calibri" w:hAnsi="Calibri" w:cs="Calibri" w:eastAsia="PingFang SC"/>
          <w:color w:val="3D3A33"/>
          <w:sz w:val="22"/>
          <w:szCs w:val="22"/>
        </w:rPr>
        <w:t xml:space="preserve">CSH is a framework for reflective practice and for appraising projects and programmes; it draws on practical philosophy and systems thinking. The three words each carry meaning: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Heuristics</w:t>
      </w:r>
      <w:r>
        <w:rPr>
          <w:rFonts w:ascii="Calibri" w:hAnsi="Calibri" w:cs="Calibri" w:eastAsia="PingFang SC"/>
          <w:color w:val="3D3A33"/>
          <w:sz w:val="22"/>
          <w:szCs w:val="22"/>
        </w:rPr>
        <w:t xml:space="preserve">: from the Greek heuriskein, "to find" or "to discover". A heuristic procedure is the art of inquiry: it identifies and explores the relevant aspects of a question, its assumptions and possible solution strategies, in contrast to deductive, algorithmic procedures that are suited only to logically or mathematically well-defined problems.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Critical</w:t>
      </w:r>
      <w:r>
        <w:rPr>
          <w:rFonts w:ascii="Calibri" w:hAnsi="Calibri" w:cs="Calibri" w:eastAsia="PingFang SC"/>
          <w:color w:val="3D3A33"/>
          <w:sz w:val="22"/>
          <w:szCs w:val="22"/>
        </w:rPr>
        <w:t xml:space="preserve">: the recognition that questions like these have no single correct answer, because the answer depends on interests, viewpoints and value assumptions. A critical approach does not produce the one right answer either; it supports reflection on, and discussion of, alternative assumptions. Sound professional practice is critical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Systems</w:t>
      </w:r>
      <w:r>
        <w:rPr>
          <w:rFonts w:ascii="Calibri" w:hAnsi="Calibri" w:cs="Calibri" w:eastAsia="PingFang SC"/>
          <w:color w:val="3D3A33"/>
          <w:sz w:val="22"/>
          <w:szCs w:val="22"/>
        </w:rPr>
        <w:t xml:space="preserve">: every problem definition, proposed solution and evaluation relies on prior judgements about the relevant "whole system". CSH calls these boundary judgements: they draw the boundary of the reference system and decide which observations and which value considerations count as relevant and which are excluded. Climate change is a standing example: different experts work from different boundary judgements.</w:t>
      </w:r>
    </w:p>
    <w:p>
      <w:pPr>
        <w:spacing w:before="240" w:after="80" w:line="312" w:lineRule="auto"/>
      </w:pPr>
      <w:r>
        <w:rPr>
          <w:rFonts w:ascii="Calibri" w:hAnsi="Calibri" w:cs="Calibri" w:eastAsia="PingFang SC"/>
          <w:b/>
          <w:color w:val="175244"/>
          <w:sz w:val="22"/>
          <w:szCs w:val="22"/>
        </w:rPr>
        <w:t xml:space="preserve">Boundary judgements and boundary critique</w:t>
      </w:r>
    </w:p>
    <w:p>
      <w:pPr>
        <w:spacing w:before="0" w:after="160" w:line="312" w:lineRule="auto"/>
      </w:pPr>
      <w:r>
        <w:rPr>
          <w:rFonts w:ascii="Calibri" w:hAnsi="Calibri" w:cs="Calibri" w:eastAsia="PingFang SC"/>
          <w:color w:val="3D3A33"/>
          <w:sz w:val="22"/>
          <w:szCs w:val="22"/>
        </w:rPr>
        <w:t xml:space="preserve">The core idea of CSH is to support boundary critique: treating boundary judgements critically. Two moves are involved:</w:t>
      </w:r>
    </w:p>
    <w:p>
      <w:pPr>
        <w:numPr>
          <w:ilvl w:val="0"/>
          <w:numId w:val="101"/>
        </w:numPr>
        <w:spacing w:after="80" w:line="312" w:lineRule="auto"/>
      </w:pPr>
      <w:r>
        <w:rPr>
          <w:rFonts w:ascii="Calibri" w:hAnsi="Calibri" w:cs="Calibri" w:eastAsia="PingFang SC"/>
          <w:b/>
          <w:color w:val="3D3A33"/>
          <w:sz w:val="22"/>
          <w:szCs w:val="22"/>
        </w:rPr>
        <w:t xml:space="preserve">Uncover</w:t>
      </w:r>
      <w:r>
        <w:rPr>
          <w:rFonts w:ascii="Calibri" w:hAnsi="Calibri" w:cs="Calibri" w:eastAsia="PingFang SC"/>
          <w:color w:val="3D3A33"/>
          <w:sz w:val="22"/>
          <w:szCs w:val="22"/>
        </w:rPr>
        <w:t xml:space="preserve"> the boundary judgements already at work. Every system map and every design is unavoidably selective, and that selectivity has sources.</w:t>
      </w:r>
    </w:p>
    <w:p>
      <w:pPr>
        <w:numPr>
          <w:ilvl w:val="0"/>
          <w:numId w:val="101"/>
        </w:numPr>
        <w:spacing w:after="80" w:line="312" w:lineRule="auto"/>
      </w:pPr>
      <w:r>
        <w:rPr>
          <w:rFonts w:ascii="Calibri" w:hAnsi="Calibri" w:cs="Calibri" w:eastAsia="PingFang SC"/>
          <w:b/>
          <w:color w:val="3D3A33"/>
          <w:sz w:val="22"/>
          <w:szCs w:val="22"/>
        </w:rPr>
        <w:t xml:space="preserve">Question</w:t>
      </w:r>
      <w:r>
        <w:rPr>
          <w:rFonts w:ascii="Calibri" w:hAnsi="Calibri" w:cs="Calibri" w:eastAsia="PingFang SC"/>
          <w:color w:val="3D3A33"/>
          <w:sz w:val="22"/>
          <w:szCs w:val="22"/>
        </w:rPr>
        <w:t xml:space="preserve"> their relevance, their legitimacy and their ethical defensibility.</w:t>
      </w:r>
    </w:p>
    <w:p>
      <w:pPr>
        <w:spacing w:before="0" w:after="160" w:line="312" w:lineRule="auto"/>
      </w:pPr>
      <w:r>
        <w:rPr>
          <w:rFonts w:ascii="Calibri" w:hAnsi="Calibri" w:cs="Calibri" w:eastAsia="PingFang SC"/>
          <w:color w:val="3D3A33"/>
          <w:sz w:val="22"/>
          <w:szCs w:val="22"/>
        </w:rPr>
        <w:t xml:space="preserve">CSH examines two states of a system: how it </w:t>
      </w:r>
      <w:r>
        <w:rPr>
          <w:rFonts w:ascii="Calibri" w:hAnsi="Calibri" w:cs="Calibri" w:eastAsia="PingFang SC"/>
          <w:b/>
          <w:color w:val="3D3A33"/>
          <w:sz w:val="22"/>
          <w:szCs w:val="22"/>
        </w:rPr>
        <w:t xml:space="preserve">is</w:t>
      </w:r>
      <w:r>
        <w:rPr>
          <w:rFonts w:ascii="Calibri" w:hAnsi="Calibri" w:cs="Calibri" w:eastAsia="PingFang SC"/>
          <w:color w:val="3D3A33"/>
          <w:sz w:val="22"/>
          <w:szCs w:val="22"/>
        </w:rPr>
        <w:t xml:space="preserve"> (descriptive) and how it </w:t>
      </w:r>
      <w:r>
        <w:rPr>
          <w:rFonts w:ascii="Calibri" w:hAnsi="Calibri" w:cs="Calibri" w:eastAsia="PingFang SC"/>
          <w:b/>
          <w:color w:val="3D3A33"/>
          <w:sz w:val="22"/>
          <w:szCs w:val="22"/>
        </w:rPr>
        <w:t xml:space="preserve">ought to be</w:t>
      </w:r>
      <w:r>
        <w:rPr>
          <w:rFonts w:ascii="Calibri" w:hAnsi="Calibri" w:cs="Calibri" w:eastAsia="PingFang SC"/>
          <w:color w:val="3D3A33"/>
          <w:sz w:val="22"/>
          <w:szCs w:val="22"/>
        </w:rPr>
        <w:t xml:space="preserve"> (normative). Comparing the two is where critical points appear. Ought-to-be analysis is often easier to run first, because in the "is" stage participants may not yet know each other well enough to disclose the truth of the current situation.</w:t>
      </w:r>
    </w:p>
    <w:p>
      <w:pPr>
        <w:spacing w:before="240" w:after="80" w:line="312" w:lineRule="auto"/>
      </w:pPr>
      <w:r>
        <w:rPr>
          <w:rFonts w:ascii="Calibri" w:hAnsi="Calibri" w:cs="Calibri" w:eastAsia="PingFang SC"/>
          <w:b/>
          <w:color w:val="175244"/>
          <w:sz w:val="22"/>
          <w:szCs w:val="22"/>
        </w:rPr>
        <w:t xml:space="preserve">Analytical, practical and emancipatory concerns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Analytical</w:t>
      </w:r>
      <w:r>
        <w:rPr>
          <w:rFonts w:ascii="Calibri" w:hAnsi="Calibri" w:cs="Calibri" w:eastAsia="PingFang SC"/>
          <w:color w:val="3D3A33"/>
          <w:sz w:val="22"/>
          <w:szCs w:val="22"/>
        </w:rPr>
        <w:t xml:space="preserve">: uncover the boundary judgements in play and their consequences.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Practical</w:t>
      </w:r>
      <w:r>
        <w:rPr>
          <w:rFonts w:ascii="Calibri" w:hAnsi="Calibri" w:cs="Calibri" w:eastAsia="PingFang SC"/>
          <w:color w:val="3D3A33"/>
          <w:sz w:val="22"/>
          <w:szCs w:val="22"/>
        </w:rPr>
        <w:t xml:space="preserve">: improve the situation by involving people who hold different perspectives.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Emancipatory</w:t>
      </w:r>
      <w:r>
        <w:rPr>
          <w:rFonts w:ascii="Calibri" w:hAnsi="Calibri" w:cs="Calibri" w:eastAsia="PingFang SC"/>
          <w:color w:val="3D3A33"/>
          <w:sz w:val="22"/>
          <w:szCs w:val="22"/>
        </w:rPr>
        <w:t xml:space="preserve">: help people who are not involved in a decision to see the unarticulated boundary judgements that professional or managerial practice has imposed on them, so that they can form and express their own judgements. Emancipation in CSH means freeing those who are affected from the harmful consequences of actions decided by those who are involved. The question it poses is: can the experts be trusted to decide about our lives and the lives of future generations, or must their boundary judgements be subjected to criticism? An Australian government debt-recovery programme (Robodebt) is cited as a scheme that early boundary critique might have helped.</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boundary critique process</w:t>
      </w:r>
    </w:p>
    <w:p>
      <w:pPr>
        <w:numPr>
          <w:ilvl w:val="0"/>
          <w:numId w:val="102"/>
        </w:numPr>
        <w:spacing w:after="80" w:line="312" w:lineRule="auto"/>
      </w:pPr>
      <w:r>
        <w:rPr>
          <w:rFonts w:ascii="Calibri" w:hAnsi="Calibri" w:cs="Calibri" w:eastAsia="PingFang SC"/>
          <w:color w:val="3D3A33"/>
          <w:sz w:val="22"/>
          <w:szCs w:val="22"/>
        </w:rPr>
        <w:t xml:space="preserve">Identify the sources of selectivity that shape a claim, by making the boundary judgements explicit.</w:t>
      </w:r>
    </w:p>
    <w:p>
      <w:pPr>
        <w:numPr>
          <w:ilvl w:val="0"/>
          <w:numId w:val="102"/>
        </w:numPr>
        <w:spacing w:after="80" w:line="312" w:lineRule="auto"/>
      </w:pPr>
      <w:r>
        <w:rPr>
          <w:rFonts w:ascii="Calibri" w:hAnsi="Calibri" w:cs="Calibri" w:eastAsia="PingFang SC"/>
          <w:color w:val="3D3A33"/>
          <w:sz w:val="22"/>
          <w:szCs w:val="22"/>
        </w:rPr>
        <w:t xml:space="preserve">Examine their practical and ethical implications.</w:t>
      </w:r>
    </w:p>
    <w:p>
      <w:pPr>
        <w:numPr>
          <w:ilvl w:val="0"/>
          <w:numId w:val="102"/>
        </w:numPr>
        <w:spacing w:after="80" w:line="312" w:lineRule="auto"/>
      </w:pPr>
      <w:r>
        <w:rPr>
          <w:rFonts w:ascii="Calibri" w:hAnsi="Calibri" w:cs="Calibri" w:eastAsia="PingFang SC"/>
          <w:color w:val="3D3A33"/>
          <w:sz w:val="22"/>
          <w:szCs w:val="22"/>
        </w:rPr>
        <w:t xml:space="preserve">Search for options by giving alternative answers to some of the boundary questions.</w:t>
      </w:r>
    </w:p>
    <w:p>
      <w:pPr>
        <w:numPr>
          <w:ilvl w:val="0"/>
          <w:numId w:val="102"/>
        </w:numPr>
        <w:spacing w:after="80" w:line="312" w:lineRule="auto"/>
      </w:pPr>
      <w:r>
        <w:rPr>
          <w:rFonts w:ascii="Calibri" w:hAnsi="Calibri" w:cs="Calibri" w:eastAsia="PingFang SC"/>
          <w:color w:val="3D3A33"/>
          <w:sz w:val="22"/>
          <w:szCs w:val="22"/>
        </w:rPr>
        <w:t xml:space="preserve">Seek mutual understanding with all stakeholders, on the basis of each party's different reference system.</w:t>
      </w:r>
    </w:p>
    <w:p>
      <w:pPr>
        <w:numPr>
          <w:ilvl w:val="0"/>
          <w:numId w:val="102"/>
        </w:numPr>
        <w:spacing w:after="80" w:line="312" w:lineRule="auto"/>
      </w:pPr>
      <w:r>
        <w:rPr>
          <w:rFonts w:ascii="Calibri" w:hAnsi="Calibri" w:cs="Calibri" w:eastAsia="PingFang SC"/>
          <w:color w:val="3D3A33"/>
          <w:sz w:val="22"/>
          <w:szCs w:val="22"/>
        </w:rPr>
        <w:t xml:space="preserve">Where some parties treat their own judgements uncritically (as self-evident, or imposed on others), challenge their claims through the emancipatory use of boundary critique.</w:t>
      </w:r>
    </w:p>
    <w:p>
      <w:pPr>
        <w:spacing w:before="240" w:after="80" w:line="312" w:lineRule="auto"/>
      </w:pPr>
      <w:r>
        <w:rPr>
          <w:rFonts w:ascii="Calibri" w:hAnsi="Calibri" w:cs="Calibri" w:eastAsia="PingFang SC"/>
          <w:b/>
          <w:color w:val="175244"/>
          <w:sz w:val="22"/>
          <w:szCs w:val="22"/>
        </w:rPr>
        <w:t xml:space="preserve">The twelve boundary categories and 24 boundary questions</w:t>
      </w:r>
    </w:p>
    <w:p>
      <w:pPr>
        <w:spacing w:before="0" w:after="160" w:line="312" w:lineRule="auto"/>
      </w:pPr>
      <w:r>
        <w:rPr>
          <w:rFonts w:ascii="Calibri" w:hAnsi="Calibri" w:cs="Calibri" w:eastAsia="PingFang SC"/>
          <w:color w:val="3D3A33"/>
          <w:sz w:val="22"/>
          <w:szCs w:val="22"/>
        </w:rPr>
        <w:t xml:space="preserve">There are twelve boundary categories. Each becomes a boundary question asked in two modes - </w:t>
      </w:r>
      <w:r>
        <w:rPr>
          <w:rFonts w:ascii="Calibri" w:hAnsi="Calibri" w:cs="Calibri" w:eastAsia="PingFang SC"/>
          <w:b/>
          <w:color w:val="3D3A33"/>
          <w:sz w:val="22"/>
          <w:szCs w:val="22"/>
        </w:rPr>
        <w:t xml:space="preserve">ought to be</w:t>
      </w:r>
      <w:r>
        <w:rPr>
          <w:rFonts w:ascii="Calibri" w:hAnsi="Calibri" w:cs="Calibri" w:eastAsia="PingFang SC"/>
          <w:color w:val="3D3A33"/>
          <w:sz w:val="22"/>
          <w:szCs w:val="22"/>
        </w:rPr>
        <w:t xml:space="preserve"> (the ideal) and </w:t>
      </w:r>
      <w:r>
        <w:rPr>
          <w:rFonts w:ascii="Calibri" w:hAnsi="Calibri" w:cs="Calibri" w:eastAsia="PingFang SC"/>
          <w:b/>
          <w:color w:val="3D3A33"/>
          <w:sz w:val="22"/>
          <w:szCs w:val="22"/>
        </w:rPr>
        <w:t xml:space="preserve">is</w:t>
      </w:r>
      <w:r>
        <w:rPr>
          <w:rFonts w:ascii="Calibri" w:hAnsi="Calibri" w:cs="Calibri" w:eastAsia="PingFang SC"/>
          <w:color w:val="3D3A33"/>
          <w:sz w:val="22"/>
          <w:szCs w:val="22"/>
        </w:rPr>
        <w:t xml:space="preserve"> (the descriptive reality) - giving 24 questions in total. Categories 1 to 9 describe those who are involved in the system; categories 10 to 12 describe those who are affected by it but not involved. Together they define the reference system (the system of concern), and so they decide which "facts" and which values count when a proposal is evaluated.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932"/>
        <w:gridCol w:w="2141"/>
        <w:gridCol w:w="5286"/>
      </w:tblGrid>
      <w:tr>
        <w:trPr>
          <w:tblHeader/>
        </w:trPr>
        <w:tc>
          <w:tcPr>
            <w:tcW w:w="1932" w:type="dxa"/>
            <w:shd w:val="clear" w:color="auto" w:fill="EAE7DD"/>
          </w:tcPr>
          <w:p>
            <w:pPr>
              <w:spacing w:before="0" w:after="0" w:line="312" w:lineRule="auto"/>
            </w:pPr>
            <w:r>
              <w:rPr>
                <w:rFonts w:ascii="Calibri" w:hAnsi="Calibri" w:cs="Calibri" w:eastAsia="PingFang SC"/>
                <w:b/>
                <w:color w:val="3D3A33"/>
                <w:sz w:val="22"/>
                <w:szCs w:val="22"/>
              </w:rPr>
              <w:t xml:space="preserve">Source of influence</w:t>
            </w:r>
          </w:p>
        </w:tc>
        <w:tc>
          <w:tcPr>
            <w:tcW w:w="2141"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5286" w:type="dxa"/>
            <w:shd w:val="clear" w:color="auto" w:fill="EAE7DD"/>
          </w:tcPr>
          <w:p>
            <w:pPr>
              <w:spacing w:before="0" w:after="0" w:line="312" w:lineRule="auto"/>
            </w:pPr>
            <w:r>
              <w:rPr>
                <w:rFonts w:ascii="Calibri" w:hAnsi="Calibri" w:cs="Calibri" w:eastAsia="PingFang SC"/>
                <w:b/>
                <w:color w:val="3D3A33"/>
                <w:sz w:val="22"/>
                <w:szCs w:val="22"/>
              </w:rPr>
              <w:t xml:space="preserve">Boundary question (ought to be / is)</w:t>
            </w:r>
          </w:p>
        </w:tc>
      </w:tr>
      <w:tr>
        <w:tc>
          <w:tcPr>
            <w:tcW w:w="1932" w:type="dxa"/>
          </w:tcPr>
          <w:p>
            <w:pPr>
              <w:spacing w:before="0" w:after="0" w:line="312" w:lineRule="auto"/>
            </w:pPr>
            <w:r>
              <w:rPr>
                <w:rFonts w:ascii="Calibri" w:hAnsi="Calibri" w:cs="Calibri" w:eastAsia="PingFang SC"/>
                <w:color w:val="3D3A33"/>
                <w:sz w:val="22"/>
                <w:szCs w:val="22"/>
              </w:rPr>
              <w:t xml:space="preserve">Motivation</w:t>
            </w:r>
          </w:p>
        </w:tc>
        <w:tc>
          <w:tcPr>
            <w:tcW w:w="2141" w:type="dxa"/>
          </w:tcPr>
          <w:p>
            <w:pPr>
              <w:spacing w:before="0" w:after="0" w:line="312" w:lineRule="auto"/>
            </w:pPr>
            <w:r>
              <w:rPr>
                <w:rFonts w:ascii="Calibri" w:hAnsi="Calibri" w:cs="Calibri" w:eastAsia="PingFang SC"/>
                <w:color w:val="3D3A33"/>
                <w:sz w:val="22"/>
                <w:szCs w:val="22"/>
              </w:rPr>
              <w:t xml:space="preserve">1 Beneficiary (client)</w:t>
            </w:r>
          </w:p>
        </w:tc>
        <w:tc>
          <w:tcPr>
            <w:tcW w:w="5286" w:type="dxa"/>
          </w:tcPr>
          <w:p>
            <w:pPr>
              <w:spacing w:before="0" w:after="0" w:line="312" w:lineRule="auto"/>
            </w:pPr>
            <w:r>
              <w:rPr>
                <w:rFonts w:ascii="Calibri" w:hAnsi="Calibri" w:cs="Calibri" w:eastAsia="PingFang SC"/>
                <w:color w:val="3D3A33"/>
                <w:sz w:val="22"/>
                <w:szCs w:val="22"/>
              </w:rPr>
              <w:t xml:space="preserve">Who ought to be / is the intended beneficiary of the system?</w:t>
            </w:r>
          </w:p>
        </w:tc>
      </w:tr>
      <w:tr>
        <w:tc>
          <w:tcPr>
            <w:tcW w:w="1932" w:type="dxa"/>
          </w:tcPr>
          <w:p>
            <w:pPr>
              <w:spacing w:before="0" w:after="0" w:line="312" w:lineRule="auto"/>
            </w:pPr>
            <w:r>
              <w:rPr>
                <w:rFonts w:ascii="Calibri" w:hAnsi="Calibri" w:cs="Calibri" w:eastAsia="PingFang SC"/>
                <w:color w:val="3D3A33"/>
                <w:sz w:val="22"/>
                <w:szCs w:val="22"/>
              </w:rPr>
              <w:t xml:space="preserve">Motivation</w:t>
            </w:r>
          </w:p>
        </w:tc>
        <w:tc>
          <w:tcPr>
            <w:tcW w:w="2141" w:type="dxa"/>
          </w:tcPr>
          <w:p>
            <w:pPr>
              <w:spacing w:before="0" w:after="0" w:line="312" w:lineRule="auto"/>
            </w:pPr>
            <w:r>
              <w:rPr>
                <w:rFonts w:ascii="Calibri" w:hAnsi="Calibri" w:cs="Calibri" w:eastAsia="PingFang SC"/>
                <w:color w:val="3D3A33"/>
                <w:sz w:val="22"/>
                <w:szCs w:val="22"/>
              </w:rPr>
              <w:t xml:space="preserve">2 Purpose</w:t>
            </w:r>
          </w:p>
        </w:tc>
        <w:tc>
          <w:tcPr>
            <w:tcW w:w="5286" w:type="dxa"/>
          </w:tcPr>
          <w:p>
            <w:pPr>
              <w:spacing w:before="0" w:after="0" w:line="312" w:lineRule="auto"/>
            </w:pPr>
            <w:r>
              <w:rPr>
                <w:rFonts w:ascii="Calibri" w:hAnsi="Calibri" w:cs="Calibri" w:eastAsia="PingFang SC"/>
                <w:color w:val="3D3A33"/>
                <w:sz w:val="22"/>
                <w:szCs w:val="22"/>
              </w:rPr>
              <w:t xml:space="preserve">What ought to be / is the purpose of the system?</w:t>
            </w:r>
          </w:p>
        </w:tc>
      </w:tr>
      <w:tr>
        <w:tc>
          <w:tcPr>
            <w:tcW w:w="1932" w:type="dxa"/>
          </w:tcPr>
          <w:p>
            <w:pPr>
              <w:spacing w:before="0" w:after="0" w:line="312" w:lineRule="auto"/>
            </w:pPr>
            <w:r>
              <w:rPr>
                <w:rFonts w:ascii="Calibri" w:hAnsi="Calibri" w:cs="Calibri" w:eastAsia="PingFang SC"/>
                <w:color w:val="3D3A33"/>
                <w:sz w:val="22"/>
                <w:szCs w:val="22"/>
              </w:rPr>
              <w:t xml:space="preserve">Motivation</w:t>
            </w:r>
          </w:p>
        </w:tc>
        <w:tc>
          <w:tcPr>
            <w:tcW w:w="2141" w:type="dxa"/>
          </w:tcPr>
          <w:p>
            <w:pPr>
              <w:spacing w:before="0" w:after="0" w:line="312" w:lineRule="auto"/>
            </w:pPr>
            <w:r>
              <w:rPr>
                <w:rFonts w:ascii="Calibri" w:hAnsi="Calibri" w:cs="Calibri" w:eastAsia="PingFang SC"/>
                <w:color w:val="3D3A33"/>
                <w:sz w:val="22"/>
                <w:szCs w:val="22"/>
              </w:rPr>
              <w:t xml:space="preserve">3 Measure of improvement</w:t>
            </w:r>
          </w:p>
        </w:tc>
        <w:tc>
          <w:tcPr>
            <w:tcW w:w="5286" w:type="dxa"/>
          </w:tcPr>
          <w:p>
            <w:pPr>
              <w:spacing w:before="0" w:after="0" w:line="312" w:lineRule="auto"/>
            </w:pPr>
            <w:r>
              <w:rPr>
                <w:rFonts w:ascii="Calibri" w:hAnsi="Calibri" w:cs="Calibri" w:eastAsia="PingFang SC"/>
                <w:color w:val="3D3A33"/>
                <w:sz w:val="22"/>
                <w:szCs w:val="22"/>
              </w:rPr>
              <w:t xml:space="preserve">What ought to be / is the system's measure of success?</w:t>
            </w:r>
          </w:p>
        </w:tc>
      </w:tr>
      <w:tr>
        <w:tc>
          <w:tcPr>
            <w:tcW w:w="1932" w:type="dxa"/>
          </w:tcPr>
          <w:p>
            <w:pPr>
              <w:spacing w:before="0" w:after="0" w:line="312" w:lineRule="auto"/>
            </w:pPr>
            <w:r>
              <w:rPr>
                <w:rFonts w:ascii="Calibri" w:hAnsi="Calibri" w:cs="Calibri" w:eastAsia="PingFang SC"/>
                <w:color w:val="3D3A33"/>
                <w:sz w:val="22"/>
                <w:szCs w:val="22"/>
              </w:rPr>
              <w:t xml:space="preserve">Control (power)</w:t>
            </w:r>
          </w:p>
        </w:tc>
        <w:tc>
          <w:tcPr>
            <w:tcW w:w="2141" w:type="dxa"/>
          </w:tcPr>
          <w:p>
            <w:pPr>
              <w:spacing w:before="0" w:after="0" w:line="312" w:lineRule="auto"/>
            </w:pPr>
            <w:r>
              <w:rPr>
                <w:rFonts w:ascii="Calibri" w:hAnsi="Calibri" w:cs="Calibri" w:eastAsia="PingFang SC"/>
                <w:color w:val="3D3A33"/>
                <w:sz w:val="22"/>
                <w:szCs w:val="22"/>
              </w:rPr>
              <w:t xml:space="preserve">4 Decision maker</w:t>
            </w:r>
          </w:p>
        </w:tc>
        <w:tc>
          <w:tcPr>
            <w:tcW w:w="5286" w:type="dxa"/>
          </w:tcPr>
          <w:p>
            <w:pPr>
              <w:spacing w:before="0" w:after="0" w:line="312" w:lineRule="auto"/>
            </w:pPr>
            <w:r>
              <w:rPr>
                <w:rFonts w:ascii="Calibri" w:hAnsi="Calibri" w:cs="Calibri" w:eastAsia="PingFang SC"/>
                <w:color w:val="3D3A33"/>
                <w:sz w:val="22"/>
                <w:szCs w:val="22"/>
              </w:rPr>
              <w:t xml:space="preserve">Who ought to be / is in control of the conditions of success?</w:t>
            </w:r>
          </w:p>
        </w:tc>
      </w:tr>
      <w:tr>
        <w:tc>
          <w:tcPr>
            <w:tcW w:w="1932" w:type="dxa"/>
          </w:tcPr>
          <w:p>
            <w:pPr>
              <w:spacing w:before="0" w:after="0" w:line="312" w:lineRule="auto"/>
            </w:pPr>
            <w:r>
              <w:rPr>
                <w:rFonts w:ascii="Calibri" w:hAnsi="Calibri" w:cs="Calibri" w:eastAsia="PingFang SC"/>
                <w:color w:val="3D3A33"/>
                <w:sz w:val="22"/>
                <w:szCs w:val="22"/>
              </w:rPr>
              <w:t xml:space="preserve">Control (power)</w:t>
            </w:r>
          </w:p>
        </w:tc>
        <w:tc>
          <w:tcPr>
            <w:tcW w:w="2141" w:type="dxa"/>
          </w:tcPr>
          <w:p>
            <w:pPr>
              <w:spacing w:before="0" w:after="0" w:line="312" w:lineRule="auto"/>
            </w:pPr>
            <w:r>
              <w:rPr>
                <w:rFonts w:ascii="Calibri" w:hAnsi="Calibri" w:cs="Calibri" w:eastAsia="PingFang SC"/>
                <w:color w:val="3D3A33"/>
                <w:sz w:val="22"/>
                <w:szCs w:val="22"/>
              </w:rPr>
              <w:t xml:space="preserve">5 Resources</w:t>
            </w:r>
          </w:p>
        </w:tc>
        <w:tc>
          <w:tcPr>
            <w:tcW w:w="5286" w:type="dxa"/>
          </w:tcPr>
          <w:p>
            <w:pPr>
              <w:spacing w:before="0" w:after="0" w:line="312" w:lineRule="auto"/>
            </w:pPr>
            <w:r>
              <w:rPr>
                <w:rFonts w:ascii="Calibri" w:hAnsi="Calibri" w:cs="Calibri" w:eastAsia="PingFang SC"/>
                <w:color w:val="3D3A33"/>
                <w:sz w:val="22"/>
                <w:szCs w:val="22"/>
              </w:rPr>
              <w:t xml:space="preserve">What conditions of success ought to be / are under the control of the system?</w:t>
            </w:r>
          </w:p>
        </w:tc>
      </w:tr>
      <w:tr>
        <w:tc>
          <w:tcPr>
            <w:tcW w:w="1932" w:type="dxa"/>
          </w:tcPr>
          <w:p>
            <w:pPr>
              <w:spacing w:before="0" w:after="0" w:line="312" w:lineRule="auto"/>
            </w:pPr>
            <w:r>
              <w:rPr>
                <w:rFonts w:ascii="Calibri" w:hAnsi="Calibri" w:cs="Calibri" w:eastAsia="PingFang SC"/>
                <w:color w:val="3D3A33"/>
                <w:sz w:val="22"/>
                <w:szCs w:val="22"/>
              </w:rPr>
              <w:t xml:space="preserve">Control (power)</w:t>
            </w:r>
          </w:p>
        </w:tc>
        <w:tc>
          <w:tcPr>
            <w:tcW w:w="2141" w:type="dxa"/>
          </w:tcPr>
          <w:p>
            <w:pPr>
              <w:spacing w:before="0" w:after="0" w:line="312" w:lineRule="auto"/>
            </w:pPr>
            <w:r>
              <w:rPr>
                <w:rFonts w:ascii="Calibri" w:hAnsi="Calibri" w:cs="Calibri" w:eastAsia="PingFang SC"/>
                <w:color w:val="3D3A33"/>
                <w:sz w:val="22"/>
                <w:szCs w:val="22"/>
              </w:rPr>
              <w:t xml:space="preserve">6 Decision environment</w:t>
            </w:r>
          </w:p>
        </w:tc>
        <w:tc>
          <w:tcPr>
            <w:tcW w:w="5286" w:type="dxa"/>
          </w:tcPr>
          <w:p>
            <w:pPr>
              <w:spacing w:before="0" w:after="0" w:line="312" w:lineRule="auto"/>
            </w:pPr>
            <w:r>
              <w:rPr>
                <w:rFonts w:ascii="Calibri" w:hAnsi="Calibri" w:cs="Calibri" w:eastAsia="PingFang SC"/>
                <w:color w:val="3D3A33"/>
                <w:sz w:val="22"/>
                <w:szCs w:val="22"/>
              </w:rPr>
              <w:t xml:space="preserve">What conditions of success ought to be / are outside the control of the decision maker?</w:t>
            </w:r>
          </w:p>
        </w:tc>
      </w:tr>
      <w:tr>
        <w:tc>
          <w:tcPr>
            <w:tcW w:w="1932" w:type="dxa"/>
          </w:tcPr>
          <w:p>
            <w:pPr>
              <w:spacing w:before="0" w:after="0" w:line="312" w:lineRule="auto"/>
            </w:pPr>
            <w:r>
              <w:rPr>
                <w:rFonts w:ascii="Calibri" w:hAnsi="Calibri" w:cs="Calibri" w:eastAsia="PingFang SC"/>
                <w:color w:val="3D3A33"/>
                <w:sz w:val="22"/>
                <w:szCs w:val="22"/>
              </w:rPr>
              <w:t xml:space="preserve">Knowledge</w:t>
            </w:r>
          </w:p>
        </w:tc>
        <w:tc>
          <w:tcPr>
            <w:tcW w:w="2141" w:type="dxa"/>
          </w:tcPr>
          <w:p>
            <w:pPr>
              <w:spacing w:before="0" w:after="0" w:line="312" w:lineRule="auto"/>
            </w:pPr>
            <w:r>
              <w:rPr>
                <w:rFonts w:ascii="Calibri" w:hAnsi="Calibri" w:cs="Calibri" w:eastAsia="PingFang SC"/>
                <w:color w:val="3D3A33"/>
                <w:sz w:val="22"/>
                <w:szCs w:val="22"/>
              </w:rPr>
              <w:t xml:space="preserve">7 Expert (professional)</w:t>
            </w:r>
          </w:p>
        </w:tc>
        <w:tc>
          <w:tcPr>
            <w:tcW w:w="5286" w:type="dxa"/>
          </w:tcPr>
          <w:p>
            <w:pPr>
              <w:spacing w:before="0" w:after="0" w:line="312" w:lineRule="auto"/>
            </w:pPr>
            <w:r>
              <w:rPr>
                <w:rFonts w:ascii="Calibri" w:hAnsi="Calibri" w:cs="Calibri" w:eastAsia="PingFang SC"/>
                <w:color w:val="3D3A33"/>
                <w:sz w:val="22"/>
                <w:szCs w:val="22"/>
              </w:rPr>
              <w:t xml:space="preserve">Who ought to be / is providing relevant knowledge and skills?</w:t>
            </w:r>
          </w:p>
        </w:tc>
      </w:tr>
      <w:tr>
        <w:tc>
          <w:tcPr>
            <w:tcW w:w="1932" w:type="dxa"/>
          </w:tcPr>
          <w:p>
            <w:pPr>
              <w:spacing w:before="0" w:after="0" w:line="312" w:lineRule="auto"/>
            </w:pPr>
            <w:r>
              <w:rPr>
                <w:rFonts w:ascii="Calibri" w:hAnsi="Calibri" w:cs="Calibri" w:eastAsia="PingFang SC"/>
                <w:color w:val="3D3A33"/>
                <w:sz w:val="22"/>
                <w:szCs w:val="22"/>
              </w:rPr>
              <w:t xml:space="preserve">Knowledge</w:t>
            </w:r>
          </w:p>
        </w:tc>
        <w:tc>
          <w:tcPr>
            <w:tcW w:w="2141" w:type="dxa"/>
          </w:tcPr>
          <w:p>
            <w:pPr>
              <w:spacing w:before="0" w:after="0" w:line="312" w:lineRule="auto"/>
            </w:pPr>
            <w:r>
              <w:rPr>
                <w:rFonts w:ascii="Calibri" w:hAnsi="Calibri" w:cs="Calibri" w:eastAsia="PingFang SC"/>
                <w:color w:val="3D3A33"/>
                <w:sz w:val="22"/>
                <w:szCs w:val="22"/>
              </w:rPr>
              <w:t xml:space="preserve">8 Expertise</w:t>
            </w:r>
          </w:p>
        </w:tc>
        <w:tc>
          <w:tcPr>
            <w:tcW w:w="5286" w:type="dxa"/>
          </w:tcPr>
          <w:p>
            <w:pPr>
              <w:spacing w:before="0" w:after="0" w:line="312" w:lineRule="auto"/>
            </w:pPr>
            <w:r>
              <w:rPr>
                <w:rFonts w:ascii="Calibri" w:hAnsi="Calibri" w:cs="Calibri" w:eastAsia="PingFang SC"/>
                <w:color w:val="3D3A33"/>
                <w:sz w:val="22"/>
                <w:szCs w:val="22"/>
              </w:rPr>
              <w:t xml:space="preserve">What ought to be / are relevant new knowledge and skills?</w:t>
            </w:r>
          </w:p>
        </w:tc>
      </w:tr>
      <w:tr>
        <w:tc>
          <w:tcPr>
            <w:tcW w:w="1932" w:type="dxa"/>
          </w:tcPr>
          <w:p>
            <w:pPr>
              <w:spacing w:before="0" w:after="0" w:line="312" w:lineRule="auto"/>
            </w:pPr>
            <w:r>
              <w:rPr>
                <w:rFonts w:ascii="Calibri" w:hAnsi="Calibri" w:cs="Calibri" w:eastAsia="PingFang SC"/>
                <w:color w:val="3D3A33"/>
                <w:sz w:val="22"/>
                <w:szCs w:val="22"/>
              </w:rPr>
              <w:t xml:space="preserve">Knowledge</w:t>
            </w:r>
          </w:p>
        </w:tc>
        <w:tc>
          <w:tcPr>
            <w:tcW w:w="2141" w:type="dxa"/>
          </w:tcPr>
          <w:p>
            <w:pPr>
              <w:spacing w:before="0" w:after="0" w:line="312" w:lineRule="auto"/>
            </w:pPr>
            <w:r>
              <w:rPr>
                <w:rFonts w:ascii="Calibri" w:hAnsi="Calibri" w:cs="Calibri" w:eastAsia="PingFang SC"/>
                <w:color w:val="3D3A33"/>
                <w:sz w:val="22"/>
                <w:szCs w:val="22"/>
              </w:rPr>
              <w:t xml:space="preserve">9 Guarantor (guarantee)</w:t>
            </w:r>
          </w:p>
        </w:tc>
        <w:tc>
          <w:tcPr>
            <w:tcW w:w="5286" w:type="dxa"/>
          </w:tcPr>
          <w:p>
            <w:pPr>
              <w:spacing w:before="0" w:after="0" w:line="312" w:lineRule="auto"/>
            </w:pPr>
            <w:r>
              <w:rPr>
                <w:rFonts w:ascii="Calibri" w:hAnsi="Calibri" w:cs="Calibri" w:eastAsia="PingFang SC"/>
                <w:color w:val="3D3A33"/>
                <w:sz w:val="22"/>
                <w:szCs w:val="22"/>
              </w:rPr>
              <w:t xml:space="preserve">What ought to be / are regarded as assurances of successful implementation?</w:t>
            </w:r>
          </w:p>
        </w:tc>
      </w:tr>
      <w:tr>
        <w:tc>
          <w:tcPr>
            <w:tcW w:w="1932" w:type="dxa"/>
          </w:tcPr>
          <w:p>
            <w:pPr>
              <w:spacing w:before="0" w:after="0" w:line="312" w:lineRule="auto"/>
            </w:pPr>
            <w:r>
              <w:rPr>
                <w:rFonts w:ascii="Calibri" w:hAnsi="Calibri" w:cs="Calibri" w:eastAsia="PingFang SC"/>
                <w:color w:val="3D3A33"/>
                <w:sz w:val="22"/>
                <w:szCs w:val="22"/>
              </w:rPr>
              <w:t xml:space="preserve">Legitimacy (legitimation)</w:t>
            </w:r>
          </w:p>
        </w:tc>
        <w:tc>
          <w:tcPr>
            <w:tcW w:w="2141" w:type="dxa"/>
          </w:tcPr>
          <w:p>
            <w:pPr>
              <w:spacing w:before="0" w:after="0" w:line="312" w:lineRule="auto"/>
            </w:pPr>
            <w:r>
              <w:rPr>
                <w:rFonts w:ascii="Calibri" w:hAnsi="Calibri" w:cs="Calibri" w:eastAsia="PingFang SC"/>
                <w:color w:val="3D3A33"/>
                <w:sz w:val="22"/>
                <w:szCs w:val="22"/>
              </w:rPr>
              <w:t xml:space="preserve">10 Witness</w:t>
            </w:r>
          </w:p>
        </w:tc>
        <w:tc>
          <w:tcPr>
            <w:tcW w:w="5286" w:type="dxa"/>
          </w:tcPr>
          <w:p>
            <w:pPr>
              <w:spacing w:before="0" w:after="0" w:line="312" w:lineRule="auto"/>
            </w:pPr>
            <w:r>
              <w:rPr>
                <w:rFonts w:ascii="Calibri" w:hAnsi="Calibri" w:cs="Calibri" w:eastAsia="PingFang SC"/>
                <w:color w:val="3D3A33"/>
                <w:sz w:val="22"/>
                <w:szCs w:val="22"/>
              </w:rPr>
              <w:t xml:space="preserve">Who ought to be / is representing the interests of those negatively affected by but not involved with the system?</w:t>
            </w:r>
          </w:p>
        </w:tc>
      </w:tr>
      <w:tr>
        <w:tc>
          <w:tcPr>
            <w:tcW w:w="1932" w:type="dxa"/>
          </w:tcPr>
          <w:p>
            <w:pPr>
              <w:spacing w:before="0" w:after="0" w:line="312" w:lineRule="auto"/>
            </w:pPr>
            <w:r>
              <w:rPr>
                <w:rFonts w:ascii="Calibri" w:hAnsi="Calibri" w:cs="Calibri" w:eastAsia="PingFang SC"/>
                <w:color w:val="3D3A33"/>
                <w:sz w:val="22"/>
                <w:szCs w:val="22"/>
              </w:rPr>
              <w:t xml:space="preserve">Legitimacy (legitimation)</w:t>
            </w:r>
          </w:p>
        </w:tc>
        <w:tc>
          <w:tcPr>
            <w:tcW w:w="2141" w:type="dxa"/>
          </w:tcPr>
          <w:p>
            <w:pPr>
              <w:spacing w:before="0" w:after="0" w:line="312" w:lineRule="auto"/>
            </w:pPr>
            <w:r>
              <w:rPr>
                <w:rFonts w:ascii="Calibri" w:hAnsi="Calibri" w:cs="Calibri" w:eastAsia="PingFang SC"/>
                <w:color w:val="3D3A33"/>
                <w:sz w:val="22"/>
                <w:szCs w:val="22"/>
              </w:rPr>
              <w:t xml:space="preserve">11 Emancipation</w:t>
            </w:r>
          </w:p>
        </w:tc>
        <w:tc>
          <w:tcPr>
            <w:tcW w:w="5286" w:type="dxa"/>
          </w:tcPr>
          <w:p>
            <w:pPr>
              <w:spacing w:before="0" w:after="0" w:line="312" w:lineRule="auto"/>
            </w:pPr>
            <w:r>
              <w:rPr>
                <w:rFonts w:ascii="Calibri" w:hAnsi="Calibri" w:cs="Calibri" w:eastAsia="PingFang SC"/>
                <w:color w:val="3D3A33"/>
                <w:sz w:val="22"/>
                <w:szCs w:val="22"/>
              </w:rPr>
              <w:t xml:space="preserve">What ought to be / are the opportunities for the interests of those negatively affected to have expression and freedom from the worldview of the system?</w:t>
            </w:r>
          </w:p>
        </w:tc>
      </w:tr>
      <w:tr>
        <w:tc>
          <w:tcPr>
            <w:tcW w:w="1932" w:type="dxa"/>
          </w:tcPr>
          <w:p>
            <w:pPr>
              <w:spacing w:before="0" w:after="0" w:line="312" w:lineRule="auto"/>
            </w:pPr>
            <w:r>
              <w:rPr>
                <w:rFonts w:ascii="Calibri" w:hAnsi="Calibri" w:cs="Calibri" w:eastAsia="PingFang SC"/>
                <w:color w:val="3D3A33"/>
                <w:sz w:val="22"/>
                <w:szCs w:val="22"/>
              </w:rPr>
              <w:t xml:space="preserve">Legitimacy (legitimation)</w:t>
            </w:r>
          </w:p>
        </w:tc>
        <w:tc>
          <w:tcPr>
            <w:tcW w:w="2141" w:type="dxa"/>
          </w:tcPr>
          <w:p>
            <w:pPr>
              <w:spacing w:before="0" w:after="0" w:line="312" w:lineRule="auto"/>
            </w:pPr>
            <w:r>
              <w:rPr>
                <w:rFonts w:ascii="Calibri" w:hAnsi="Calibri" w:cs="Calibri" w:eastAsia="PingFang SC"/>
                <w:color w:val="3D3A33"/>
                <w:sz w:val="22"/>
                <w:szCs w:val="22"/>
              </w:rPr>
              <w:t xml:space="preserve">12 Worldview</w:t>
            </w:r>
          </w:p>
        </w:tc>
        <w:tc>
          <w:tcPr>
            <w:tcW w:w="5286" w:type="dxa"/>
          </w:tcPr>
          <w:p>
            <w:pPr>
              <w:spacing w:before="0" w:after="0" w:line="312" w:lineRule="auto"/>
            </w:pPr>
            <w:r>
              <w:rPr>
                <w:rFonts w:ascii="Calibri" w:hAnsi="Calibri" w:cs="Calibri" w:eastAsia="PingFang SC"/>
                <w:color w:val="3D3A33"/>
                <w:sz w:val="22"/>
                <w:szCs w:val="22"/>
              </w:rPr>
              <w:t xml:space="preserve">What space ought to be / is available for reconciling differing worldviews among those involved and affected?</w:t>
            </w:r>
          </w:p>
        </w:tc>
      </w:tr>
    </w:tbl>
    <w:p>
      <w:pPr>
        <w:spacing w:before="0" w:after="160" w:line="312" w:lineRule="auto"/>
      </w:pPr>
      <w:r>
        <w:rPr>
          <w:rFonts w:ascii="Calibri" w:hAnsi="Calibri" w:cs="Calibri" w:eastAsia="PingFang SC"/>
          <w:color w:val="3D3A33"/>
          <w:sz w:val="22"/>
          <w:szCs w:val="22"/>
        </w:rPr>
        <w:t xml:space="preserve">In plain language the twelve questions ask: motivation - who should benefit, for what purpose, and how will we know it works; power - who decides, what should they control, and what is outside their control; knowledge - whose advice counts, what knowledge counts, and what guarantees confidence; legitimation - who speaks for the affected non-participants, what protects them from harm, and whose idea of improvement prevails.</w:t>
      </w:r>
    </w:p>
    <w:p>
      <w:pPr>
        <w:spacing w:before="240" w:after="80" w:line="312" w:lineRule="auto"/>
      </w:pPr>
      <w:r>
        <w:rPr>
          <w:rFonts w:ascii="Calibri" w:hAnsi="Calibri" w:cs="Calibri" w:eastAsia="PingFang SC"/>
          <w:b/>
          <w:color w:val="175244"/>
          <w:sz w:val="22"/>
          <w:szCs w:val="22"/>
        </w:rPr>
        <w:t xml:space="preserve">The standard questioning order: 2 - 1 - 3</w:t>
      </w:r>
    </w:p>
    <w:p>
      <w:pPr>
        <w:spacing w:before="0" w:after="160" w:line="312" w:lineRule="auto"/>
      </w:pPr>
      <w:r>
        <w:rPr>
          <w:rFonts w:ascii="Calibri" w:hAnsi="Calibri" w:cs="Calibri" w:eastAsia="PingFang SC"/>
          <w:color w:val="3D3A33"/>
          <w:sz w:val="22"/>
          <w:szCs w:val="22"/>
        </w:rPr>
        <w:t xml:space="preserve">The categories are not asked in numerical order. The three columns of the framework are social roles (stakeholders), specific concerns (stakes) and key problems (stakeholding issues). Within each source of influence the order is concern, then role, then key problem, that is </w:t>
      </w:r>
      <w:r>
        <w:rPr>
          <w:rFonts w:ascii="Calibri" w:hAnsi="Calibri" w:cs="Calibri" w:eastAsia="PingFang SC"/>
          <w:b/>
          <w:color w:val="3D3A33"/>
          <w:sz w:val="22"/>
          <w:szCs w:val="22"/>
        </w:rPr>
        <w:t xml:space="preserve">2 then 1 then 3</w:t>
      </w:r>
      <w:r>
        <w:rPr>
          <w:rFonts w:ascii="Calibri" w:hAnsi="Calibri" w:cs="Calibri" w:eastAsia="PingFang SC"/>
          <w:color w:val="3D3A33"/>
          <w:sz w:val="22"/>
          <w:szCs w:val="22"/>
        </w:rPr>
        <w:t xml:space="preserve">, and the arrows then run from the third item of one group to the second item of the next group:</w:t>
      </w:r>
    </w:p>
    <w:p>
      <w:pPr>
        <w:spacing w:before="0" w:after="160" w:line="312" w:lineRule="auto"/>
      </w:pPr>
      <w:r>
        <w:rPr>
          <w:rFonts w:ascii="Calibri" w:hAnsi="Calibri" w:cs="Calibri" w:eastAsia="PingFang SC"/>
          <w:color w:val="3D3A33"/>
          <w:sz w:val="22"/>
          <w:szCs w:val="22"/>
        </w:rPr>
        <w:t xml:space="preserve">2 Purpose -&gt; 1 Beneficiary -&gt; 3 Measure of improvement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5 Resources -&gt; 4 Decision maker -&gt; 6 Decision environment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8 Expertise -&gt; 7 Expert -&gt; 9 Guarantor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11 Emancipation -&gt; 10 Witness -&gt; 12 Worldview</w:t>
      </w:r>
    </w:p>
    <w:p>
      <w:pPr>
        <w:spacing w:before="0" w:after="160" w:line="312" w:lineRule="auto"/>
      </w:pPr>
      <w:r>
        <w:rPr>
          <w:rFonts w:ascii="Calibri" w:hAnsi="Calibri" w:cs="Calibri" w:eastAsia="PingFang SC"/>
          <w:color w:val="3D3A33"/>
          <w:sz w:val="22"/>
          <w:szCs w:val="22"/>
        </w:rPr>
        <w:t xml:space="preserve">So each group begins at category 2, 5, 8 or 11 respectively.</w:t>
      </w:r>
    </w:p>
    <w:p>
      <w:pPr>
        <w:spacing w:before="240" w:after="80" w:line="312" w:lineRule="auto"/>
      </w:pPr>
      <w:r>
        <w:rPr>
          <w:rFonts w:ascii="Calibri" w:hAnsi="Calibri" w:cs="Calibri" w:eastAsia="PingFang SC"/>
          <w:b/>
          <w:color w:val="175244"/>
          <w:sz w:val="22"/>
          <w:szCs w:val="22"/>
        </w:rPr>
        <w:t xml:space="preserve">Witnesses as the source of legitimation</w:t>
      </w:r>
    </w:p>
    <w:p>
      <w:pPr>
        <w:spacing w:before="0" w:after="160" w:line="312" w:lineRule="auto"/>
      </w:pPr>
      <w:r>
        <w:rPr>
          <w:rFonts w:ascii="Calibri" w:hAnsi="Calibri" w:cs="Calibri" w:eastAsia="PingFang SC"/>
          <w:color w:val="3D3A33"/>
          <w:sz w:val="22"/>
          <w:szCs w:val="22"/>
        </w:rPr>
        <w:t xml:space="preserve">Witnesses are the key source of legitimation. They stand before those who are involved and speak on behalf of those who are affected, reminding the involved parties that they carry moral responsibility for all real consequences of their actions, including costs and risks imposed on people beyond the intended client. In a democratic society only the voluntary consent of those who are affected but not involved can legitimate those costs and risks. Those who are involved must openly seek that consent, and those who are affected must have the chance to free themselves from being used merely as a means to other people's ends.</w:t>
      </w:r>
    </w:p>
    <w:p>
      <w:pPr>
        <w:spacing w:before="240" w:after="80" w:line="312" w:lineRule="auto"/>
      </w:pPr>
      <w:r>
        <w:rPr>
          <w:rFonts w:ascii="Calibri" w:hAnsi="Calibri" w:cs="Calibri" w:eastAsia="PingFang SC"/>
          <w:b/>
          <w:color w:val="175244"/>
          <w:sz w:val="22"/>
          <w:szCs w:val="22"/>
        </w:rPr>
        <w:t xml:space="preserve">What CSH is used for</w:t>
      </w:r>
    </w:p>
    <w:p>
      <w:pPr>
        <w:numPr>
          <w:ilvl w:val="0"/>
          <w:numId w:val="103"/>
        </w:numPr>
        <w:spacing w:after="80" w:line="312" w:lineRule="auto"/>
      </w:pPr>
      <w:r>
        <w:rPr>
          <w:rFonts w:ascii="Calibri" w:hAnsi="Calibri" w:cs="Calibri" w:eastAsia="PingFang SC"/>
          <w:color w:val="3D3A33"/>
          <w:sz w:val="22"/>
          <w:szCs w:val="22"/>
        </w:rPr>
        <w:t xml:space="preserve">Systematically identify boundary judgements.</w:t>
      </w:r>
    </w:p>
    <w:p>
      <w:pPr>
        <w:numPr>
          <w:ilvl w:val="0"/>
          <w:numId w:val="103"/>
        </w:numPr>
        <w:spacing w:after="80" w:line="312" w:lineRule="auto"/>
      </w:pPr>
      <w:r>
        <w:rPr>
          <w:rFonts w:ascii="Calibri" w:hAnsi="Calibri" w:cs="Calibri" w:eastAsia="PingFang SC"/>
          <w:color w:val="3D3A33"/>
          <w:sz w:val="22"/>
          <w:szCs w:val="22"/>
        </w:rPr>
        <w:t xml:space="preserve">Analyse alternative reference systems for defining a problem or appraising a proposal. Together, these two uses amount to dealing with multiple perspectives.</w:t>
      </w:r>
    </w:p>
    <w:p>
      <w:pPr>
        <w:numPr>
          <w:ilvl w:val="0"/>
          <w:numId w:val="103"/>
        </w:numPr>
        <w:spacing w:after="80" w:line="312" w:lineRule="auto"/>
      </w:pPr>
      <w:r>
        <w:rPr>
          <w:rFonts w:ascii="Calibri" w:hAnsi="Calibri" w:cs="Calibri" w:eastAsia="PingFang SC"/>
          <w:color w:val="3D3A33"/>
          <w:sz w:val="22"/>
          <w:szCs w:val="22"/>
        </w:rPr>
        <w:t xml:space="preserve">Challenge claims about knowledge, rationality or "improvement" that rest on hidden or taken-for-granted boundary judgements. This is emancipatory boundary critique.</w:t>
      </w:r>
    </w:p>
    <w:p>
      <w:pPr>
        <w:spacing w:before="240" w:after="80" w:line="312" w:lineRule="auto"/>
      </w:pPr>
      <w:r>
        <w:rPr>
          <w:rFonts w:ascii="Calibri" w:hAnsi="Calibri" w:cs="Calibri" w:eastAsia="PingFang SC"/>
          <w:b/>
          <w:color w:val="175244"/>
          <w:sz w:val="22"/>
          <w:szCs w:val="22"/>
        </w:rPr>
        <w:t xml:space="preserve">Where CSH fits and where it does not</w:t>
      </w:r>
    </w:p>
    <w:p>
      <w:pPr>
        <w:spacing w:before="0" w:after="160" w:line="312" w:lineRule="auto"/>
      </w:pPr>
      <w:r>
        <w:rPr>
          <w:rFonts w:ascii="Calibri" w:hAnsi="Calibri" w:cs="Calibri" w:eastAsia="PingFang SC"/>
          <w:color w:val="3D3A33"/>
          <w:sz w:val="22"/>
          <w:szCs w:val="22"/>
        </w:rPr>
        <w:t xml:space="preserve">A useful grid crosses system complexity (simple, complicated, complex) with stakeholder relationships (unitary, pluralist, coercive). CSH sits in the coercive row and the simple-to-complicated columns: in coercive settings it does better than SSM, because it explicitly brings in those who are affected but not involved and the power relations between the parties.</w:t>
      </w:r>
    </w:p>
    <w:p>
      <w:pPr>
        <w:spacing w:before="0" w:after="160" w:line="312" w:lineRule="auto"/>
      </w:pPr>
      <w:r>
        <w:rPr>
          <w:rFonts w:ascii="Calibri" w:hAnsi="Calibri" w:cs="Calibri" w:eastAsia="PingFang SC"/>
          <w:color w:val="3D3A33"/>
          <w:sz w:val="22"/>
          <w:szCs w:val="22"/>
        </w:rPr>
        <w:t xml:space="preserve">Strengths: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structures inquiry so that no relevant stakeholder is excluded - contextual sophistication - and every stakeholder group can be heard.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Consensus may emerge, but it is not required.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can foster mutual recognition, tolerance and cooperation.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coercive situations it is superior to SSM.</w:t>
      </w:r>
    </w:p>
    <w:p>
      <w:pPr>
        <w:spacing w:before="0" w:after="160" w:line="312" w:lineRule="auto"/>
      </w:pPr>
      <w:r>
        <w:rPr>
          <w:rFonts w:ascii="Calibri" w:hAnsi="Calibri" w:cs="Calibri" w:eastAsia="PingFang SC"/>
          <w:color w:val="3D3A33"/>
          <w:sz w:val="22"/>
          <w:szCs w:val="22"/>
        </w:rPr>
        <w:t xml:space="preserve">Limits: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does not say how to change worldviews (Weltanschauungen) or boundary judgements once they are exposed.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Inequality of power, wealth, status and influence distorts the process; where power differences are entrenched, some worldviews cannot be heard at all, and power asymmetry can slide into managerialism - the assumption that the manager knows best.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complex situations a pluralist approach is required: one technique is not enough. CSH alone is often insufficient.</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Two experts, one housing market</w:t>
      </w:r>
    </w:p>
    <w:p>
      <w:pPr>
        <w:spacing w:before="0" w:after="160" w:line="312" w:lineRule="auto"/>
      </w:pPr>
      <w:r>
        <w:rPr>
          <w:rFonts w:ascii="Calibri" w:hAnsi="Calibri" w:cs="Calibri" w:eastAsia="PingFang SC"/>
          <w:color w:val="3D3A33"/>
          <w:sz w:val="22"/>
          <w:szCs w:val="22"/>
        </w:rPr>
        <w:t xml:space="preserve">Expert A welcomes the "recovery" of the housing market, because it preserves asset values and supports financial stability. Expert B condemns the same recovery, because it makes buying a home harder. Neither is factually wrong: they work from different reference systems. Expert A's boundary includes the financial system but excludes would-be home buyers; Expert B's boundary includes would-be home buyers but excludes the financial system. The disagreement is a boundary judgement, not a measurement error, and it can only be resolved by making both boundaries explicit and arguing about them.</w:t>
      </w:r>
    </w:p>
    <w:p>
      <w:pPr>
        <w:spacing w:before="240" w:after="80" w:line="312" w:lineRule="auto"/>
      </w:pPr>
      <w:r>
        <w:rPr>
          <w:rFonts w:ascii="Calibri" w:hAnsi="Calibri" w:cs="Calibri" w:eastAsia="PingFang SC"/>
          <w:b/>
          <w:color w:val="175244"/>
          <w:sz w:val="22"/>
          <w:szCs w:val="22"/>
        </w:rPr>
        <w:t xml:space="preserve">Redesigning an engineering curriculum in South Africa</w:t>
      </w:r>
    </w:p>
    <w:p>
      <w:pPr>
        <w:spacing w:before="0" w:after="160" w:line="312" w:lineRule="auto"/>
      </w:pPr>
      <w:r>
        <w:rPr>
          <w:rFonts w:ascii="Calibri" w:hAnsi="Calibri" w:cs="Calibri" w:eastAsia="PingFang SC"/>
          <w:color w:val="3D3A33"/>
          <w:sz w:val="22"/>
          <w:szCs w:val="22"/>
        </w:rPr>
        <w:t xml:space="preserve">The goal was to make an engineering curriculum more holistic and more inclusive, because the consequences of engineering are far-reaching (social, political and environmental). The curriculum rests on science and mathematics, but engineers use those as tools inside problem situations, so the challenge was to fit a curriculum to a heuristics-based profession expected to carry social and environmental responsibility, while staying realistic about resources and learning time. Analysed in the 2 - 1 - 3 order:</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44"/>
        <w:gridCol w:w="1188"/>
        <w:gridCol w:w="3044"/>
        <w:gridCol w:w="4484"/>
      </w:tblGrid>
      <w:tr>
        <w:trPr>
          <w:tblHeader/>
        </w:trPr>
        <w:tc>
          <w:tcPr>
            <w:tcW w:w="644" w:type="dxa"/>
            <w:shd w:val="clear" w:color="auto" w:fill="EAE7DD"/>
          </w:tcPr>
          <w:p>
            <w:pPr>
              <w:spacing w:before="0" w:after="0" w:line="312" w:lineRule="auto"/>
            </w:pPr>
            <w:r>
              <w:rPr>
                <w:rFonts w:ascii="Calibri" w:hAnsi="Calibri" w:cs="Calibri" w:eastAsia="PingFang SC"/>
                <w:b/>
                <w:color w:val="3D3A33"/>
                <w:sz w:val="22"/>
                <w:szCs w:val="22"/>
              </w:rPr>
              <w:t xml:space="preserve">#</w:t>
            </w:r>
          </w:p>
        </w:tc>
        <w:tc>
          <w:tcPr>
            <w:tcW w:w="1188"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3044" w:type="dxa"/>
            <w:shd w:val="clear" w:color="auto" w:fill="EAE7DD"/>
          </w:tcPr>
          <w:p>
            <w:pPr>
              <w:spacing w:before="0" w:after="0" w:line="312" w:lineRule="auto"/>
            </w:pPr>
            <w:r>
              <w:rPr>
                <w:rFonts w:ascii="Calibri" w:hAnsi="Calibri" w:cs="Calibri" w:eastAsia="PingFang SC"/>
                <w:b/>
                <w:color w:val="3D3A33"/>
                <w:sz w:val="22"/>
                <w:szCs w:val="22"/>
              </w:rPr>
              <w:t xml:space="preserve">As is</w:t>
            </w:r>
          </w:p>
        </w:tc>
        <w:tc>
          <w:tcPr>
            <w:tcW w:w="4484" w:type="dxa"/>
            <w:shd w:val="clear" w:color="auto" w:fill="EAE7DD"/>
          </w:tcPr>
          <w:p>
            <w:pPr>
              <w:spacing w:before="0" w:after="0" w:line="312" w:lineRule="auto"/>
            </w:pPr>
            <w:r>
              <w:rPr>
                <w:rFonts w:ascii="Calibri" w:hAnsi="Calibri" w:cs="Calibri" w:eastAsia="PingFang SC"/>
                <w:b/>
                <w:color w:val="3D3A33"/>
                <w:sz w:val="22"/>
                <w:szCs w:val="22"/>
              </w:rPr>
              <w:t xml:space="preserve">Ought to be</w:t>
            </w:r>
          </w:p>
        </w:tc>
      </w:tr>
      <w:tr>
        <w:tc>
          <w:tcPr>
            <w:tcW w:w="644" w:type="dxa"/>
          </w:tcPr>
          <w:p>
            <w:pPr>
              <w:spacing w:before="0" w:after="0" w:line="312" w:lineRule="auto"/>
            </w:pPr>
            <w:r>
              <w:rPr>
                <w:rFonts w:ascii="Calibri" w:hAnsi="Calibri" w:cs="Calibri" w:eastAsia="PingFang SC"/>
                <w:color w:val="3D3A33"/>
                <w:sz w:val="22"/>
                <w:szCs w:val="22"/>
              </w:rPr>
              <w:t xml:space="preserve">2</w:t>
            </w:r>
          </w:p>
        </w:tc>
        <w:tc>
          <w:tcPr>
            <w:tcW w:w="1188" w:type="dxa"/>
          </w:tcPr>
          <w:p>
            <w:pPr>
              <w:spacing w:before="0" w:after="0" w:line="312" w:lineRule="auto"/>
            </w:pPr>
            <w:r>
              <w:rPr>
                <w:rFonts w:ascii="Calibri" w:hAnsi="Calibri" w:cs="Calibri" w:eastAsia="PingFang SC"/>
                <w:color w:val="3D3A33"/>
                <w:sz w:val="22"/>
                <w:szCs w:val="22"/>
              </w:rPr>
              <w:t xml:space="preserve">Purpose</w:t>
            </w:r>
          </w:p>
        </w:tc>
        <w:tc>
          <w:tcPr>
            <w:tcW w:w="3044" w:type="dxa"/>
          </w:tcPr>
          <w:p>
            <w:pPr>
              <w:spacing w:before="0" w:after="0" w:line="312" w:lineRule="auto"/>
            </w:pPr>
            <w:r>
              <w:rPr>
                <w:rFonts w:ascii="Calibri" w:hAnsi="Calibri" w:cs="Calibri" w:eastAsia="PingFang SC"/>
                <w:color w:val="3D3A33"/>
                <w:sz w:val="22"/>
                <w:szCs w:val="22"/>
              </w:rPr>
              <w:t xml:space="preserve">Produce an engineering technologist per Engineering Council standards</w:t>
            </w:r>
          </w:p>
        </w:tc>
        <w:tc>
          <w:tcPr>
            <w:tcW w:w="4484" w:type="dxa"/>
          </w:tcPr>
          <w:p>
            <w:pPr>
              <w:spacing w:before="0" w:after="0" w:line="312" w:lineRule="auto"/>
            </w:pPr>
            <w:r>
              <w:rPr>
                <w:rFonts w:ascii="Calibri" w:hAnsi="Calibri" w:cs="Calibri" w:eastAsia="PingFang SC"/>
                <w:color w:val="3D3A33"/>
                <w:sz w:val="22"/>
                <w:szCs w:val="22"/>
              </w:rPr>
              <w:t xml:space="preserve">Meet exit-level outcomes, societal relevance and development; educate and train students to work in a global community</w:t>
            </w:r>
          </w:p>
        </w:tc>
      </w:tr>
      <w:tr>
        <w:tc>
          <w:tcPr>
            <w:tcW w:w="644" w:type="dxa"/>
          </w:tcPr>
          <w:p>
            <w:pPr>
              <w:spacing w:before="0" w:after="0" w:line="312" w:lineRule="auto"/>
            </w:pPr>
            <w:r>
              <w:rPr>
                <w:rFonts w:ascii="Calibri" w:hAnsi="Calibri" w:cs="Calibri" w:eastAsia="PingFang SC"/>
                <w:color w:val="3D3A33"/>
                <w:sz w:val="22"/>
                <w:szCs w:val="22"/>
              </w:rPr>
              <w:t xml:space="preserve">1</w:t>
            </w:r>
          </w:p>
        </w:tc>
        <w:tc>
          <w:tcPr>
            <w:tcW w:w="1188" w:type="dxa"/>
          </w:tcPr>
          <w:p>
            <w:pPr>
              <w:spacing w:before="0" w:after="0" w:line="312" w:lineRule="auto"/>
            </w:pPr>
            <w:r>
              <w:rPr>
                <w:rFonts w:ascii="Calibri" w:hAnsi="Calibri" w:cs="Calibri" w:eastAsia="PingFang SC"/>
                <w:color w:val="3D3A33"/>
                <w:sz w:val="22"/>
                <w:szCs w:val="22"/>
              </w:rPr>
              <w:t xml:space="preserve">Beneficiary</w:t>
            </w:r>
          </w:p>
        </w:tc>
        <w:tc>
          <w:tcPr>
            <w:tcW w:w="3044" w:type="dxa"/>
          </w:tcPr>
          <w:p>
            <w:pPr>
              <w:spacing w:before="0" w:after="0" w:line="312" w:lineRule="auto"/>
            </w:pPr>
            <w:r>
              <w:rPr>
                <w:rFonts w:ascii="Calibri" w:hAnsi="Calibri" w:cs="Calibri" w:eastAsia="PingFang SC"/>
                <w:color w:val="3D3A33"/>
                <w:sz w:val="22"/>
                <w:szCs w:val="22"/>
              </w:rPr>
              <w:t xml:space="preserve">Industry, professional councils</w:t>
            </w:r>
          </w:p>
        </w:tc>
        <w:tc>
          <w:tcPr>
            <w:tcW w:w="4484" w:type="dxa"/>
          </w:tcPr>
          <w:p>
            <w:pPr>
              <w:spacing w:before="0" w:after="0" w:line="312" w:lineRule="auto"/>
            </w:pPr>
            <w:r>
              <w:rPr>
                <w:rFonts w:ascii="Calibri" w:hAnsi="Calibri" w:cs="Calibri" w:eastAsia="PingFang SC"/>
                <w:color w:val="3D3A33"/>
                <w:sz w:val="22"/>
                <w:szCs w:val="22"/>
              </w:rPr>
              <w:t xml:space="preserve">Students, future students, university, faculty, industry, local and global communities</w:t>
            </w:r>
          </w:p>
        </w:tc>
      </w:tr>
      <w:tr>
        <w:tc>
          <w:tcPr>
            <w:tcW w:w="644" w:type="dxa"/>
          </w:tcPr>
          <w:p>
            <w:pPr>
              <w:spacing w:before="0" w:after="0" w:line="312" w:lineRule="auto"/>
            </w:pPr>
            <w:r>
              <w:rPr>
                <w:rFonts w:ascii="Calibri" w:hAnsi="Calibri" w:cs="Calibri" w:eastAsia="PingFang SC"/>
                <w:color w:val="3D3A33"/>
                <w:sz w:val="22"/>
                <w:szCs w:val="22"/>
              </w:rPr>
              <w:t xml:space="preserve">3</w:t>
            </w:r>
          </w:p>
        </w:tc>
        <w:tc>
          <w:tcPr>
            <w:tcW w:w="1188" w:type="dxa"/>
          </w:tcPr>
          <w:p>
            <w:pPr>
              <w:spacing w:before="0" w:after="0" w:line="312" w:lineRule="auto"/>
            </w:pPr>
            <w:r>
              <w:rPr>
                <w:rFonts w:ascii="Calibri" w:hAnsi="Calibri" w:cs="Calibri" w:eastAsia="PingFang SC"/>
                <w:color w:val="3D3A33"/>
                <w:sz w:val="22"/>
                <w:szCs w:val="22"/>
              </w:rPr>
              <w:t xml:space="preserve">Measure of improvement</w:t>
            </w:r>
          </w:p>
        </w:tc>
        <w:tc>
          <w:tcPr>
            <w:tcW w:w="3044" w:type="dxa"/>
          </w:tcPr>
          <w:p>
            <w:pPr>
              <w:spacing w:before="0" w:after="0" w:line="312" w:lineRule="auto"/>
            </w:pPr>
            <w:r>
              <w:rPr>
                <w:rFonts w:ascii="Calibri" w:hAnsi="Calibri" w:cs="Calibri" w:eastAsia="PingFang SC"/>
                <w:color w:val="3D3A33"/>
                <w:sz w:val="22"/>
                <w:szCs w:val="22"/>
              </w:rPr>
              <w:t xml:space="preserve">Employability, professional accreditation</w:t>
            </w:r>
          </w:p>
        </w:tc>
        <w:tc>
          <w:tcPr>
            <w:tcW w:w="4484" w:type="dxa"/>
          </w:tcPr>
          <w:p>
            <w:pPr>
              <w:spacing w:before="0" w:after="0" w:line="312" w:lineRule="auto"/>
            </w:pPr>
            <w:r>
              <w:rPr>
                <w:rFonts w:ascii="Calibri" w:hAnsi="Calibri" w:cs="Calibri" w:eastAsia="PingFang SC"/>
                <w:color w:val="3D3A33"/>
                <w:sz w:val="22"/>
                <w:szCs w:val="22"/>
              </w:rPr>
              <w:t xml:space="preserve">Transformation of the student, technical competence with sustainability, exit-level-outcome attributes, employability, state of the art</w:t>
            </w:r>
          </w:p>
        </w:tc>
      </w:tr>
      <w:tr>
        <w:tc>
          <w:tcPr>
            <w:tcW w:w="644" w:type="dxa"/>
          </w:tcPr>
          <w:p>
            <w:pPr>
              <w:spacing w:before="0" w:after="0" w:line="312" w:lineRule="auto"/>
            </w:pPr>
            <w:r>
              <w:rPr>
                <w:rFonts w:ascii="Calibri" w:hAnsi="Calibri" w:cs="Calibri" w:eastAsia="PingFang SC"/>
                <w:color w:val="3D3A33"/>
                <w:sz w:val="22"/>
                <w:szCs w:val="22"/>
              </w:rPr>
              <w:t xml:space="preserve">5</w:t>
            </w:r>
          </w:p>
        </w:tc>
        <w:tc>
          <w:tcPr>
            <w:tcW w:w="1188" w:type="dxa"/>
          </w:tcPr>
          <w:p>
            <w:pPr>
              <w:spacing w:before="0" w:after="0" w:line="312" w:lineRule="auto"/>
            </w:pPr>
            <w:r>
              <w:rPr>
                <w:rFonts w:ascii="Calibri" w:hAnsi="Calibri" w:cs="Calibri" w:eastAsia="PingFang SC"/>
                <w:color w:val="3D3A33"/>
                <w:sz w:val="22"/>
                <w:szCs w:val="22"/>
              </w:rPr>
              <w:t xml:space="preserve">Resources</w:t>
            </w:r>
          </w:p>
        </w:tc>
        <w:tc>
          <w:tcPr>
            <w:tcW w:w="3044" w:type="dxa"/>
          </w:tcPr>
          <w:p>
            <w:pPr>
              <w:spacing w:before="0" w:after="0" w:line="312" w:lineRule="auto"/>
            </w:pPr>
            <w:r>
              <w:rPr>
                <w:rFonts w:ascii="Calibri" w:hAnsi="Calibri" w:cs="Calibri" w:eastAsia="PingFang SC"/>
                <w:color w:val="3D3A33"/>
                <w:sz w:val="22"/>
                <w:szCs w:val="22"/>
              </w:rPr>
              <w:t xml:space="preserve">Operating finance, quality of students, quality of lecturers</w:t>
            </w:r>
          </w:p>
        </w:tc>
        <w:tc>
          <w:tcPr>
            <w:tcW w:w="4484" w:type="dxa"/>
          </w:tcPr>
          <w:p>
            <w:pPr>
              <w:spacing w:before="0" w:after="0" w:line="312" w:lineRule="auto"/>
            </w:pPr>
            <w:r>
              <w:rPr>
                <w:rFonts w:ascii="Calibri" w:hAnsi="Calibri" w:cs="Calibri" w:eastAsia="PingFang SC"/>
                <w:color w:val="3D3A33"/>
                <w:sz w:val="22"/>
                <w:szCs w:val="22"/>
              </w:rPr>
              <w:t xml:space="preserve">The same, plus teaching and learning infrastructure</w:t>
            </w:r>
          </w:p>
        </w:tc>
      </w:tr>
      <w:tr>
        <w:tc>
          <w:tcPr>
            <w:tcW w:w="644" w:type="dxa"/>
          </w:tcPr>
          <w:p>
            <w:pPr>
              <w:spacing w:before="0" w:after="0" w:line="312" w:lineRule="auto"/>
            </w:pPr>
            <w:r>
              <w:rPr>
                <w:rFonts w:ascii="Calibri" w:hAnsi="Calibri" w:cs="Calibri" w:eastAsia="PingFang SC"/>
                <w:color w:val="3D3A33"/>
                <w:sz w:val="22"/>
                <w:szCs w:val="22"/>
              </w:rPr>
              <w:t xml:space="preserve">4</w:t>
            </w:r>
          </w:p>
        </w:tc>
        <w:tc>
          <w:tcPr>
            <w:tcW w:w="1188" w:type="dxa"/>
          </w:tcPr>
          <w:p>
            <w:pPr>
              <w:spacing w:before="0" w:after="0" w:line="312" w:lineRule="auto"/>
            </w:pPr>
            <w:r>
              <w:rPr>
                <w:rFonts w:ascii="Calibri" w:hAnsi="Calibri" w:cs="Calibri" w:eastAsia="PingFang SC"/>
                <w:color w:val="3D3A33"/>
                <w:sz w:val="22"/>
                <w:szCs w:val="22"/>
              </w:rPr>
              <w:t xml:space="preserve">Decision maker</w:t>
            </w:r>
          </w:p>
        </w:tc>
        <w:tc>
          <w:tcPr>
            <w:tcW w:w="3044" w:type="dxa"/>
          </w:tcPr>
          <w:p>
            <w:pPr>
              <w:spacing w:before="0" w:after="0" w:line="312" w:lineRule="auto"/>
            </w:pPr>
            <w:r>
              <w:rPr>
                <w:rFonts w:ascii="Calibri" w:hAnsi="Calibri" w:cs="Calibri" w:eastAsia="PingFang SC"/>
                <w:color w:val="3D3A33"/>
                <w:sz w:val="22"/>
                <w:szCs w:val="22"/>
              </w:rPr>
              <w:t xml:space="preserve">Professional body, university Senate, industry</w:t>
            </w:r>
          </w:p>
        </w:tc>
        <w:tc>
          <w:tcPr>
            <w:tcW w:w="4484" w:type="dxa"/>
          </w:tcPr>
          <w:p>
            <w:pPr>
              <w:spacing w:before="0" w:after="0" w:line="312" w:lineRule="auto"/>
            </w:pPr>
            <w:r>
              <w:rPr>
                <w:rFonts w:ascii="Calibri" w:hAnsi="Calibri" w:cs="Calibri" w:eastAsia="PingFang SC"/>
                <w:color w:val="3D3A33"/>
                <w:sz w:val="22"/>
                <w:szCs w:val="22"/>
              </w:rPr>
              <w:t xml:space="preserve">Professional body, faculty, students, other stakeholders such as industry and civil society</w:t>
            </w:r>
          </w:p>
        </w:tc>
      </w:tr>
      <w:tr>
        <w:tc>
          <w:tcPr>
            <w:tcW w:w="644" w:type="dxa"/>
          </w:tcPr>
          <w:p>
            <w:pPr>
              <w:spacing w:before="0" w:after="0" w:line="312" w:lineRule="auto"/>
            </w:pPr>
            <w:r>
              <w:rPr>
                <w:rFonts w:ascii="Calibri" w:hAnsi="Calibri" w:cs="Calibri" w:eastAsia="PingFang SC"/>
                <w:color w:val="3D3A33"/>
                <w:sz w:val="22"/>
                <w:szCs w:val="22"/>
              </w:rPr>
              <w:t xml:space="preserve">6</w:t>
            </w:r>
          </w:p>
        </w:tc>
        <w:tc>
          <w:tcPr>
            <w:tcW w:w="1188" w:type="dxa"/>
          </w:tcPr>
          <w:p>
            <w:pPr>
              <w:spacing w:before="0" w:after="0" w:line="312" w:lineRule="auto"/>
            </w:pPr>
            <w:r>
              <w:rPr>
                <w:rFonts w:ascii="Calibri" w:hAnsi="Calibri" w:cs="Calibri" w:eastAsia="PingFang SC"/>
                <w:color w:val="3D3A33"/>
                <w:sz w:val="22"/>
                <w:szCs w:val="22"/>
              </w:rPr>
              <w:t xml:space="preserve">Decision environment</w:t>
            </w:r>
          </w:p>
        </w:tc>
        <w:tc>
          <w:tcPr>
            <w:tcW w:w="3044" w:type="dxa"/>
          </w:tcPr>
          <w:p>
            <w:pPr>
              <w:spacing w:before="0" w:after="0" w:line="312" w:lineRule="auto"/>
            </w:pPr>
            <w:r>
              <w:rPr>
                <w:rFonts w:ascii="Calibri" w:hAnsi="Calibri" w:cs="Calibri" w:eastAsia="PingFang SC"/>
                <w:color w:val="3D3A33"/>
                <w:sz w:val="22"/>
                <w:szCs w:val="22"/>
              </w:rPr>
              <w:t xml:space="preserve">Professional council and university</w:t>
            </w:r>
          </w:p>
        </w:tc>
        <w:tc>
          <w:tcPr>
            <w:tcW w:w="4484" w:type="dxa"/>
          </w:tcPr>
          <w:p>
            <w:pPr>
              <w:spacing w:before="0" w:after="0" w:line="312" w:lineRule="auto"/>
            </w:pPr>
            <w:r>
              <w:rPr>
                <w:rFonts w:ascii="Calibri" w:hAnsi="Calibri" w:cs="Calibri" w:eastAsia="PingFang SC"/>
                <w:color w:val="3D3A33"/>
                <w:sz w:val="22"/>
                <w:szCs w:val="22"/>
              </w:rPr>
              <w:t xml:space="preserve">All with a vested interest in engineering practice and industry; recipients of engineering solutions</w:t>
            </w:r>
          </w:p>
        </w:tc>
      </w:tr>
      <w:tr>
        <w:tc>
          <w:tcPr>
            <w:tcW w:w="644" w:type="dxa"/>
          </w:tcPr>
          <w:p>
            <w:pPr>
              <w:spacing w:before="0" w:after="0" w:line="312" w:lineRule="auto"/>
            </w:pPr>
            <w:r>
              <w:rPr>
                <w:rFonts w:ascii="Calibri" w:hAnsi="Calibri" w:cs="Calibri" w:eastAsia="PingFang SC"/>
                <w:color w:val="3D3A33"/>
                <w:sz w:val="22"/>
                <w:szCs w:val="22"/>
              </w:rPr>
              <w:t xml:space="preserve">8</w:t>
            </w:r>
          </w:p>
        </w:tc>
        <w:tc>
          <w:tcPr>
            <w:tcW w:w="1188" w:type="dxa"/>
          </w:tcPr>
          <w:p>
            <w:pPr>
              <w:spacing w:before="0" w:after="0" w:line="312" w:lineRule="auto"/>
            </w:pPr>
            <w:r>
              <w:rPr>
                <w:rFonts w:ascii="Calibri" w:hAnsi="Calibri" w:cs="Calibri" w:eastAsia="PingFang SC"/>
                <w:color w:val="3D3A33"/>
                <w:sz w:val="22"/>
                <w:szCs w:val="22"/>
              </w:rPr>
              <w:t xml:space="preserve">Expertise</w:t>
            </w:r>
          </w:p>
        </w:tc>
        <w:tc>
          <w:tcPr>
            <w:tcW w:w="3044" w:type="dxa"/>
          </w:tcPr>
          <w:p>
            <w:pPr>
              <w:spacing w:before="0" w:after="0" w:line="312" w:lineRule="auto"/>
            </w:pPr>
            <w:r>
              <w:rPr>
                <w:rFonts w:ascii="Calibri" w:hAnsi="Calibri" w:cs="Calibri" w:eastAsia="PingFang SC"/>
                <w:color w:val="3D3A33"/>
                <w:sz w:val="22"/>
                <w:szCs w:val="22"/>
              </w:rPr>
              <w:t xml:space="preserve">Professional council, engineering faculty</w:t>
            </w:r>
          </w:p>
        </w:tc>
        <w:tc>
          <w:tcPr>
            <w:tcW w:w="4484" w:type="dxa"/>
          </w:tcPr>
          <w:p>
            <w:pPr>
              <w:spacing w:before="0" w:after="0" w:line="312" w:lineRule="auto"/>
            </w:pPr>
            <w:r>
              <w:rPr>
                <w:rFonts w:ascii="Calibri" w:hAnsi="Calibri" w:cs="Calibri" w:eastAsia="PingFang SC"/>
                <w:color w:val="3D3A33"/>
                <w:sz w:val="22"/>
                <w:szCs w:val="22"/>
              </w:rPr>
              <w:t xml:space="preserve">The same, plus other faculty, other professions, cultural diversity</w:t>
            </w:r>
          </w:p>
        </w:tc>
      </w:tr>
      <w:tr>
        <w:tc>
          <w:tcPr>
            <w:tcW w:w="644" w:type="dxa"/>
          </w:tcPr>
          <w:p>
            <w:pPr>
              <w:spacing w:before="0" w:after="0" w:line="312" w:lineRule="auto"/>
            </w:pPr>
            <w:r>
              <w:rPr>
                <w:rFonts w:ascii="Calibri" w:hAnsi="Calibri" w:cs="Calibri" w:eastAsia="PingFang SC"/>
                <w:color w:val="3D3A33"/>
                <w:sz w:val="22"/>
                <w:szCs w:val="22"/>
              </w:rPr>
              <w:t xml:space="preserve">7</w:t>
            </w:r>
          </w:p>
        </w:tc>
        <w:tc>
          <w:tcPr>
            <w:tcW w:w="1188" w:type="dxa"/>
          </w:tcPr>
          <w:p>
            <w:pPr>
              <w:spacing w:before="0" w:after="0" w:line="312" w:lineRule="auto"/>
            </w:pPr>
            <w:r>
              <w:rPr>
                <w:rFonts w:ascii="Calibri" w:hAnsi="Calibri" w:cs="Calibri" w:eastAsia="PingFang SC"/>
                <w:color w:val="3D3A33"/>
                <w:sz w:val="22"/>
                <w:szCs w:val="22"/>
              </w:rPr>
              <w:t xml:space="preserve">Expert</w:t>
            </w:r>
          </w:p>
        </w:tc>
        <w:tc>
          <w:tcPr>
            <w:tcW w:w="3044" w:type="dxa"/>
          </w:tcPr>
          <w:p>
            <w:pPr>
              <w:spacing w:before="0" w:after="0" w:line="312" w:lineRule="auto"/>
            </w:pPr>
            <w:r>
              <w:rPr>
                <w:rFonts w:ascii="Calibri" w:hAnsi="Calibri" w:cs="Calibri" w:eastAsia="PingFang SC"/>
                <w:color w:val="3D3A33"/>
                <w:sz w:val="22"/>
                <w:szCs w:val="22"/>
              </w:rPr>
              <w:t xml:space="preserve">Professional council and faculty</w:t>
            </w:r>
          </w:p>
        </w:tc>
        <w:tc>
          <w:tcPr>
            <w:tcW w:w="4484" w:type="dxa"/>
          </w:tcPr>
          <w:p>
            <w:pPr>
              <w:spacing w:before="0" w:after="0" w:line="312" w:lineRule="auto"/>
            </w:pPr>
            <w:r>
              <w:rPr>
                <w:rFonts w:ascii="Calibri" w:hAnsi="Calibri" w:cs="Calibri" w:eastAsia="PingFang SC"/>
                <w:color w:val="3D3A33"/>
                <w:sz w:val="22"/>
                <w:szCs w:val="22"/>
              </w:rPr>
              <w:t xml:space="preserve">Professional council, faculty, cognate and other faculty, education specialist</w:t>
            </w:r>
          </w:p>
        </w:tc>
      </w:tr>
      <w:tr>
        <w:tc>
          <w:tcPr>
            <w:tcW w:w="644" w:type="dxa"/>
          </w:tcPr>
          <w:p>
            <w:pPr>
              <w:spacing w:before="0" w:after="0" w:line="312" w:lineRule="auto"/>
            </w:pPr>
            <w:r>
              <w:rPr>
                <w:rFonts w:ascii="Calibri" w:hAnsi="Calibri" w:cs="Calibri" w:eastAsia="PingFang SC"/>
                <w:color w:val="3D3A33"/>
                <w:sz w:val="22"/>
                <w:szCs w:val="22"/>
              </w:rPr>
              <w:t xml:space="preserve">9</w:t>
            </w:r>
          </w:p>
        </w:tc>
        <w:tc>
          <w:tcPr>
            <w:tcW w:w="1188" w:type="dxa"/>
          </w:tcPr>
          <w:p>
            <w:pPr>
              <w:spacing w:before="0" w:after="0" w:line="312" w:lineRule="auto"/>
            </w:pPr>
            <w:r>
              <w:rPr>
                <w:rFonts w:ascii="Calibri" w:hAnsi="Calibri" w:cs="Calibri" w:eastAsia="PingFang SC"/>
                <w:color w:val="3D3A33"/>
                <w:sz w:val="22"/>
                <w:szCs w:val="22"/>
              </w:rPr>
              <w:t xml:space="preserve">Guarantor</w:t>
            </w:r>
          </w:p>
        </w:tc>
        <w:tc>
          <w:tcPr>
            <w:tcW w:w="3044" w:type="dxa"/>
          </w:tcPr>
          <w:p>
            <w:pPr>
              <w:spacing w:before="0" w:after="0" w:line="312" w:lineRule="auto"/>
            </w:pPr>
            <w:r>
              <w:rPr>
                <w:rFonts w:ascii="Calibri" w:hAnsi="Calibri" w:cs="Calibri" w:eastAsia="PingFang SC"/>
                <w:color w:val="3D3A33"/>
                <w:sz w:val="22"/>
                <w:szCs w:val="22"/>
              </w:rPr>
              <w:t xml:space="preserve">Faculty and university, accreditation body</w:t>
            </w:r>
          </w:p>
        </w:tc>
        <w:tc>
          <w:tcPr>
            <w:tcW w:w="4484" w:type="dxa"/>
          </w:tcPr>
          <w:p>
            <w:pPr>
              <w:spacing w:before="0" w:after="0" w:line="312" w:lineRule="auto"/>
            </w:pPr>
            <w:r>
              <w:rPr>
                <w:rFonts w:ascii="Calibri" w:hAnsi="Calibri" w:cs="Calibri" w:eastAsia="PingFang SC"/>
                <w:color w:val="3D3A33"/>
                <w:sz w:val="22"/>
                <w:szCs w:val="22"/>
              </w:rPr>
              <w:t xml:space="preserve">The same (unchanged)</w:t>
            </w:r>
          </w:p>
        </w:tc>
      </w:tr>
      <w:tr>
        <w:tc>
          <w:tcPr>
            <w:tcW w:w="644" w:type="dxa"/>
          </w:tcPr>
          <w:p>
            <w:pPr>
              <w:spacing w:before="0" w:after="0" w:line="312" w:lineRule="auto"/>
            </w:pPr>
            <w:r>
              <w:rPr>
                <w:rFonts w:ascii="Calibri" w:hAnsi="Calibri" w:cs="Calibri" w:eastAsia="PingFang SC"/>
                <w:color w:val="3D3A33"/>
                <w:sz w:val="22"/>
                <w:szCs w:val="22"/>
              </w:rPr>
              <w:t xml:space="preserve">11</w:t>
            </w:r>
          </w:p>
        </w:tc>
        <w:tc>
          <w:tcPr>
            <w:tcW w:w="1188" w:type="dxa"/>
          </w:tcPr>
          <w:p>
            <w:pPr>
              <w:spacing w:before="0" w:after="0" w:line="312" w:lineRule="auto"/>
            </w:pPr>
            <w:r>
              <w:rPr>
                <w:rFonts w:ascii="Calibri" w:hAnsi="Calibri" w:cs="Calibri" w:eastAsia="PingFang SC"/>
                <w:color w:val="3D3A33"/>
                <w:sz w:val="22"/>
                <w:szCs w:val="22"/>
              </w:rPr>
              <w:t xml:space="preserve">Emancipation</w:t>
            </w:r>
          </w:p>
        </w:tc>
        <w:tc>
          <w:tcPr>
            <w:tcW w:w="3044" w:type="dxa"/>
          </w:tcPr>
          <w:p>
            <w:pPr>
              <w:spacing w:before="0" w:after="0" w:line="312" w:lineRule="auto"/>
            </w:pPr>
            <w:r>
              <w:rPr>
                <w:rFonts w:ascii="Calibri" w:hAnsi="Calibri" w:cs="Calibri" w:eastAsia="PingFang SC"/>
                <w:color w:val="3D3A33"/>
                <w:sz w:val="22"/>
                <w:szCs w:val="22"/>
              </w:rPr>
              <w:t xml:space="preserve">Very little or none</w:t>
            </w:r>
          </w:p>
        </w:tc>
        <w:tc>
          <w:tcPr>
            <w:tcW w:w="4484" w:type="dxa"/>
          </w:tcPr>
          <w:p>
            <w:pPr>
              <w:spacing w:before="0" w:after="0" w:line="312" w:lineRule="auto"/>
            </w:pPr>
            <w:r>
              <w:rPr>
                <w:rFonts w:ascii="Calibri" w:hAnsi="Calibri" w:cs="Calibri" w:eastAsia="PingFang SC"/>
                <w:color w:val="3D3A33"/>
                <w:sz w:val="22"/>
                <w:szCs w:val="22"/>
              </w:rPr>
              <w:t xml:space="preserve">Curriculum open to criticism by a range of stakeholders; pedagogies cater for diversity; full realisation of students' and faculty's intellectual potential</w:t>
            </w:r>
          </w:p>
        </w:tc>
      </w:tr>
      <w:tr>
        <w:tc>
          <w:tcPr>
            <w:tcW w:w="644" w:type="dxa"/>
          </w:tcPr>
          <w:p>
            <w:pPr>
              <w:spacing w:before="0" w:after="0" w:line="312" w:lineRule="auto"/>
            </w:pPr>
            <w:r>
              <w:rPr>
                <w:rFonts w:ascii="Calibri" w:hAnsi="Calibri" w:cs="Calibri" w:eastAsia="PingFang SC"/>
                <w:color w:val="3D3A33"/>
                <w:sz w:val="22"/>
                <w:szCs w:val="22"/>
              </w:rPr>
              <w:t xml:space="preserve">10</w:t>
            </w:r>
          </w:p>
        </w:tc>
        <w:tc>
          <w:tcPr>
            <w:tcW w:w="1188" w:type="dxa"/>
          </w:tcPr>
          <w:p>
            <w:pPr>
              <w:spacing w:before="0" w:after="0" w:line="312" w:lineRule="auto"/>
            </w:pPr>
            <w:r>
              <w:rPr>
                <w:rFonts w:ascii="Calibri" w:hAnsi="Calibri" w:cs="Calibri" w:eastAsia="PingFang SC"/>
                <w:color w:val="3D3A33"/>
                <w:sz w:val="22"/>
                <w:szCs w:val="22"/>
              </w:rPr>
              <w:t xml:space="preserve">Witnesses</w:t>
            </w:r>
          </w:p>
        </w:tc>
        <w:tc>
          <w:tcPr>
            <w:tcW w:w="3044" w:type="dxa"/>
          </w:tcPr>
          <w:p>
            <w:pPr>
              <w:spacing w:before="0" w:after="0" w:line="312" w:lineRule="auto"/>
            </w:pPr>
            <w:r>
              <w:rPr>
                <w:rFonts w:ascii="Calibri" w:hAnsi="Calibri" w:cs="Calibri" w:eastAsia="PingFang SC"/>
                <w:color w:val="3D3A33"/>
                <w:sz w:val="22"/>
                <w:szCs w:val="22"/>
              </w:rPr>
              <w:t xml:space="preserve">Little attention except ensuring a consistent graduate standard</w:t>
            </w:r>
          </w:p>
        </w:tc>
        <w:tc>
          <w:tcPr>
            <w:tcW w:w="4484" w:type="dxa"/>
          </w:tcPr>
          <w:p>
            <w:pPr>
              <w:spacing w:before="0" w:after="0" w:line="312" w:lineRule="auto"/>
            </w:pPr>
            <w:r>
              <w:rPr>
                <w:rFonts w:ascii="Calibri" w:hAnsi="Calibri" w:cs="Calibri" w:eastAsia="PingFang SC"/>
                <w:color w:val="3D3A33"/>
                <w:sz w:val="22"/>
                <w:szCs w:val="22"/>
              </w:rPr>
              <w:t xml:space="preserve">Collective stakeholders including civil society via agencies, faculty, students, university, professional councils, industry, benchmarking and government agencies</w:t>
            </w:r>
          </w:p>
        </w:tc>
      </w:tr>
      <w:tr>
        <w:tc>
          <w:tcPr>
            <w:tcW w:w="644" w:type="dxa"/>
          </w:tcPr>
          <w:p>
            <w:pPr>
              <w:spacing w:before="0" w:after="0" w:line="312" w:lineRule="auto"/>
            </w:pPr>
            <w:r>
              <w:rPr>
                <w:rFonts w:ascii="Calibri" w:hAnsi="Calibri" w:cs="Calibri" w:eastAsia="PingFang SC"/>
                <w:color w:val="3D3A33"/>
                <w:sz w:val="22"/>
                <w:szCs w:val="22"/>
              </w:rPr>
              <w:t xml:space="preserve">12</w:t>
            </w:r>
          </w:p>
        </w:tc>
        <w:tc>
          <w:tcPr>
            <w:tcW w:w="1188" w:type="dxa"/>
          </w:tcPr>
          <w:p>
            <w:pPr>
              <w:spacing w:before="0" w:after="0" w:line="312" w:lineRule="auto"/>
            </w:pPr>
            <w:r>
              <w:rPr>
                <w:rFonts w:ascii="Calibri" w:hAnsi="Calibri" w:cs="Calibri" w:eastAsia="PingFang SC"/>
                <w:color w:val="3D3A33"/>
                <w:sz w:val="22"/>
                <w:szCs w:val="22"/>
              </w:rPr>
              <w:t xml:space="preserve">Worldview</w:t>
            </w:r>
          </w:p>
        </w:tc>
        <w:tc>
          <w:tcPr>
            <w:tcW w:w="3044" w:type="dxa"/>
          </w:tcPr>
          <w:p>
            <w:pPr>
              <w:spacing w:before="0" w:after="0" w:line="312" w:lineRule="auto"/>
            </w:pPr>
            <w:r>
              <w:rPr>
                <w:rFonts w:ascii="Calibri" w:hAnsi="Calibri" w:cs="Calibri" w:eastAsia="PingFang SC"/>
                <w:color w:val="3D3A33"/>
                <w:sz w:val="22"/>
                <w:szCs w:val="22"/>
              </w:rPr>
              <w:t xml:space="preserve">Technocratic and imperialist</w:t>
            </w:r>
          </w:p>
        </w:tc>
        <w:tc>
          <w:tcPr>
            <w:tcW w:w="4484" w:type="dxa"/>
          </w:tcPr>
          <w:p>
            <w:pPr>
              <w:spacing w:before="0" w:after="0" w:line="312" w:lineRule="auto"/>
            </w:pPr>
            <w:r>
              <w:rPr>
                <w:rFonts w:ascii="Calibri" w:hAnsi="Calibri" w:cs="Calibri" w:eastAsia="PingFang SC"/>
                <w:color w:val="3D3A33"/>
                <w:sz w:val="22"/>
                <w:szCs w:val="22"/>
              </w:rPr>
              <w:t xml:space="preserve">Societal relevance, transformation of society via technology, amelioration of problem situations, systemic practice</w:t>
            </w:r>
          </w:p>
        </w:tc>
      </w:tr>
    </w:tbl>
    <w:p>
      <w:pPr>
        <w:spacing w:before="0" w:after="160" w:line="312" w:lineRule="auto"/>
      </w:pPr>
      <w:r>
        <w:rPr>
          <w:rFonts w:ascii="Calibri" w:hAnsi="Calibri" w:cs="Calibri" w:eastAsia="PingFang SC"/>
          <w:color w:val="3D3A33"/>
          <w:sz w:val="22"/>
          <w:szCs w:val="22"/>
        </w:rPr>
        <w:t xml:space="preserve">The pattern in the "ought to be" column is the point of the exercise: the boundary expands (more beneficiaries, more decision makers, more experts, more witnesses), and the worldview shifts from technocratic to societal. That is what boundary critique produces - not a better measurement, but a wider and more defensible reference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