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PMGT1852 Week 01</w:t>
      </w:r>
    </w:p>
    <w:p>
      <w:pPr>
        <w:spacing w:before="240" w:after="80" w:line="312" w:lineRule="auto"/>
      </w:pPr>
      <w:r>
        <w:rPr>
          <w:rFonts w:ascii="Calibri" w:hAnsi="Calibri" w:cs="Calibri" w:eastAsia="PingFang SC"/>
          <w:b/>
          <w:color w:val="33302A"/>
          <w:sz w:val="32"/>
          <w:szCs w:val="32"/>
        </w:rPr>
        <w:t xml:space="preserve">PMGT1852 Week 01 - Who and What Is a Stakeholder and the Stakeholder Analysis Process</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This opening week builds the vocabulary of stakeholder management and shows why it is, in the course's own words, "easy to understand, difficult to master":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a stakeholder is: who and what counts.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difference between stakeholder management and stakeholder engagement.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 concepts used for stakeholder identification, including essential project characteristics.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stakeholder analysis process: identification, assessment, prioritisation and engagement.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 life cycle versus investment life cycle, and how the stakeholder community changes across both.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disaggregation: roles, contributions, aims and approach.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classic analyses of stakeholders: Freeman's model (1984) and Eskerod and Jepsen (2013).</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Why projects fail when stakeholders are handled badly.</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Stakeholder: who and what counts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stakeholder</w:t>
      </w:r>
      <w:r>
        <w:rPr>
          <w:rFonts w:ascii="Calibri" w:hAnsi="Calibri" w:cs="Calibri" w:eastAsia="PingFang SC"/>
          <w:color w:val="3D3A33"/>
          <w:sz w:val="22"/>
          <w:szCs w:val="22"/>
        </w:rPr>
        <w:t xml:space="preserve"> is any group or individual who can affect the project, or who is affected by its achievement (Freeman, 1984). The definition works in both directions: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Can affect</w:t>
      </w:r>
      <w:r>
        <w:rPr>
          <w:rFonts w:ascii="Calibri" w:hAnsi="Calibri" w:cs="Calibri" w:eastAsia="PingFang SC"/>
          <w:color w:val="3D3A33"/>
          <w:sz w:val="22"/>
          <w:szCs w:val="22"/>
        </w:rPr>
        <w:t xml:space="preserve"> the project: people with power, authority, expertise, money or influence over approvals.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Is affected</w:t>
      </w:r>
      <w:r>
        <w:rPr>
          <w:rFonts w:ascii="Calibri" w:hAnsi="Calibri" w:cs="Calibri" w:eastAsia="PingFang SC"/>
          <w:color w:val="3D3A33"/>
          <w:sz w:val="22"/>
          <w:szCs w:val="22"/>
        </w:rPr>
        <w:t xml:space="preserve"> by the project: people who live with its consequences, whether or not they have any say.</w:t>
      </w:r>
    </w:p>
    <w:p>
      <w:pPr>
        <w:spacing w:before="0" w:after="160" w:line="312" w:lineRule="auto"/>
      </w:pPr>
      <w:r>
        <w:rPr>
          <w:rFonts w:ascii="Calibri" w:hAnsi="Calibri" w:cs="Calibri" w:eastAsia="PingFang SC"/>
          <w:color w:val="3D3A33"/>
          <w:sz w:val="22"/>
          <w:szCs w:val="22"/>
        </w:rPr>
        <w:t xml:space="preserve">Stakeholders include internal parties (the sponsor, the project team, other departments) and external parties (customers, regulators, suppliers, communities, the public). The core question of the week is therefore not "who is on the org chart" but "who can change this project, and who will live with what this project does".</w:t>
      </w:r>
    </w:p>
    <w:p>
      <w:pPr>
        <w:spacing w:before="240" w:after="80" w:line="312" w:lineRule="auto"/>
      </w:pPr>
      <w:r>
        <w:rPr>
          <w:rFonts w:ascii="Calibri" w:hAnsi="Calibri" w:cs="Calibri" w:eastAsia="PingFang SC"/>
          <w:b/>
          <w:color w:val="175244"/>
          <w:sz w:val="22"/>
          <w:szCs w:val="22"/>
        </w:rPr>
        <w:t xml:space="preserve">Stakeholder management versus stakeholder engagement</w:t>
      </w:r>
    </w:p>
    <w:p>
      <w:pPr>
        <w:spacing w:before="0" w:after="160" w:line="312" w:lineRule="auto"/>
      </w:pPr>
      <w:r>
        <w:rPr>
          <w:rFonts w:ascii="Calibri" w:hAnsi="Calibri" w:cs="Calibri" w:eastAsia="PingFang SC"/>
          <w:color w:val="3D3A33"/>
          <w:sz w:val="22"/>
          <w:szCs w:val="22"/>
        </w:rPr>
        <w:t xml:space="preserve">These are deliberately different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Stakeholder management</w:t>
      </w:r>
      <w:r>
        <w:rPr>
          <w:rFonts w:ascii="Calibri" w:hAnsi="Calibri" w:cs="Calibri" w:eastAsia="PingFang SC"/>
          <w:color w:val="3D3A33"/>
          <w:sz w:val="22"/>
          <w:szCs w:val="22"/>
        </w:rPr>
        <w:t xml:space="preserve"> is the planning and controlling side: identify stakeholders, analyse their expectations and influence, prioritise them, and direct the relationships so the project can deliver. The project steers the interaction.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Stakeholder engagement</w:t>
      </w:r>
      <w:r>
        <w:rPr>
          <w:rFonts w:ascii="Calibri" w:hAnsi="Calibri" w:cs="Calibri" w:eastAsia="PingFang SC"/>
          <w:color w:val="3D3A33"/>
          <w:sz w:val="22"/>
          <w:szCs w:val="22"/>
        </w:rPr>
        <w:t xml:space="preserve"> is the two-way relationship side: listen, involve and enter into dialogue, so that stakeholder input actually shapes decisions and stakeholders develop ownership of the result. The project and the stakeholders steer together.</w:t>
      </w:r>
    </w:p>
    <w:p>
      <w:pPr>
        <w:spacing w:before="0" w:after="160" w:line="312" w:lineRule="auto"/>
      </w:pPr>
      <w:r>
        <w:rPr>
          <w:rFonts w:ascii="Calibri" w:hAnsi="Calibri" w:cs="Calibri" w:eastAsia="PingFang SC"/>
          <w:color w:val="3D3A33"/>
          <w:sz w:val="22"/>
          <w:szCs w:val="22"/>
        </w:rPr>
        <w:t xml:space="preserve">Management without engagement treats people as constraints to be controlled, and resistance follows. Engagement without management is warm but unfocused. The unit trains both.</w:t>
      </w:r>
    </w:p>
    <w:p>
      <w:pPr>
        <w:spacing w:before="240" w:after="80" w:line="312" w:lineRule="auto"/>
      </w:pPr>
      <w:r>
        <w:rPr>
          <w:rFonts w:ascii="Calibri" w:hAnsi="Calibri" w:cs="Calibri" w:eastAsia="PingFang SC"/>
          <w:b/>
          <w:color w:val="175244"/>
          <w:sz w:val="22"/>
          <w:szCs w:val="22"/>
        </w:rPr>
        <w:t xml:space="preserve">Stakeholder disaggregation: roles, contributions, aims and approach</w:t>
      </w:r>
    </w:p>
    <w:p>
      <w:pPr>
        <w:spacing w:before="0" w:after="160" w:line="312" w:lineRule="auto"/>
      </w:pPr>
      <w:r>
        <w:rPr>
          <w:rFonts w:ascii="Calibri" w:hAnsi="Calibri" w:cs="Calibri" w:eastAsia="PingFang SC"/>
          <w:color w:val="3D3A33"/>
          <w:sz w:val="22"/>
          <w:szCs w:val="22"/>
        </w:rPr>
        <w:t xml:space="preserve">A stakeholder label such as "the community", "the government" or "students" aggregates very different people. </w:t>
      </w:r>
      <w:r>
        <w:rPr>
          <w:rFonts w:ascii="Calibri" w:hAnsi="Calibri" w:cs="Calibri" w:eastAsia="PingFang SC"/>
          <w:b/>
          <w:color w:val="3D3A33"/>
          <w:sz w:val="22"/>
          <w:szCs w:val="22"/>
        </w:rPr>
        <w:t xml:space="preserve">Disaggregation</w:t>
      </w:r>
      <w:r>
        <w:rPr>
          <w:rFonts w:ascii="Calibri" w:hAnsi="Calibri" w:cs="Calibri" w:eastAsia="PingFang SC"/>
          <w:color w:val="3D3A33"/>
          <w:sz w:val="22"/>
          <w:szCs w:val="22"/>
        </w:rPr>
        <w:t xml:space="preserve"> means splitting such aggregated entries into distinct groups before analysing them, because roles and contributions differ inside every label. For each disaggregated stakeholder, examine: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Roles</w:t>
      </w:r>
      <w:r>
        <w:rPr>
          <w:rFonts w:ascii="Calibri" w:hAnsi="Calibri" w:cs="Calibri" w:eastAsia="PingFang SC"/>
          <w:color w:val="3D3A33"/>
          <w:sz w:val="22"/>
          <w:szCs w:val="22"/>
        </w:rPr>
        <w:t xml:space="preserve">: what part the stakeholder plays in relation to the project (regulator, funder, user, affected neighbour).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Contributions</w:t>
      </w:r>
      <w:r>
        <w:rPr>
          <w:rFonts w:ascii="Calibri" w:hAnsi="Calibri" w:cs="Calibri" w:eastAsia="PingFang SC"/>
          <w:color w:val="3D3A33"/>
          <w:sz w:val="22"/>
          <w:szCs w:val="22"/>
        </w:rPr>
        <w:t xml:space="preserve">: what the stakeholder brings or controls that the project needs (money, approvals, information, legitimacy, labour, access).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Aims and approach</w:t>
      </w:r>
      <w:r>
        <w:rPr>
          <w:rFonts w:ascii="Calibri" w:hAnsi="Calibri" w:cs="Calibri" w:eastAsia="PingFang SC"/>
          <w:color w:val="3D3A33"/>
          <w:sz w:val="22"/>
          <w:szCs w:val="22"/>
        </w:rPr>
        <w:t xml:space="preserve">: what the stakeholder wants to happen, and how they tend to pursue it.</w:t>
      </w:r>
    </w:p>
    <w:p>
      <w:pPr>
        <w:spacing w:before="0" w:after="160" w:line="312" w:lineRule="auto"/>
      </w:pPr>
      <w:r>
        <w:rPr>
          <w:rFonts w:ascii="Calibri" w:hAnsi="Calibri" w:cs="Calibri" w:eastAsia="PingFang SC"/>
          <w:color w:val="3D3A33"/>
          <w:sz w:val="22"/>
          <w:szCs w:val="22"/>
        </w:rPr>
        <w:t xml:space="preserve">Aggregated analysis distorts everything downstream: a group recorded as one entry will hide the fact that some members approve, some deliver and some merely suffer the consequences.</w:t>
      </w:r>
    </w:p>
    <w:p>
      <w:pPr>
        <w:spacing w:before="240" w:after="80" w:line="312" w:lineRule="auto"/>
      </w:pPr>
      <w:r>
        <w:rPr>
          <w:rFonts w:ascii="Calibri" w:hAnsi="Calibri" w:cs="Calibri" w:eastAsia="PingFang SC"/>
          <w:b/>
          <w:color w:val="175244"/>
          <w:sz w:val="22"/>
          <w:szCs w:val="22"/>
        </w:rPr>
        <w:t xml:space="preserve">Project life cycle and investment life cycle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project life cycle</w:t>
      </w:r>
      <w:r>
        <w:rPr>
          <w:rFonts w:ascii="Calibri" w:hAnsi="Calibri" w:cs="Calibri" w:eastAsia="PingFang SC"/>
          <w:color w:val="3D3A33"/>
          <w:sz w:val="22"/>
          <w:szCs w:val="22"/>
        </w:rPr>
        <w:t xml:space="preserve"> runs from initiation through planning and execution to closure: the phases of delivering the project's outputs.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investment life cycle</w:t>
      </w:r>
      <w:r>
        <w:rPr>
          <w:rFonts w:ascii="Calibri" w:hAnsi="Calibri" w:cs="Calibri" w:eastAsia="PingFang SC"/>
          <w:color w:val="3D3A33"/>
          <w:sz w:val="22"/>
          <w:szCs w:val="22"/>
        </w:rPr>
        <w:t xml:space="preserve"> is longer: it runs from the original investment decision and business need, through delivery, to benefits realisation and the eventual renewal or disposal of the asset.</w:t>
      </w:r>
    </w:p>
    <w:p>
      <w:pPr>
        <w:spacing w:before="0" w:after="160" w:line="312" w:lineRule="auto"/>
      </w:pPr>
      <w:r>
        <w:rPr>
          <w:rFonts w:ascii="Calibri" w:hAnsi="Calibri" w:cs="Calibri" w:eastAsia="PingFang SC"/>
          <w:color w:val="3D3A33"/>
          <w:sz w:val="22"/>
          <w:szCs w:val="22"/>
        </w:rPr>
        <w:t xml:space="preserve">The two views are not interchangeable. A project can be closed while the investment is still being judged on benefits, and different stakeholders dominate at different points. Mapping </w:t>
      </w:r>
      <w:r>
        <w:rPr>
          <w:rFonts w:ascii="Calibri" w:hAnsi="Calibri" w:cs="Calibri" w:eastAsia="PingFang SC"/>
          <w:b/>
          <w:color w:val="3D3A33"/>
          <w:sz w:val="22"/>
          <w:szCs w:val="22"/>
        </w:rPr>
        <w:t xml:space="preserve">stakeholders across the life cycle</w:t>
      </w:r>
      <w:r>
        <w:rPr>
          <w:rFonts w:ascii="Calibri" w:hAnsi="Calibri" w:cs="Calibri" w:eastAsia="PingFang SC"/>
          <w:color w:val="3D3A33"/>
          <w:sz w:val="22"/>
          <w:szCs w:val="22"/>
        </w:rPr>
        <w:t xml:space="preserve"> therefore means asking, at each stage, who has appeared, who has left, whose influence has grown, and who is now affected - rather than planning only for today's list.</w:t>
      </w:r>
    </w:p>
    <w:p>
      <w:pPr>
        <w:spacing w:before="240" w:after="80" w:line="312" w:lineRule="auto"/>
      </w:pPr>
      <w:r>
        <w:rPr>
          <w:rFonts w:ascii="Calibri" w:hAnsi="Calibri" w:cs="Calibri" w:eastAsia="PingFang SC"/>
          <w:b/>
          <w:color w:val="175244"/>
          <w:sz w:val="22"/>
          <w:szCs w:val="22"/>
        </w:rPr>
        <w:t xml:space="preserve">Essential project characteristics</w:t>
      </w:r>
    </w:p>
    <w:p>
      <w:pPr>
        <w:spacing w:before="0" w:after="160" w:line="312" w:lineRule="auto"/>
      </w:pPr>
      <w:r>
        <w:rPr>
          <w:rFonts w:ascii="Calibri" w:hAnsi="Calibri" w:cs="Calibri" w:eastAsia="PingFang SC"/>
          <w:color w:val="3D3A33"/>
          <w:sz w:val="22"/>
          <w:szCs w:val="22"/>
        </w:rPr>
        <w:t xml:space="preserve">A project is a temporary endeavour with a defined purpose, a unique set of deliverables, a start and an end, drawn-together resources and constraints, and a stakeholder community that both shapes and is shaped by it. Those characteristics are why stakeholder work is central: the temporary, unique nature of a project creates uncertainty, and uncertainty is exactly what makes stakeholder expectations, power and contributions decisive.</w:t>
      </w:r>
    </w:p>
    <w:p>
      <w:pPr>
        <w:spacing w:before="240" w:after="80" w:line="312" w:lineRule="auto"/>
      </w:pPr>
      <w:r>
        <w:rPr>
          <w:rFonts w:ascii="Calibri" w:hAnsi="Calibri" w:cs="Calibri" w:eastAsia="PingFang SC"/>
          <w:b/>
          <w:color w:val="175244"/>
          <w:sz w:val="22"/>
          <w:szCs w:val="22"/>
        </w:rPr>
        <w:t xml:space="preserve">Why projects fail for stakeholder reasons</w:t>
      </w:r>
    </w:p>
    <w:p>
      <w:pPr>
        <w:spacing w:before="0" w:after="160" w:line="312" w:lineRule="auto"/>
      </w:pPr>
      <w:r>
        <w:rPr>
          <w:rFonts w:ascii="Calibri" w:hAnsi="Calibri" w:cs="Calibri" w:eastAsia="PingFang SC"/>
          <w:color w:val="3D3A33"/>
          <w:sz w:val="22"/>
          <w:szCs w:val="22"/>
        </w:rPr>
        <w:t xml:space="preserve">Projects rarely fail on technical grounds alone. Typical stakeholder causes are: the wrong people identified (so the wrong requirements were gathered); influential opponents discovered too late; expectations never managed and therefore never met; affected groups ignored until they resist; and communication that is one-way, so early warnings never arrive. This is why stakeholder management is easy to understand and difficult to master: the concepts are simple, but the judgement, relationships and discipline are hard.</w:t>
      </w:r>
    </w:p>
    <w:p>
      <w:pPr>
        <w:spacing w:before="240" w:after="80" w:line="312" w:lineRule="auto"/>
      </w:pPr>
      <w:r>
        <w:rPr>
          <w:rFonts w:ascii="Calibri" w:hAnsi="Calibri" w:cs="Calibri" w:eastAsia="PingFang SC"/>
          <w:b/>
          <w:color w:val="175244"/>
          <w:sz w:val="22"/>
          <w:szCs w:val="22"/>
        </w:rPr>
        <w:t xml:space="preserve">Two classic analyses of stakeholders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Freeman's model (1984)</w:t>
      </w:r>
      <w:r>
        <w:rPr>
          <w:rFonts w:ascii="Calibri" w:hAnsi="Calibri" w:cs="Calibri" w:eastAsia="PingFang SC"/>
          <w:color w:val="3D3A33"/>
          <w:sz w:val="22"/>
          <w:szCs w:val="22"/>
        </w:rPr>
        <w:t xml:space="preserve"> supplies the definition above and the habit of mapping the field of stakeholders by their stake: who can affect the project, who is affected by it, and how strongly. It is the basis for identification: build the map before deciding what to do with anyone on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Eskerod and Jepsen (2013)</w:t>
      </w:r>
      <w:r>
        <w:rPr>
          <w:rFonts w:ascii="Calibri" w:hAnsi="Calibri" w:cs="Calibri" w:eastAsia="PingFang SC"/>
          <w:color w:val="3D3A33"/>
          <w:sz w:val="22"/>
          <w:szCs w:val="22"/>
        </w:rPr>
        <w:t xml:space="preserve"> focus the analysis on what each stakeholder actually brings and expects. Their angle explains why disaggregation matters: projects succeed when the right contributions are secured from the right stakeholders at the right time, and fail when contributions and expectations are assumed rather than managed.</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The stakeholder analysis process</w:t>
      </w:r>
    </w:p>
    <w:p>
      <w:pPr>
        <w:spacing w:before="0" w:after="160" w:line="312" w:lineRule="auto"/>
      </w:pPr>
      <w:r>
        <w:rPr>
          <w:rFonts w:ascii="Calibri" w:hAnsi="Calibri" w:cs="Calibri" w:eastAsia="PingFang SC"/>
          <w:color w:val="3D3A33"/>
          <w:sz w:val="22"/>
          <w:szCs w:val="22"/>
        </w:rPr>
        <w:t xml:space="preserve">The full process has four moves, each building on the last:</w:t>
      </w:r>
    </w:p>
    <w:p>
      <w:pPr>
        <w:numPr>
          <w:ilvl w:val="0"/>
          <w:numId w:val="101"/>
        </w:numPr>
        <w:spacing w:after="80" w:line="312" w:lineRule="auto"/>
      </w:pPr>
      <w:r>
        <w:rPr>
          <w:rFonts w:ascii="Calibri" w:hAnsi="Calibri" w:cs="Calibri" w:eastAsia="PingFang SC"/>
          <w:b/>
          <w:color w:val="3D3A33"/>
          <w:sz w:val="22"/>
          <w:szCs w:val="22"/>
        </w:rPr>
        <w:t xml:space="preserve">Identification</w:t>
      </w:r>
      <w:r>
        <w:rPr>
          <w:rFonts w:ascii="Calibri" w:hAnsi="Calibri" w:cs="Calibri" w:eastAsia="PingFang SC"/>
          <w:color w:val="3D3A33"/>
          <w:sz w:val="22"/>
          <w:szCs w:val="22"/>
        </w:rPr>
        <w:t xml:space="preserve">: decide the boundary of the system of concern, then list every stakeholder inside it - everyone who can affect the project or is affected by it. Disaggregate aggregated labels at this step.</w:t>
      </w:r>
    </w:p>
    <w:p>
      <w:pPr>
        <w:numPr>
          <w:ilvl w:val="0"/>
          <w:numId w:val="101"/>
        </w:numPr>
        <w:spacing w:after="80" w:line="312" w:lineRule="auto"/>
      </w:pPr>
      <w:r>
        <w:rPr>
          <w:rFonts w:ascii="Calibri" w:hAnsi="Calibri" w:cs="Calibri" w:eastAsia="PingFang SC"/>
          <w:b/>
          <w:color w:val="3D3A33"/>
          <w:sz w:val="22"/>
          <w:szCs w:val="22"/>
        </w:rPr>
        <w:t xml:space="preserve">Assessment</w:t>
      </w:r>
      <w:r>
        <w:rPr>
          <w:rFonts w:ascii="Calibri" w:hAnsi="Calibri" w:cs="Calibri" w:eastAsia="PingFang SC"/>
          <w:color w:val="3D3A33"/>
          <w:sz w:val="22"/>
          <w:szCs w:val="22"/>
        </w:rPr>
        <w:t xml:space="preserve">: for each stakeholder, work out their role, interests, expectations, contributions, and how they could help or harm the project.</w:t>
      </w:r>
    </w:p>
    <w:p>
      <w:pPr>
        <w:numPr>
          <w:ilvl w:val="0"/>
          <w:numId w:val="101"/>
        </w:numPr>
        <w:spacing w:after="80" w:line="312" w:lineRule="auto"/>
      </w:pPr>
      <w:r>
        <w:rPr>
          <w:rFonts w:ascii="Calibri" w:hAnsi="Calibri" w:cs="Calibri" w:eastAsia="PingFang SC"/>
          <w:b/>
          <w:color w:val="3D3A33"/>
          <w:sz w:val="22"/>
          <w:szCs w:val="22"/>
        </w:rPr>
        <w:t xml:space="preserve">Prioritisation</w:t>
      </w:r>
      <w:r>
        <w:rPr>
          <w:rFonts w:ascii="Calibri" w:hAnsi="Calibri" w:cs="Calibri" w:eastAsia="PingFang SC"/>
          <w:color w:val="3D3A33"/>
          <w:sz w:val="22"/>
          <w:szCs w:val="22"/>
        </w:rPr>
        <w:t xml:space="preserve">: rank stakeholders by the assessed stakes and influence, so that limited attention goes where it matters (the next weeks build specific prioritisation tools).</w:t>
      </w:r>
    </w:p>
    <w:p>
      <w:pPr>
        <w:numPr>
          <w:ilvl w:val="0"/>
          <w:numId w:val="101"/>
        </w:numPr>
        <w:spacing w:after="80" w:line="312" w:lineRule="auto"/>
      </w:pPr>
      <w:r>
        <w:rPr>
          <w:rFonts w:ascii="Calibri" w:hAnsi="Calibri" w:cs="Calibri" w:eastAsia="PingFang SC"/>
          <w:b/>
          <w:color w:val="3D3A33"/>
          <w:sz w:val="22"/>
          <w:szCs w:val="22"/>
        </w:rPr>
        <w:t xml:space="preserve">Engagement</w:t>
      </w:r>
      <w:r>
        <w:rPr>
          <w:rFonts w:ascii="Calibri" w:hAnsi="Calibri" w:cs="Calibri" w:eastAsia="PingFang SC"/>
          <w:color w:val="3D3A33"/>
          <w:sz w:val="22"/>
          <w:szCs w:val="22"/>
        </w:rPr>
        <w:t xml:space="preserve">: design and run the relationship - what to communicate, what to ask, what to involve them in - and revisit the analysis as the picture changes.</w:t>
      </w:r>
    </w:p>
    <w:p>
      <w:pPr>
        <w:spacing w:before="240" w:after="80" w:line="312" w:lineRule="auto"/>
      </w:pPr>
      <w:r>
        <w:rPr>
          <w:rFonts w:ascii="Calibri" w:hAnsi="Calibri" w:cs="Calibri" w:eastAsia="PingFang SC"/>
          <w:b/>
          <w:color w:val="175244"/>
          <w:sz w:val="22"/>
          <w:szCs w:val="22"/>
        </w:rPr>
        <w:t xml:space="preserve">The Western Sydney International Airport case</w:t>
      </w:r>
    </w:p>
    <w:p>
      <w:pPr>
        <w:spacing w:before="0" w:after="160" w:line="312" w:lineRule="auto"/>
      </w:pPr>
      <w:r>
        <w:rPr>
          <w:rFonts w:ascii="Calibri" w:hAnsi="Calibri" w:cs="Calibri" w:eastAsia="PingFang SC"/>
          <w:color w:val="3D3A33"/>
          <w:sz w:val="22"/>
          <w:szCs w:val="22"/>
        </w:rPr>
        <w:t xml:space="preserve">Western Sydney International Airport (WSIA) is the week's case: a large greenfield airport program in Western Sydney. Its stakeholder community is large and layered - federal and state governments, planning and infrastructure agencies, the operator and airlines, contractors, local councils, residents and communities near the site, environmental groups, and future users of the airport. The case is used to see how identification, disaggregation and life-cycle thinking work on a real, long-running program: the stakeholder list at the funding decision is not the list at construction, and neither is the list at operation.</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Stakeholder roles in a broadband project</w:t>
      </w:r>
    </w:p>
    <w:p>
      <w:pPr>
        <w:spacing w:before="0" w:after="160" w:line="312" w:lineRule="auto"/>
      </w:pPr>
      <w:r>
        <w:rPr>
          <w:rFonts w:ascii="Calibri" w:hAnsi="Calibri" w:cs="Calibri" w:eastAsia="PingFang SC"/>
          <w:color w:val="3D3A33"/>
          <w:sz w:val="22"/>
          <w:szCs w:val="22"/>
        </w:rPr>
        <w:t xml:space="preserve">A broadband delivery project shows how differently stakeholders contribute, and why disaggregation matters even inside one project: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506"/>
        <w:gridCol w:w="6854"/>
      </w:tblGrid>
      <w:tr>
        <w:trPr>
          <w:tblHeader/>
        </w:trPr>
        <w:tc>
          <w:tcPr>
            <w:tcW w:w="2506" w:type="dxa"/>
            <w:shd w:val="clear" w:color="auto" w:fill="EAE7DD"/>
          </w:tcPr>
          <w:p>
            <w:pPr>
              <w:spacing w:before="0" w:after="0" w:line="312" w:lineRule="auto"/>
            </w:pPr>
            <w:r>
              <w:rPr>
                <w:rFonts w:ascii="Calibri" w:hAnsi="Calibri" w:cs="Calibri" w:eastAsia="PingFang SC"/>
                <w:b/>
                <w:color w:val="3D3A33"/>
                <w:sz w:val="22"/>
                <w:szCs w:val="22"/>
              </w:rPr>
              <w:t xml:space="preserve">Stakeholder</w:t>
            </w:r>
          </w:p>
        </w:tc>
        <w:tc>
          <w:tcPr>
            <w:tcW w:w="6854" w:type="dxa"/>
            <w:shd w:val="clear" w:color="auto" w:fill="EAE7DD"/>
          </w:tcPr>
          <w:p>
            <w:pPr>
              <w:spacing w:before="0" w:after="0" w:line="312" w:lineRule="auto"/>
            </w:pPr>
            <w:r>
              <w:rPr>
                <w:rFonts w:ascii="Calibri" w:hAnsi="Calibri" w:cs="Calibri" w:eastAsia="PingFang SC"/>
                <w:b/>
                <w:color w:val="3D3A33"/>
                <w:sz w:val="22"/>
                <w:szCs w:val="22"/>
              </w:rPr>
              <w:t xml:space="preserve">Role and contribution</w:t>
            </w:r>
          </w:p>
        </w:tc>
      </w:tr>
      <w:tr>
        <w:tc>
          <w:tcPr>
            <w:tcW w:w="2506" w:type="dxa"/>
          </w:tcPr>
          <w:p>
            <w:pPr>
              <w:spacing w:before="0" w:after="0" w:line="312" w:lineRule="auto"/>
            </w:pPr>
            <w:r>
              <w:rPr>
                <w:rFonts w:ascii="Calibri" w:hAnsi="Calibri" w:cs="Calibri" w:eastAsia="PingFang SC"/>
                <w:color w:val="3D3A33"/>
                <w:sz w:val="22"/>
                <w:szCs w:val="22"/>
              </w:rPr>
              <w:t xml:space="preserve">Project manager</w:t>
            </w:r>
          </w:p>
        </w:tc>
        <w:tc>
          <w:tcPr>
            <w:tcW w:w="6854" w:type="dxa"/>
          </w:tcPr>
          <w:p>
            <w:pPr>
              <w:spacing w:before="0" w:after="0" w:line="312" w:lineRule="auto"/>
            </w:pPr>
            <w:r>
              <w:rPr>
                <w:rFonts w:ascii="Calibri" w:hAnsi="Calibri" w:cs="Calibri" w:eastAsia="PingFang SC"/>
                <w:color w:val="3D3A33"/>
                <w:sz w:val="22"/>
                <w:szCs w:val="22"/>
              </w:rPr>
              <w:t xml:space="preserve">Coordinates the deliverables and works with the head of telecommunications</w:t>
            </w:r>
          </w:p>
        </w:tc>
      </w:tr>
      <w:tr>
        <w:tc>
          <w:tcPr>
            <w:tcW w:w="2506" w:type="dxa"/>
          </w:tcPr>
          <w:p>
            <w:pPr>
              <w:spacing w:before="0" w:after="0" w:line="312" w:lineRule="auto"/>
            </w:pPr>
            <w:r>
              <w:rPr>
                <w:rFonts w:ascii="Calibri" w:hAnsi="Calibri" w:cs="Calibri" w:eastAsia="PingFang SC"/>
                <w:color w:val="3D3A33"/>
                <w:sz w:val="22"/>
                <w:szCs w:val="22"/>
              </w:rPr>
              <w:t xml:space="preserve">Research analyst</w:t>
            </w:r>
          </w:p>
        </w:tc>
        <w:tc>
          <w:tcPr>
            <w:tcW w:w="6854" w:type="dxa"/>
          </w:tcPr>
          <w:p>
            <w:pPr>
              <w:spacing w:before="0" w:after="0" w:line="312" w:lineRule="auto"/>
            </w:pPr>
            <w:r>
              <w:rPr>
                <w:rFonts w:ascii="Calibri" w:hAnsi="Calibri" w:cs="Calibri" w:eastAsia="PingFang SC"/>
                <w:color w:val="3D3A33"/>
                <w:sz w:val="22"/>
                <w:szCs w:val="22"/>
              </w:rPr>
              <w:t xml:space="preserve">Gathers and interprets deployment, user-impact and performance data; involved at the start and again near the end, around major decisions and evaluation</w:t>
            </w:r>
          </w:p>
        </w:tc>
      </w:tr>
      <w:tr>
        <w:tc>
          <w:tcPr>
            <w:tcW w:w="2506" w:type="dxa"/>
          </w:tcPr>
          <w:p>
            <w:pPr>
              <w:spacing w:before="0" w:after="0" w:line="312" w:lineRule="auto"/>
            </w:pPr>
            <w:r>
              <w:rPr>
                <w:rFonts w:ascii="Calibri" w:hAnsi="Calibri" w:cs="Calibri" w:eastAsia="PingFang SC"/>
                <w:color w:val="3D3A33"/>
                <w:sz w:val="22"/>
                <w:szCs w:val="22"/>
              </w:rPr>
              <w:t xml:space="preserve">Engagement specialist</w:t>
            </w:r>
          </w:p>
        </w:tc>
        <w:tc>
          <w:tcPr>
            <w:tcW w:w="6854" w:type="dxa"/>
          </w:tcPr>
          <w:p>
            <w:pPr>
              <w:spacing w:before="0" w:after="0" w:line="312" w:lineRule="auto"/>
            </w:pPr>
            <w:r>
              <w:rPr>
                <w:rFonts w:ascii="Calibri" w:hAnsi="Calibri" w:cs="Calibri" w:eastAsia="PingFang SC"/>
                <w:color w:val="3D3A33"/>
                <w:sz w:val="22"/>
                <w:szCs w:val="22"/>
              </w:rPr>
              <w:t xml:space="preserve">Gathers stakeholder feedback, aligns interests with goals, and drives changes through that feedback</w:t>
            </w:r>
          </w:p>
        </w:tc>
      </w:tr>
      <w:tr>
        <w:tc>
          <w:tcPr>
            <w:tcW w:w="2506" w:type="dxa"/>
          </w:tcPr>
          <w:p>
            <w:pPr>
              <w:spacing w:before="0" w:after="0" w:line="312" w:lineRule="auto"/>
            </w:pPr>
            <w:r>
              <w:rPr>
                <w:rFonts w:ascii="Calibri" w:hAnsi="Calibri" w:cs="Calibri" w:eastAsia="PingFang SC"/>
                <w:color w:val="3D3A33"/>
                <w:sz w:val="22"/>
                <w:szCs w:val="22"/>
              </w:rPr>
              <w:t xml:space="preserve">Business analyst</w:t>
            </w:r>
          </w:p>
        </w:tc>
        <w:tc>
          <w:tcPr>
            <w:tcW w:w="6854" w:type="dxa"/>
          </w:tcPr>
          <w:p>
            <w:pPr>
              <w:spacing w:before="0" w:after="0" w:line="312" w:lineRule="auto"/>
            </w:pPr>
            <w:r>
              <w:rPr>
                <w:rFonts w:ascii="Calibri" w:hAnsi="Calibri" w:cs="Calibri" w:eastAsia="PingFang SC"/>
                <w:color w:val="3D3A33"/>
                <w:sz w:val="22"/>
                <w:szCs w:val="22"/>
              </w:rPr>
              <w:t xml:space="preserve">Prepares the business case and the financial analysis</w:t>
            </w:r>
          </w:p>
        </w:tc>
      </w:tr>
      <w:tr>
        <w:tc>
          <w:tcPr>
            <w:tcW w:w="2506" w:type="dxa"/>
          </w:tcPr>
          <w:p>
            <w:pPr>
              <w:spacing w:before="0" w:after="0" w:line="312" w:lineRule="auto"/>
            </w:pPr>
            <w:r>
              <w:rPr>
                <w:rFonts w:ascii="Calibri" w:hAnsi="Calibri" w:cs="Calibri" w:eastAsia="PingFang SC"/>
                <w:color w:val="3D3A33"/>
                <w:sz w:val="22"/>
                <w:szCs w:val="22"/>
              </w:rPr>
              <w:t xml:space="preserve">Government agencies</w:t>
            </w:r>
          </w:p>
        </w:tc>
        <w:tc>
          <w:tcPr>
            <w:tcW w:w="6854" w:type="dxa"/>
          </w:tcPr>
          <w:p>
            <w:pPr>
              <w:spacing w:before="0" w:after="0" w:line="312" w:lineRule="auto"/>
            </w:pPr>
            <w:r>
              <w:rPr>
                <w:rFonts w:ascii="Calibri" w:hAnsi="Calibri" w:cs="Calibri" w:eastAsia="PingFang SC"/>
                <w:color w:val="3D3A33"/>
                <w:sz w:val="22"/>
                <w:szCs w:val="22"/>
              </w:rPr>
              <w:t xml:space="preserve">Regulate communications and consumer outcomes</w:t>
            </w:r>
          </w:p>
        </w:tc>
      </w:tr>
      <w:tr>
        <w:tc>
          <w:tcPr>
            <w:tcW w:w="2506" w:type="dxa"/>
          </w:tcPr>
          <w:p>
            <w:pPr>
              <w:spacing w:before="0" w:after="0" w:line="312" w:lineRule="auto"/>
            </w:pPr>
            <w:r>
              <w:rPr>
                <w:rFonts w:ascii="Calibri" w:hAnsi="Calibri" w:cs="Calibri" w:eastAsia="PingFang SC"/>
                <w:color w:val="3D3A33"/>
                <w:sz w:val="22"/>
                <w:szCs w:val="22"/>
              </w:rPr>
              <w:t xml:space="preserve">Internet service providers</w:t>
            </w:r>
          </w:p>
        </w:tc>
        <w:tc>
          <w:tcPr>
            <w:tcW w:w="6854" w:type="dxa"/>
          </w:tcPr>
          <w:p>
            <w:pPr>
              <w:spacing w:before="0" w:after="0" w:line="312" w:lineRule="auto"/>
            </w:pPr>
            <w:r>
              <w:rPr>
                <w:rFonts w:ascii="Calibri" w:hAnsi="Calibri" w:cs="Calibri" w:eastAsia="PingFang SC"/>
                <w:color w:val="3D3A33"/>
                <w:sz w:val="22"/>
                <w:szCs w:val="22"/>
              </w:rPr>
              <w:t xml:space="preserve">Support technical delivery and customer service</w:t>
            </w:r>
          </w:p>
        </w:tc>
      </w:tr>
      <w:tr>
        <w:tc>
          <w:tcPr>
            <w:tcW w:w="2506" w:type="dxa"/>
          </w:tcPr>
          <w:p>
            <w:pPr>
              <w:spacing w:before="0" w:after="0" w:line="312" w:lineRule="auto"/>
            </w:pPr>
            <w:r>
              <w:rPr>
                <w:rFonts w:ascii="Calibri" w:hAnsi="Calibri" w:cs="Calibri" w:eastAsia="PingFang SC"/>
                <w:color w:val="3D3A33"/>
                <w:sz w:val="22"/>
                <w:szCs w:val="22"/>
              </w:rPr>
              <w:t xml:space="preserve">Affected parties</w:t>
            </w:r>
          </w:p>
        </w:tc>
        <w:tc>
          <w:tcPr>
            <w:tcW w:w="6854" w:type="dxa"/>
          </w:tcPr>
          <w:p>
            <w:pPr>
              <w:spacing w:before="0" w:after="0" w:line="312" w:lineRule="auto"/>
            </w:pPr>
            <w:r>
              <w:rPr>
                <w:rFonts w:ascii="Calibri" w:hAnsi="Calibri" w:cs="Calibri" w:eastAsia="PingFang SC"/>
                <w:color w:val="3D3A33"/>
                <w:sz w:val="22"/>
                <w:szCs w:val="22"/>
              </w:rPr>
              <w:t xml:space="preserve">Wholesalers, businesses, students, remote communities and other end users who live with the service quality</w:t>
            </w:r>
          </w:p>
        </w:tc>
      </w:tr>
    </w:tbl>
    <w:p>
      <w:pPr>
        <w:spacing w:before="0" w:after="160" w:line="312" w:lineRule="auto"/>
      </w:pPr>
      <w:r>
        <w:rPr>
          <w:rFonts w:ascii="Calibri" w:hAnsi="Calibri" w:cs="Calibri" w:eastAsia="PingFang SC"/>
          <w:color w:val="3D3A33"/>
          <w:sz w:val="22"/>
          <w:szCs w:val="22"/>
        </w:rPr>
        <w:t xml:space="preserve">Reading the table as analysis rather than a roster: the manager coordinates delivery, the analyst supplies evidence, and the engagement specialist supplies stakeholder voice - three complementary contributions that fail if any one is missing. External groups differ too: regulatory bodies care about compliance and consumer outcomes, while regional users care about actual needs and service effects.</w:t>
      </w:r>
    </w:p>
    <w:p>
      <w:pPr>
        <w:spacing w:before="240" w:after="80" w:line="312" w:lineRule="auto"/>
      </w:pPr>
      <w:r>
        <w:rPr>
          <w:rFonts w:ascii="Calibri" w:hAnsi="Calibri" w:cs="Calibri" w:eastAsia="PingFang SC"/>
          <w:b/>
          <w:color w:val="175244"/>
          <w:sz w:val="22"/>
          <w:szCs w:val="22"/>
        </w:rPr>
        <w:t xml:space="preserve">Stakeholders across the life cycle</w:t>
      </w:r>
    </w:p>
    <w:p>
      <w:pPr>
        <w:spacing w:before="0" w:after="160" w:line="312" w:lineRule="auto"/>
      </w:pPr>
      <w:r>
        <w:rPr>
          <w:rFonts w:ascii="Calibri" w:hAnsi="Calibri" w:cs="Calibri" w:eastAsia="PingFang SC"/>
          <w:color w:val="3D3A33"/>
          <w:sz w:val="22"/>
          <w:szCs w:val="22"/>
        </w:rPr>
        <w:t xml:space="preserve">Take a single infrastructure project. At the concept stage the decisive stakeholders are the sponsor, funders and planners, and the affected public is diffuse. During construction, contractors, regulators and nearby residents dominate, and complaints arrive daily. At operation, users, service staff and the surrounding community dominate, and the original sponsor may have gone entirely. The same project, three different stakeholder communities - which is why identification is repeated at each stage rather than done once and filed.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