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PMGT1852 Week 02</w:t>
      </w:r>
    </w:p>
    <w:p>
      <w:pPr>
        <w:spacing w:before="240" w:after="80" w:line="312" w:lineRule="auto"/>
      </w:pPr>
      <w:r>
        <w:rPr>
          <w:rFonts w:ascii="Calibri" w:hAnsi="Calibri" w:cs="Calibri" w:eastAsia="PingFang SC"/>
          <w:b/>
          <w:color w:val="33302A"/>
          <w:sz w:val="32"/>
          <w:szCs w:val="32"/>
        </w:rPr>
        <w:t xml:space="preserve">PMGT1852 Week 02 - Stakeholder Motivation and the Theory of Planned Behaviour</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If the first week asks who the stakeholders are, this week asks why they act the way they do. Motivation theory explains stakeholder behaviour, and it gives the project manager a way to predict and influence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Classical self-interest (Smith, 1776): people pursue what benefits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logic of consequentiality (March and Heath, 1994): people act on the expected consequences of their actions.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Theory of Planned Behaviour (Ajzen, 1991): attitude, subjective norms and perceived behavioural control lead to intention, and intention leads to behaviour.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Bounded rationality versus full rationality: how much information and calculation people actually use when they decide.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evaluation of expected consequences and the external influences that shape it.</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Classical self-interest (Smith, 1776)</w:t>
      </w:r>
    </w:p>
    <w:p>
      <w:pPr>
        <w:spacing w:before="0" w:after="160" w:line="312" w:lineRule="auto"/>
      </w:pPr>
      <w:r>
        <w:rPr>
          <w:rFonts w:ascii="Calibri" w:hAnsi="Calibri" w:cs="Calibri" w:eastAsia="PingFang SC"/>
          <w:color w:val="3D3A33"/>
          <w:sz w:val="22"/>
          <w:szCs w:val="22"/>
        </w:rPr>
        <w:t xml:space="preserve">The classical view explains behaviour through self-interest: individuals act to advance their own ends, and in markets their pursuit of private benefit produces wider economic outcomes. Applied to stakeholders, the view predicts that a stakeholder supports a project when it serves their interests and resists when it does not. It is the simplest motivation lens, and the right starting question is always "what is in this for them?" - but it is incomplete, because people also follow norms, identities and beliefs about what is right.</w:t>
      </w:r>
    </w:p>
    <w:p>
      <w:pPr>
        <w:spacing w:before="240" w:after="80" w:line="312" w:lineRule="auto"/>
      </w:pPr>
      <w:r>
        <w:rPr>
          <w:rFonts w:ascii="Calibri" w:hAnsi="Calibri" w:cs="Calibri" w:eastAsia="PingFang SC"/>
          <w:b/>
          <w:color w:val="175244"/>
          <w:sz w:val="22"/>
          <w:szCs w:val="22"/>
        </w:rPr>
        <w:t xml:space="preserve">Logic of consequentiality (March and Heath, 1994)</w:t>
      </w:r>
    </w:p>
    <w:p>
      <w:pPr>
        <w:spacing w:before="0" w:after="160" w:line="312" w:lineRule="auto"/>
      </w:pPr>
      <w:r>
        <w:rPr>
          <w:rFonts w:ascii="Calibri" w:hAnsi="Calibri" w:cs="Calibri" w:eastAsia="PingFang SC"/>
          <w:color w:val="3D3A33"/>
          <w:sz w:val="22"/>
          <w:szCs w:val="22"/>
        </w:rPr>
        <w:t xml:space="preserve">The logic of consequentiality says that actors choose among alternatives by evaluating the expected consequences of each: they work out what each possible action would lead to, and prefer the action whose consequences best serve their goals. Two ideas follow: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Behaviour is forward-looking: stakeholders respond to what they expect to happen, not only to what has already happened.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Motivation work therefore means changing either the expected consequences (what the project will do for or to them) or the information on which those expectations are built.</w:t>
      </w:r>
    </w:p>
    <w:p>
      <w:pPr>
        <w:spacing w:before="0" w:after="160" w:line="312" w:lineRule="auto"/>
      </w:pPr>
      <w:r>
        <w:rPr>
          <w:rFonts w:ascii="Calibri" w:hAnsi="Calibri" w:cs="Calibri" w:eastAsia="PingFang SC"/>
          <w:color w:val="3D3A33"/>
          <w:sz w:val="22"/>
          <w:szCs w:val="22"/>
        </w:rPr>
        <w:t xml:space="preserve">This logic connects directly to the evaluation of expected consequences: two stakeholders with identical interests may behave oppositely because they expect different consequences from the same project.</w:t>
      </w:r>
    </w:p>
    <w:p>
      <w:pPr>
        <w:spacing w:before="240" w:after="80" w:line="312" w:lineRule="auto"/>
      </w:pPr>
      <w:r>
        <w:rPr>
          <w:rFonts w:ascii="Calibri" w:hAnsi="Calibri" w:cs="Calibri" w:eastAsia="PingFang SC"/>
          <w:b/>
          <w:color w:val="175244"/>
          <w:sz w:val="22"/>
          <w:szCs w:val="22"/>
        </w:rPr>
        <w:t xml:space="preserve">Theory of Planned Behaviour (Ajzen, 1991)</w:t>
      </w:r>
    </w:p>
    <w:p>
      <w:pPr>
        <w:spacing w:before="0" w:after="160" w:line="312" w:lineRule="auto"/>
      </w:pPr>
      <w:r>
        <w:rPr>
          <w:rFonts w:ascii="Calibri" w:hAnsi="Calibri" w:cs="Calibri" w:eastAsia="PingFang SC"/>
          <w:color w:val="3D3A33"/>
          <w:sz w:val="22"/>
          <w:szCs w:val="22"/>
        </w:rPr>
        <w:t xml:space="preserve">The Theory of Planned Behaviour (TPB) explains deliberate behaviour as a chain from beliefs to action. The main chain is:</w:t>
      </w:r>
    </w:p>
    <w:p>
      <w:pPr>
        <w:spacing w:before="0" w:after="160" w:line="312" w:lineRule="auto"/>
      </w:pPr>
      <w:r>
        <w:rPr>
          <w:rFonts w:ascii="Calibri" w:hAnsi="Calibri" w:cs="Calibri" w:eastAsia="PingFang SC"/>
          <w:color w:val="3D3A33"/>
          <w:sz w:val="22"/>
          <w:szCs w:val="22"/>
        </w:rPr>
        <w:t xml:space="preserve">attitude -&gt; intention -&gt; behaviour</w:t>
      </w:r>
    </w:p>
    <w:p>
      <w:pPr>
        <w:spacing w:before="0" w:after="160" w:line="312" w:lineRule="auto"/>
      </w:pPr>
      <w:r>
        <w:rPr>
          <w:rFonts w:ascii="Calibri" w:hAnsi="Calibri" w:cs="Calibri" w:eastAsia="PingFang SC"/>
          <w:color w:val="3D3A33"/>
          <w:sz w:val="22"/>
          <w:szCs w:val="22"/>
        </w:rPr>
        <w:t xml:space="preserve">Three forces build the intention: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Attitude</w:t>
      </w:r>
      <w:r>
        <w:rPr>
          <w:rFonts w:ascii="Calibri" w:hAnsi="Calibri" w:cs="Calibri" w:eastAsia="PingFang SC"/>
          <w:color w:val="3D3A33"/>
          <w:sz w:val="22"/>
          <w:szCs w:val="22"/>
        </w:rPr>
        <w:t xml:space="preserve">: how favourable or unfavourable the person feels about performing the behaviour, based on what they believe will follow from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Subjective norms</w:t>
      </w:r>
      <w:r>
        <w:rPr>
          <w:rFonts w:ascii="Calibri" w:hAnsi="Calibri" w:cs="Calibri" w:eastAsia="PingFang SC"/>
          <w:color w:val="3D3A33"/>
          <w:sz w:val="22"/>
          <w:szCs w:val="22"/>
        </w:rPr>
        <w:t xml:space="preserve">: what they believe important others expect or do - the social pressure from colleagues, bosses, clients or community.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Perceived behavioural control</w:t>
      </w:r>
      <w:r>
        <w:rPr>
          <w:rFonts w:ascii="Calibri" w:hAnsi="Calibri" w:cs="Calibri" w:eastAsia="PingFang SC"/>
          <w:color w:val="3D3A33"/>
          <w:sz w:val="22"/>
          <w:szCs w:val="22"/>
        </w:rPr>
        <w:t xml:space="preserve">: how easy or difficult they believe the behaviour is for them, given their resources, opportunities and constraints. It affects behaviour both by shaping intention and by acting directly, because a person who believes they cannot act effectively rarely does, whatever they intend.</w:t>
      </w:r>
    </w:p>
    <w:p>
      <w:pPr>
        <w:spacing w:before="0" w:after="160" w:line="312" w:lineRule="auto"/>
      </w:pPr>
      <w:r>
        <w:rPr>
          <w:rFonts w:ascii="Calibri" w:hAnsi="Calibri" w:cs="Calibri" w:eastAsia="PingFang SC"/>
          <w:color w:val="3D3A33"/>
          <w:sz w:val="22"/>
          <w:szCs w:val="22"/>
        </w:rPr>
        <w:t xml:space="preserve">The framework also treats </w:t>
      </w:r>
      <w:r>
        <w:rPr>
          <w:rFonts w:ascii="Calibri" w:hAnsi="Calibri" w:cs="Calibri" w:eastAsia="PingFang SC"/>
          <w:b/>
          <w:color w:val="3D3A33"/>
          <w:sz w:val="22"/>
          <w:szCs w:val="22"/>
        </w:rPr>
        <w:t xml:space="preserve">stakeholder capabilities</w:t>
      </w:r>
      <w:r>
        <w:rPr>
          <w:rFonts w:ascii="Calibri" w:hAnsi="Calibri" w:cs="Calibri" w:eastAsia="PingFang SC"/>
          <w:color w:val="3D3A33"/>
          <w:sz w:val="22"/>
          <w:szCs w:val="22"/>
        </w:rPr>
        <w:t xml:space="preserve"> as part of the picture: what a stakeholder can actually do (skills, authority, resources, access) constrains and enables the behaviour that intentions produce.</w:t>
      </w:r>
    </w:p>
    <w:p>
      <w:pPr>
        <w:spacing w:before="0" w:after="160" w:line="312" w:lineRule="auto"/>
      </w:pPr>
      <w:r>
        <w:rPr>
          <w:rFonts w:ascii="Calibri" w:hAnsi="Calibri" w:cs="Calibri" w:eastAsia="PingFang SC"/>
          <w:color w:val="3D3A33"/>
          <w:sz w:val="22"/>
          <w:szCs w:val="22"/>
        </w:rPr>
        <w:t xml:space="preserve">In practice, TPB says that persuading a stakeholder is not one task but three: change what they expect from the behaviour (attitude), change what they think their circle expects (subjective norms), and change or demonstrate their real control over the situation (perceived behavioural control and capabilities).</w:t>
      </w:r>
    </w:p>
    <w:p>
      <w:pPr>
        <w:spacing w:before="240" w:after="80" w:line="312" w:lineRule="auto"/>
      </w:pPr>
      <w:r>
        <w:rPr>
          <w:rFonts w:ascii="Calibri" w:hAnsi="Calibri" w:cs="Calibri" w:eastAsia="PingFang SC"/>
          <w:b/>
          <w:color w:val="175244"/>
          <w:sz w:val="22"/>
          <w:szCs w:val="22"/>
        </w:rPr>
        <w:t xml:space="preserve">Bounded and full rationality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Full rationality</w:t>
      </w:r>
      <w:r>
        <w:rPr>
          <w:rFonts w:ascii="Calibri" w:hAnsi="Calibri" w:cs="Calibri" w:eastAsia="PingFang SC"/>
          <w:color w:val="3D3A33"/>
          <w:sz w:val="22"/>
          <w:szCs w:val="22"/>
        </w:rPr>
        <w:t xml:space="preserve"> assumes the decision maker has complete information about the options and their consequences, stable and consistent preferences, and unlimited cognitive capacity to calculate the best choice. It is a theoretical benchmark, not a description of real people.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Bounded rationality</w:t>
      </w:r>
      <w:r>
        <w:rPr>
          <w:rFonts w:ascii="Calibri" w:hAnsi="Calibri" w:cs="Calibri" w:eastAsia="PingFang SC"/>
          <w:color w:val="3D3A33"/>
          <w:sz w:val="22"/>
          <w:szCs w:val="22"/>
        </w:rPr>
        <w:t xml:space="preserve"> (bounded by information, cognitive ability and time) is the realistic view: people cannot know or compute everything, so they simplify. They search only until they find an option that is good enough - satisficing rather than maximising - and they rely on rules of thumb, habits and frames.</w:t>
      </w:r>
    </w:p>
    <w:p>
      <w:pPr>
        <w:spacing w:before="0" w:after="160" w:line="312" w:lineRule="auto"/>
      </w:pPr>
      <w:r>
        <w:rPr>
          <w:rFonts w:ascii="Calibri" w:hAnsi="Calibri" w:cs="Calibri" w:eastAsia="PingFang SC"/>
          <w:color w:val="3D3A33"/>
          <w:sz w:val="22"/>
          <w:szCs w:val="22"/>
        </w:rPr>
        <w:t xml:space="preserve">The contrast matters for engagement: stakeholders do not evaluate your project exhaustively. They evaluate it through the slice of information they happen to hold, the way the choice is framed, and the mental shortcuts they trust. Presenting more data does not automatically change a decision, because the data is being filtered.</w:t>
      </w:r>
    </w:p>
    <w:p>
      <w:pPr>
        <w:spacing w:before="240" w:after="80" w:line="312" w:lineRule="auto"/>
      </w:pPr>
      <w:r>
        <w:rPr>
          <w:rFonts w:ascii="Calibri" w:hAnsi="Calibri" w:cs="Calibri" w:eastAsia="PingFang SC"/>
          <w:b/>
          <w:color w:val="175244"/>
          <w:sz w:val="22"/>
          <w:szCs w:val="22"/>
        </w:rPr>
        <w:t xml:space="preserve">Evaluation of expected consequences and external influences</w:t>
      </w:r>
    </w:p>
    <w:p>
      <w:pPr>
        <w:spacing w:before="0" w:after="160" w:line="312" w:lineRule="auto"/>
      </w:pPr>
      <w:r>
        <w:rPr>
          <w:rFonts w:ascii="Calibri" w:hAnsi="Calibri" w:cs="Calibri" w:eastAsia="PingFang SC"/>
          <w:color w:val="3D3A33"/>
          <w:sz w:val="22"/>
          <w:szCs w:val="22"/>
        </w:rPr>
        <w:t xml:space="preserve">Putting the pieces together, a stakeholder's action is the outcome of:</w:t>
      </w:r>
    </w:p>
    <w:p>
      <w:pPr>
        <w:numPr>
          <w:ilvl w:val="0"/>
          <w:numId w:val="101"/>
        </w:numPr>
        <w:spacing w:after="80" w:line="312" w:lineRule="auto"/>
      </w:pPr>
      <w:r>
        <w:rPr>
          <w:rFonts w:ascii="Calibri" w:hAnsi="Calibri" w:cs="Calibri" w:eastAsia="PingFang SC"/>
          <w:color w:val="3D3A33"/>
          <w:sz w:val="22"/>
          <w:szCs w:val="22"/>
        </w:rPr>
        <w:t xml:space="preserve">The consequences they expect from each alternative (logic of consequentiality), filtered through their own interests (self-interest).</w:t>
      </w:r>
    </w:p>
    <w:p>
      <w:pPr>
        <w:numPr>
          <w:ilvl w:val="0"/>
          <w:numId w:val="101"/>
        </w:numPr>
        <w:spacing w:after="80" w:line="312" w:lineRule="auto"/>
      </w:pPr>
      <w:r>
        <w:rPr>
          <w:rFonts w:ascii="Calibri" w:hAnsi="Calibri" w:cs="Calibri" w:eastAsia="PingFang SC"/>
          <w:color w:val="3D3A33"/>
          <w:sz w:val="22"/>
          <w:szCs w:val="22"/>
        </w:rPr>
        <w:t xml:space="preserve">Their attitude toward the behaviour, the subjective norms around it, and their perceived and actual control and capabilities (TPB).</w:t>
      </w:r>
    </w:p>
    <w:p>
      <w:pPr>
        <w:numPr>
          <w:ilvl w:val="0"/>
          <w:numId w:val="101"/>
        </w:numPr>
        <w:spacing w:after="80" w:line="312" w:lineRule="auto"/>
      </w:pPr>
      <w:r>
        <w:rPr>
          <w:rFonts w:ascii="Calibri" w:hAnsi="Calibri" w:cs="Calibri" w:eastAsia="PingFang SC"/>
          <w:b/>
          <w:color w:val="3D3A33"/>
          <w:sz w:val="22"/>
          <w:szCs w:val="22"/>
        </w:rPr>
        <w:t xml:space="preserve">External influences</w:t>
      </w:r>
      <w:r>
        <w:rPr>
          <w:rFonts w:ascii="Calibri" w:hAnsi="Calibri" w:cs="Calibri" w:eastAsia="PingFang SC"/>
          <w:color w:val="3D3A33"/>
          <w:sz w:val="22"/>
          <w:szCs w:val="22"/>
        </w:rPr>
        <w:t xml:space="preserve">: the surrounding conditions that shape all of the above - the project's communication, the stakeholder's organisational rules and incentives, the economic and regulatory environment, what other stakeholders do, and events that arrive from outside.</w:t>
      </w:r>
    </w:p>
    <w:p>
      <w:pPr>
        <w:spacing w:before="0" w:after="160" w:line="312" w:lineRule="auto"/>
      </w:pPr>
      <w:r>
        <w:rPr>
          <w:rFonts w:ascii="Calibri" w:hAnsi="Calibri" w:cs="Calibri" w:eastAsia="PingFang SC"/>
          <w:color w:val="3D3A33"/>
          <w:sz w:val="22"/>
          <w:szCs w:val="22"/>
        </w:rPr>
        <w:t xml:space="preserve">External influences are the project manager's levers: the project rarely changes a stakeholder's deep values, but it can change the information, the framing, the social setting and the practical ease of acting.</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TPB as an analysis chain</w:t>
      </w:r>
    </w:p>
    <w:p>
      <w:pPr>
        <w:spacing w:before="0" w:after="160" w:line="312" w:lineRule="auto"/>
      </w:pPr>
      <w:r>
        <w:rPr>
          <w:rFonts w:ascii="Calibri" w:hAnsi="Calibri" w:cs="Calibri" w:eastAsia="PingFang SC"/>
          <w:color w:val="3D3A33"/>
          <w:sz w:val="22"/>
          <w:szCs w:val="22"/>
        </w:rPr>
        <w:t xml:space="preserve">Use the model in this order when analysing a stakeholder:</w:t>
      </w:r>
    </w:p>
    <w:p>
      <w:pPr>
        <w:numPr>
          <w:ilvl w:val="0"/>
          <w:numId w:val="102"/>
        </w:numPr>
        <w:spacing w:after="80" w:line="312" w:lineRule="auto"/>
      </w:pPr>
      <w:r>
        <w:rPr>
          <w:rFonts w:ascii="Calibri" w:hAnsi="Calibri" w:cs="Calibri" w:eastAsia="PingFang SC"/>
          <w:color w:val="3D3A33"/>
          <w:sz w:val="22"/>
          <w:szCs w:val="22"/>
        </w:rPr>
        <w:t xml:space="preserve">Name the behaviour of interest (what exactly do you want this stakeholder to do, or stop doing?).</w:t>
      </w:r>
    </w:p>
    <w:p>
      <w:pPr>
        <w:numPr>
          <w:ilvl w:val="0"/>
          <w:numId w:val="102"/>
        </w:numPr>
        <w:spacing w:after="80" w:line="312" w:lineRule="auto"/>
      </w:pPr>
      <w:r>
        <w:rPr>
          <w:rFonts w:ascii="Calibri" w:hAnsi="Calibri" w:cs="Calibri" w:eastAsia="PingFang SC"/>
          <w:color w:val="3D3A33"/>
          <w:sz w:val="22"/>
          <w:szCs w:val="22"/>
        </w:rPr>
        <w:t xml:space="preserve">Identify the expected consequences behind their current stance -&gt; their </w:t>
      </w:r>
      <w:r>
        <w:rPr>
          <w:rFonts w:ascii="Calibri" w:hAnsi="Calibri" w:cs="Calibri" w:eastAsia="PingFang SC"/>
          <w:b/>
          <w:color w:val="3D3A33"/>
          <w:sz w:val="22"/>
          <w:szCs w:val="22"/>
        </w:rPr>
        <w:t xml:space="preserve">attitude</w:t>
      </w:r>
      <w:r>
        <w:rPr>
          <w:rFonts w:ascii="Calibri" w:hAnsi="Calibri" w:cs="Calibri" w:eastAsia="PingFang SC"/>
          <w:color w:val="3D3A33"/>
          <w:sz w:val="22"/>
          <w:szCs w:val="22"/>
        </w:rPr>
        <w:t xml:space="preserve">.</w:t>
      </w:r>
    </w:p>
    <w:p>
      <w:pPr>
        <w:numPr>
          <w:ilvl w:val="0"/>
          <w:numId w:val="102"/>
        </w:numPr>
        <w:spacing w:after="80" w:line="312" w:lineRule="auto"/>
      </w:pPr>
      <w:r>
        <w:rPr>
          <w:rFonts w:ascii="Calibri" w:hAnsi="Calibri" w:cs="Calibri" w:eastAsia="PingFang SC"/>
          <w:color w:val="3D3A33"/>
          <w:sz w:val="22"/>
          <w:szCs w:val="22"/>
        </w:rPr>
        <w:t xml:space="preserve">Identify whose opinion they heed -&gt; the </w:t>
      </w:r>
      <w:r>
        <w:rPr>
          <w:rFonts w:ascii="Calibri" w:hAnsi="Calibri" w:cs="Calibri" w:eastAsia="PingFang SC"/>
          <w:b/>
          <w:color w:val="3D3A33"/>
          <w:sz w:val="22"/>
          <w:szCs w:val="22"/>
        </w:rPr>
        <w:t xml:space="preserve">subjective norms</w:t>
      </w:r>
      <w:r>
        <w:rPr>
          <w:rFonts w:ascii="Calibri" w:hAnsi="Calibri" w:cs="Calibri" w:eastAsia="PingFang SC"/>
          <w:color w:val="3D3A33"/>
          <w:sz w:val="22"/>
          <w:szCs w:val="22"/>
        </w:rPr>
        <w:t xml:space="preserve">.</w:t>
      </w:r>
    </w:p>
    <w:p>
      <w:pPr>
        <w:numPr>
          <w:ilvl w:val="0"/>
          <w:numId w:val="102"/>
        </w:numPr>
        <w:spacing w:after="80" w:line="312" w:lineRule="auto"/>
      </w:pPr>
      <w:r>
        <w:rPr>
          <w:rFonts w:ascii="Calibri" w:hAnsi="Calibri" w:cs="Calibri" w:eastAsia="PingFang SC"/>
          <w:color w:val="3D3A33"/>
          <w:sz w:val="22"/>
          <w:szCs w:val="22"/>
        </w:rPr>
        <w:t xml:space="preserve">Identify what makes the behaviour easy or hard for them -&gt; </w:t>
      </w:r>
      <w:r>
        <w:rPr>
          <w:rFonts w:ascii="Calibri" w:hAnsi="Calibri" w:cs="Calibri" w:eastAsia="PingFang SC"/>
          <w:b/>
          <w:color w:val="3D3A33"/>
          <w:sz w:val="22"/>
          <w:szCs w:val="22"/>
        </w:rPr>
        <w:t xml:space="preserve">perceived behavioural control</w:t>
      </w:r>
      <w:r>
        <w:rPr>
          <w:rFonts w:ascii="Calibri" w:hAnsi="Calibri" w:cs="Calibri" w:eastAsia="PingFang SC"/>
          <w:color w:val="3D3A33"/>
          <w:sz w:val="22"/>
          <w:szCs w:val="22"/>
        </w:rPr>
        <w:t xml:space="preserve">, checked against their real </w:t>
      </w:r>
      <w:r>
        <w:rPr>
          <w:rFonts w:ascii="Calibri" w:hAnsi="Calibri" w:cs="Calibri" w:eastAsia="PingFang SC"/>
          <w:b/>
          <w:color w:val="3D3A33"/>
          <w:sz w:val="22"/>
          <w:szCs w:val="22"/>
        </w:rPr>
        <w:t xml:space="preserve">capabilities</w:t>
      </w:r>
      <w:r>
        <w:rPr>
          <w:rFonts w:ascii="Calibri" w:hAnsi="Calibri" w:cs="Calibri" w:eastAsia="PingFang SC"/>
          <w:color w:val="3D3A33"/>
          <w:sz w:val="22"/>
          <w:szCs w:val="22"/>
        </w:rPr>
        <w:t xml:space="preserve">.</w:t>
      </w:r>
    </w:p>
    <w:p>
      <w:pPr>
        <w:numPr>
          <w:ilvl w:val="0"/>
          <w:numId w:val="102"/>
        </w:numPr>
        <w:spacing w:after="80" w:line="312" w:lineRule="auto"/>
      </w:pPr>
      <w:r>
        <w:rPr>
          <w:rFonts w:ascii="Calibri" w:hAnsi="Calibri" w:cs="Calibri" w:eastAsia="PingFang SC"/>
          <w:color w:val="3D3A33"/>
          <w:sz w:val="22"/>
          <w:szCs w:val="22"/>
        </w:rPr>
        <w:t xml:space="preserve">Estimate the resulting </w:t>
      </w:r>
      <w:r>
        <w:rPr>
          <w:rFonts w:ascii="Calibri" w:hAnsi="Calibri" w:cs="Calibri" w:eastAsia="PingFang SC"/>
          <w:b/>
          <w:color w:val="3D3A33"/>
          <w:sz w:val="22"/>
          <w:szCs w:val="22"/>
        </w:rPr>
        <w:t xml:space="preserve">intention</w:t>
      </w:r>
      <w:r>
        <w:rPr>
          <w:rFonts w:ascii="Calibri" w:hAnsi="Calibri" w:cs="Calibri" w:eastAsia="PingFang SC"/>
          <w:color w:val="3D3A33"/>
          <w:sz w:val="22"/>
          <w:szCs w:val="22"/>
        </w:rPr>
        <w:t xml:space="preserve">, then check whether intention can actually become </w:t>
      </w:r>
      <w:r>
        <w:rPr>
          <w:rFonts w:ascii="Calibri" w:hAnsi="Calibri" w:cs="Calibri" w:eastAsia="PingFang SC"/>
          <w:b/>
          <w:color w:val="3D3A33"/>
          <w:sz w:val="22"/>
          <w:szCs w:val="22"/>
        </w:rPr>
        <w:t xml:space="preserve">behaviour</w:t>
      </w:r>
      <w:r>
        <w:rPr>
          <w:rFonts w:ascii="Calibri" w:hAnsi="Calibri" w:cs="Calibri" w:eastAsia="PingFang SC"/>
          <w:color w:val="3D3A33"/>
          <w:sz w:val="22"/>
          <w:szCs w:val="22"/>
        </w:rPr>
        <w:t xml:space="preserve"> given capabilities and external influences.</w:t>
      </w:r>
    </w:p>
    <w:p>
      <w:pPr>
        <w:numPr>
          <w:ilvl w:val="0"/>
          <w:numId w:val="102"/>
        </w:numPr>
        <w:spacing w:after="80" w:line="312" w:lineRule="auto"/>
      </w:pPr>
      <w:r>
        <w:rPr>
          <w:rFonts w:ascii="Calibri" w:hAnsi="Calibri" w:cs="Calibri" w:eastAsia="PingFang SC"/>
          <w:color w:val="3D3A33"/>
          <w:sz w:val="22"/>
          <w:szCs w:val="22"/>
        </w:rPr>
        <w:t xml:space="preserve">Choose engagement actions that move one or more of those links.</w:t>
      </w:r>
    </w:p>
    <w:p>
      <w:pPr>
        <w:spacing w:before="240" w:after="80" w:line="312" w:lineRule="auto"/>
      </w:pPr>
      <w:r>
        <w:rPr>
          <w:rFonts w:ascii="Calibri" w:hAnsi="Calibri" w:cs="Calibri" w:eastAsia="PingFang SC"/>
          <w:b/>
          <w:color w:val="175244"/>
          <w:sz w:val="22"/>
          <w:szCs w:val="22"/>
        </w:rPr>
        <w:t xml:space="preserve">Motivation lenses compared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558"/>
        <w:gridCol w:w="3904"/>
        <w:gridCol w:w="2898"/>
      </w:tblGrid>
      <w:tr>
        <w:trPr>
          <w:tblHeader/>
        </w:trPr>
        <w:tc>
          <w:tcPr>
            <w:tcW w:w="2558" w:type="dxa"/>
            <w:shd w:val="clear" w:color="auto" w:fill="EAE7DD"/>
          </w:tcPr>
          <w:p>
            <w:pPr>
              <w:spacing w:before="0" w:after="0" w:line="312" w:lineRule="auto"/>
            </w:pPr>
            <w:r>
              <w:rPr>
                <w:rFonts w:ascii="Calibri" w:hAnsi="Calibri" w:cs="Calibri" w:eastAsia="PingFang SC"/>
                <w:b/>
                <w:color w:val="3D3A33"/>
                <w:sz w:val="22"/>
                <w:szCs w:val="22"/>
              </w:rPr>
              <w:t xml:space="preserve">Lens</w:t>
            </w:r>
          </w:p>
        </w:tc>
        <w:tc>
          <w:tcPr>
            <w:tcW w:w="3904" w:type="dxa"/>
            <w:shd w:val="clear" w:color="auto" w:fill="EAE7DD"/>
          </w:tcPr>
          <w:p>
            <w:pPr>
              <w:spacing w:before="0" w:after="0" w:line="312" w:lineRule="auto"/>
            </w:pPr>
            <w:r>
              <w:rPr>
                <w:rFonts w:ascii="Calibri" w:hAnsi="Calibri" w:cs="Calibri" w:eastAsia="PingFang SC"/>
                <w:b/>
                <w:color w:val="3D3A33"/>
                <w:sz w:val="22"/>
                <w:szCs w:val="22"/>
              </w:rPr>
              <w:t xml:space="preserve">Core claim</w:t>
            </w:r>
          </w:p>
        </w:tc>
        <w:tc>
          <w:tcPr>
            <w:tcW w:w="2898" w:type="dxa"/>
            <w:shd w:val="clear" w:color="auto" w:fill="EAE7DD"/>
          </w:tcPr>
          <w:p>
            <w:pPr>
              <w:spacing w:before="0" w:after="0" w:line="312" w:lineRule="auto"/>
            </w:pPr>
            <w:r>
              <w:rPr>
                <w:rFonts w:ascii="Calibri" w:hAnsi="Calibri" w:cs="Calibri" w:eastAsia="PingFang SC"/>
                <w:b/>
                <w:color w:val="3D3A33"/>
                <w:sz w:val="22"/>
                <w:szCs w:val="22"/>
              </w:rPr>
              <w:t xml:space="preserve">Question it answers</w:t>
            </w:r>
          </w:p>
        </w:tc>
      </w:tr>
      <w:tr>
        <w:tc>
          <w:tcPr>
            <w:tcW w:w="2558" w:type="dxa"/>
          </w:tcPr>
          <w:p>
            <w:pPr>
              <w:spacing w:before="0" w:after="0" w:line="312" w:lineRule="auto"/>
            </w:pPr>
            <w:r>
              <w:rPr>
                <w:rFonts w:ascii="Calibri" w:hAnsi="Calibri" w:cs="Calibri" w:eastAsia="PingFang SC"/>
                <w:color w:val="3D3A33"/>
                <w:sz w:val="22"/>
                <w:szCs w:val="22"/>
              </w:rPr>
              <w:t xml:space="preserve">Classical self-interest (Smith, 1776)</w:t>
            </w:r>
          </w:p>
        </w:tc>
        <w:tc>
          <w:tcPr>
            <w:tcW w:w="3904" w:type="dxa"/>
          </w:tcPr>
          <w:p>
            <w:pPr>
              <w:spacing w:before="0" w:after="0" w:line="312" w:lineRule="auto"/>
            </w:pPr>
            <w:r>
              <w:rPr>
                <w:rFonts w:ascii="Calibri" w:hAnsi="Calibri" w:cs="Calibri" w:eastAsia="PingFang SC"/>
                <w:color w:val="3D3A33"/>
                <w:sz w:val="22"/>
                <w:szCs w:val="22"/>
              </w:rPr>
              <w:t xml:space="preserve">People pursue their own benefit</w:t>
            </w:r>
          </w:p>
        </w:tc>
        <w:tc>
          <w:tcPr>
            <w:tcW w:w="2898" w:type="dxa"/>
          </w:tcPr>
          <w:p>
            <w:pPr>
              <w:spacing w:before="0" w:after="0" w:line="312" w:lineRule="auto"/>
            </w:pPr>
            <w:r>
              <w:rPr>
                <w:rFonts w:ascii="Calibri" w:hAnsi="Calibri" w:cs="Calibri" w:eastAsia="PingFang SC"/>
                <w:color w:val="3D3A33"/>
                <w:sz w:val="22"/>
                <w:szCs w:val="22"/>
              </w:rPr>
              <w:t xml:space="preserve">What is in it for them?</w:t>
            </w:r>
          </w:p>
        </w:tc>
      </w:tr>
      <w:tr>
        <w:tc>
          <w:tcPr>
            <w:tcW w:w="2558" w:type="dxa"/>
          </w:tcPr>
          <w:p>
            <w:pPr>
              <w:spacing w:before="0" w:after="0" w:line="312" w:lineRule="auto"/>
            </w:pPr>
            <w:r>
              <w:rPr>
                <w:rFonts w:ascii="Calibri" w:hAnsi="Calibri" w:cs="Calibri" w:eastAsia="PingFang SC"/>
                <w:color w:val="3D3A33"/>
                <w:sz w:val="22"/>
                <w:szCs w:val="22"/>
              </w:rPr>
              <w:t xml:space="preserve">Logic of consequentiality (March and Heath, 1994)</w:t>
            </w:r>
          </w:p>
        </w:tc>
        <w:tc>
          <w:tcPr>
            <w:tcW w:w="3904" w:type="dxa"/>
          </w:tcPr>
          <w:p>
            <w:pPr>
              <w:spacing w:before="0" w:after="0" w:line="312" w:lineRule="auto"/>
            </w:pPr>
            <w:r>
              <w:rPr>
                <w:rFonts w:ascii="Calibri" w:hAnsi="Calibri" w:cs="Calibri" w:eastAsia="PingFang SC"/>
                <w:color w:val="3D3A33"/>
                <w:sz w:val="22"/>
                <w:szCs w:val="22"/>
              </w:rPr>
              <w:t xml:space="preserve">People choose the action whose expected consequences best serve their goals</w:t>
            </w:r>
          </w:p>
        </w:tc>
        <w:tc>
          <w:tcPr>
            <w:tcW w:w="2898" w:type="dxa"/>
          </w:tcPr>
          <w:p>
            <w:pPr>
              <w:spacing w:before="0" w:after="0" w:line="312" w:lineRule="auto"/>
            </w:pPr>
            <w:r>
              <w:rPr>
                <w:rFonts w:ascii="Calibri" w:hAnsi="Calibri" w:cs="Calibri" w:eastAsia="PingFang SC"/>
                <w:color w:val="3D3A33"/>
                <w:sz w:val="22"/>
                <w:szCs w:val="22"/>
              </w:rPr>
              <w:t xml:space="preserve">What do they think will happen if they act?</w:t>
            </w:r>
          </w:p>
        </w:tc>
      </w:tr>
      <w:tr>
        <w:tc>
          <w:tcPr>
            <w:tcW w:w="2558" w:type="dxa"/>
          </w:tcPr>
          <w:p>
            <w:pPr>
              <w:spacing w:before="0" w:after="0" w:line="312" w:lineRule="auto"/>
            </w:pPr>
            <w:r>
              <w:rPr>
                <w:rFonts w:ascii="Calibri" w:hAnsi="Calibri" w:cs="Calibri" w:eastAsia="PingFang SC"/>
                <w:color w:val="3D3A33"/>
                <w:sz w:val="22"/>
                <w:szCs w:val="22"/>
              </w:rPr>
              <w:t xml:space="preserve">Theory of Planned Behaviour (Ajzen, 1991)</w:t>
            </w:r>
          </w:p>
        </w:tc>
        <w:tc>
          <w:tcPr>
            <w:tcW w:w="3904" w:type="dxa"/>
          </w:tcPr>
          <w:p>
            <w:pPr>
              <w:spacing w:before="0" w:after="0" w:line="312" w:lineRule="auto"/>
            </w:pPr>
            <w:r>
              <w:rPr>
                <w:rFonts w:ascii="Calibri" w:hAnsi="Calibri" w:cs="Calibri" w:eastAsia="PingFang SC"/>
                <w:color w:val="3D3A33"/>
                <w:sz w:val="22"/>
                <w:szCs w:val="22"/>
              </w:rPr>
              <w:t xml:space="preserve">Attitude, subjective norms and perceived behavioural control shape intention, and intention shapes behaviour</w:t>
            </w:r>
          </w:p>
        </w:tc>
        <w:tc>
          <w:tcPr>
            <w:tcW w:w="2898" w:type="dxa"/>
          </w:tcPr>
          <w:p>
            <w:pPr>
              <w:spacing w:before="0" w:after="0" w:line="312" w:lineRule="auto"/>
            </w:pPr>
            <w:r>
              <w:rPr>
                <w:rFonts w:ascii="Calibri" w:hAnsi="Calibri" w:cs="Calibri" w:eastAsia="PingFang SC"/>
                <w:color w:val="3D3A33"/>
                <w:sz w:val="22"/>
                <w:szCs w:val="22"/>
              </w:rPr>
              <w:t xml:space="preserve">Why do they intend to act that way, and can they?</w:t>
            </w:r>
          </w:p>
        </w:tc>
      </w:tr>
      <w:tr>
        <w:tc>
          <w:tcPr>
            <w:tcW w:w="2558" w:type="dxa"/>
          </w:tcPr>
          <w:p>
            <w:pPr>
              <w:spacing w:before="0" w:after="0" w:line="312" w:lineRule="auto"/>
            </w:pPr>
            <w:r>
              <w:rPr>
                <w:rFonts w:ascii="Calibri" w:hAnsi="Calibri" w:cs="Calibri" w:eastAsia="PingFang SC"/>
                <w:color w:val="3D3A33"/>
                <w:sz w:val="22"/>
                <w:szCs w:val="22"/>
              </w:rPr>
              <w:t xml:space="preserve">Bounded rationality</w:t>
            </w:r>
          </w:p>
        </w:tc>
        <w:tc>
          <w:tcPr>
            <w:tcW w:w="3904" w:type="dxa"/>
          </w:tcPr>
          <w:p>
            <w:pPr>
              <w:spacing w:before="0" w:after="0" w:line="312" w:lineRule="auto"/>
            </w:pPr>
            <w:r>
              <w:rPr>
                <w:rFonts w:ascii="Calibri" w:hAnsi="Calibri" w:cs="Calibri" w:eastAsia="PingFang SC"/>
                <w:color w:val="3D3A33"/>
                <w:sz w:val="22"/>
                <w:szCs w:val="22"/>
              </w:rPr>
              <w:t xml:space="preserve">People decide with limited information and calculation, and satisfice</w:t>
            </w:r>
          </w:p>
        </w:tc>
        <w:tc>
          <w:tcPr>
            <w:tcW w:w="2898" w:type="dxa"/>
          </w:tcPr>
          <w:p>
            <w:pPr>
              <w:spacing w:before="0" w:after="0" w:line="312" w:lineRule="auto"/>
            </w:pPr>
            <w:r>
              <w:rPr>
                <w:rFonts w:ascii="Calibri" w:hAnsi="Calibri" w:cs="Calibri" w:eastAsia="PingFang SC"/>
                <w:color w:val="3D3A33"/>
                <w:sz w:val="22"/>
                <w:szCs w:val="22"/>
              </w:rPr>
              <w:t xml:space="preserve">What will they actually consider, and what will they ignore?</w:t>
            </w:r>
          </w:p>
        </w:tc>
      </w:tr>
    </w:tbl>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Why one stakeholder supports and another blocks the same change</w:t>
      </w:r>
    </w:p>
    <w:p>
      <w:pPr>
        <w:spacing w:before="0" w:after="160" w:line="312" w:lineRule="auto"/>
      </w:pPr>
      <w:r>
        <w:rPr>
          <w:rFonts w:ascii="Calibri" w:hAnsi="Calibri" w:cs="Calibri" w:eastAsia="PingFang SC"/>
          <w:color w:val="3D3A33"/>
          <w:sz w:val="22"/>
          <w:szCs w:val="22"/>
        </w:rPr>
        <w:t xml:space="preserve">Suppose a project introduces a new reporting system, and two department heads decide whether to cooperate.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Head A expects the system to cut their monthly reporting effort (positive expected consequences), feels positive about it (attitude), hears the sponsor praise it (subjective norms), and controls a team that can spare the time to learn it (perceived behavioural control and capability). The chain runs attitude -&gt; intention -&gt; behaviour, and A cooperates.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Head B expects the same system to expose their department's numbers to scrutiny (negative expected consequences), so their attitude is unfavourable. Their peers grumble (subjective norms against), and they lack the staff to run the change during quarter close (low perceived behavioural control). B resists - and no amount of extra statistics about the system helps, because the resistance lives in consequences, norms and control, not in missing information.</w:t>
      </w:r>
    </w:p>
    <w:p>
      <w:pPr>
        <w:spacing w:before="0" w:after="160" w:line="312" w:lineRule="auto"/>
      </w:pPr>
      <w:r>
        <w:rPr>
          <w:rFonts w:ascii="Calibri" w:hAnsi="Calibri" w:cs="Calibri" w:eastAsia="PingFang SC"/>
          <w:color w:val="3D3A33"/>
          <w:sz w:val="22"/>
          <w:szCs w:val="22"/>
        </w:rPr>
        <w:t xml:space="preserve">The intervention differs accordingly: with A, confirm and enable; with B, work on the expected consequences (address the exposure concern), on the norms (get respected peers on side), and on control (offer hands-on support or change the timing).</w:t>
      </w:r>
    </w:p>
    <w:p>
      <w:pPr>
        <w:spacing w:before="240" w:after="80" w:line="312" w:lineRule="auto"/>
      </w:pPr>
      <w:r>
        <w:rPr>
          <w:rFonts w:ascii="Calibri" w:hAnsi="Calibri" w:cs="Calibri" w:eastAsia="PingFang SC"/>
          <w:b/>
          <w:color w:val="175244"/>
          <w:sz w:val="22"/>
          <w:szCs w:val="22"/>
        </w:rPr>
        <w:t xml:space="preserve">A stakeholder who cannot act on a positive intention</w:t>
      </w:r>
    </w:p>
    <w:p>
      <w:pPr>
        <w:spacing w:before="0" w:after="160" w:line="312" w:lineRule="auto"/>
      </w:pPr>
      <w:r>
        <w:rPr>
          <w:rFonts w:ascii="Calibri" w:hAnsi="Calibri" w:cs="Calibri" w:eastAsia="PingFang SC"/>
          <w:color w:val="3D3A33"/>
          <w:sz w:val="22"/>
          <w:szCs w:val="22"/>
        </w:rPr>
        <w:t xml:space="preserve">A community representative may fully intend to attend consultation meetings (favourable attitude, supportive norms) but lacks transport, time off work, or notice of the meetings (capabilities and external influences). The behaviour does not happen despite the intention. This is why engagement design must remove practical barriers, not merely persuade: TPB's perceived behavioural control is not a state of mind to be talked away.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