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03</w:t>
      </w:r>
    </w:p>
    <w:p>
      <w:pPr>
        <w:spacing w:before="240" w:after="80" w:line="312" w:lineRule="auto"/>
      </w:pPr>
      <w:r>
        <w:rPr>
          <w:rFonts w:ascii="Calibri" w:hAnsi="Calibri" w:cs="Calibri" w:eastAsia="PingFang SC"/>
          <w:b/>
          <w:color w:val="33302A"/>
          <w:sz w:val="32"/>
          <w:szCs w:val="32"/>
        </w:rPr>
        <w:t xml:space="preserve">PMGT1852 Week 03 - Stakeholder Analysis Framework: Identification, Assessment and Prioritisation</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turns the stakeholder concept into a working method. The analysis framework has three steps - identification, assessment, prioritisation - and each step has its own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purpose of stakeholder analysis: why analyse at all, and what a good analysis decides.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three-step framework: identification, assessment, prioritisation (and then engagement).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Help-harm potential: how much a stakeholder could help, and how much they could harm, the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assessment grids: the potential matrix and the commitment matrix.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CATWOE for reading a stakeholder's situation and worldview.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MoSCoW for prioritising what must be addressed first.</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The purpose of stakeholder analysis</w:t>
      </w:r>
    </w:p>
    <w:p>
      <w:pPr>
        <w:spacing w:before="0" w:after="160" w:line="312" w:lineRule="auto"/>
      </w:pPr>
      <w:r>
        <w:rPr>
          <w:rFonts w:ascii="Calibri" w:hAnsi="Calibri" w:cs="Calibri" w:eastAsia="PingFang SC"/>
          <w:color w:val="3D3A33"/>
          <w:sz w:val="22"/>
          <w:szCs w:val="22"/>
        </w:rPr>
        <w:t xml:space="preserve">Stakeholder analysis exists to turn an overwhelming list of people into a defensible allocation of attention. It answers three questions: who matters, why they matter, and in what order their needs, risks and contributions must be handled. Without it, engagement effort is spread evenly over uneven stakes, and the loudest stakeholder sets the agenda instead of the most consequential one.</w:t>
      </w:r>
    </w:p>
    <w:p>
      <w:pPr>
        <w:spacing w:before="240" w:after="80" w:line="312" w:lineRule="auto"/>
      </w:pPr>
      <w:r>
        <w:rPr>
          <w:rFonts w:ascii="Calibri" w:hAnsi="Calibri" w:cs="Calibri" w:eastAsia="PingFang SC"/>
          <w:b/>
          <w:color w:val="175244"/>
          <w:sz w:val="22"/>
          <w:szCs w:val="22"/>
        </w:rPr>
        <w:t xml:space="preserve">The three-step framework</w:t>
      </w:r>
    </w:p>
    <w:p>
      <w:pPr>
        <w:numPr>
          <w:ilvl w:val="0"/>
          <w:numId w:val="101"/>
        </w:numPr>
        <w:spacing w:after="80" w:line="312" w:lineRule="auto"/>
      </w:pPr>
      <w:r>
        <w:rPr>
          <w:rFonts w:ascii="Calibri" w:hAnsi="Calibri" w:cs="Calibri" w:eastAsia="PingFang SC"/>
          <w:b/>
          <w:color w:val="3D3A33"/>
          <w:sz w:val="22"/>
          <w:szCs w:val="22"/>
        </w:rPr>
        <w:t xml:space="preserve">Identification</w:t>
      </w:r>
      <w:r>
        <w:rPr>
          <w:rFonts w:ascii="Calibri" w:hAnsi="Calibri" w:cs="Calibri" w:eastAsia="PingFang SC"/>
          <w:color w:val="3D3A33"/>
          <w:sz w:val="22"/>
          <w:szCs w:val="22"/>
        </w:rPr>
        <w:t xml:space="preserve">: define the boundary of the system of concern, then list the stakeholders inside it. Disaggregate aggregated labels ("the community", "the regulators") into distinct groups with distinct roles, contributions and impacts.</w:t>
      </w:r>
    </w:p>
    <w:p>
      <w:pPr>
        <w:numPr>
          <w:ilvl w:val="0"/>
          <w:numId w:val="101"/>
        </w:numPr>
        <w:spacing w:after="80" w:line="312" w:lineRule="auto"/>
      </w:pPr>
      <w:r>
        <w:rPr>
          <w:rFonts w:ascii="Calibri" w:hAnsi="Calibri" w:cs="Calibri" w:eastAsia="PingFang SC"/>
          <w:b/>
          <w:color w:val="3D3A33"/>
          <w:sz w:val="22"/>
          <w:szCs w:val="22"/>
        </w:rPr>
        <w:t xml:space="preserve">Assessment</w:t>
      </w:r>
      <w:r>
        <w:rPr>
          <w:rFonts w:ascii="Calibri" w:hAnsi="Calibri" w:cs="Calibri" w:eastAsia="PingFang SC"/>
          <w:color w:val="3D3A33"/>
          <w:sz w:val="22"/>
          <w:szCs w:val="22"/>
        </w:rPr>
        <w:t xml:space="preserve">: characterise each stakeholder - their interests and expectations, their roles and contributions, and how they could help or harm the project - using the grids described below.</w:t>
      </w:r>
    </w:p>
    <w:p>
      <w:pPr>
        <w:numPr>
          <w:ilvl w:val="0"/>
          <w:numId w:val="101"/>
        </w:numPr>
        <w:spacing w:after="80" w:line="312" w:lineRule="auto"/>
      </w:pPr>
      <w:r>
        <w:rPr>
          <w:rFonts w:ascii="Calibri" w:hAnsi="Calibri" w:cs="Calibri" w:eastAsia="PingFang SC"/>
          <w:b/>
          <w:color w:val="3D3A33"/>
          <w:sz w:val="22"/>
          <w:szCs w:val="22"/>
        </w:rPr>
        <w:t xml:space="preserve">Prioritisation</w:t>
      </w:r>
      <w:r>
        <w:rPr>
          <w:rFonts w:ascii="Calibri" w:hAnsi="Calibri" w:cs="Calibri" w:eastAsia="PingFang SC"/>
          <w:color w:val="3D3A33"/>
          <w:sz w:val="22"/>
          <w:szCs w:val="22"/>
        </w:rPr>
        <w:t xml:space="preserve">: rank stakeholders on the assessed evidence, so engagement effort is proportionate to stake.</w:t>
      </w:r>
    </w:p>
    <w:p>
      <w:pPr>
        <w:spacing w:before="0" w:after="160" w:line="312" w:lineRule="auto"/>
      </w:pPr>
      <w:r>
        <w:rPr>
          <w:rFonts w:ascii="Calibri" w:hAnsi="Calibri" w:cs="Calibri" w:eastAsia="PingFang SC"/>
          <w:color w:val="3D3A33"/>
          <w:sz w:val="22"/>
          <w:szCs w:val="22"/>
        </w:rPr>
        <w:t xml:space="preserve">Engagement follows, and the results feed back: once engagement begins, the assessment is revised.</w:t>
      </w:r>
    </w:p>
    <w:p>
      <w:pPr>
        <w:spacing w:before="240" w:after="80" w:line="312" w:lineRule="auto"/>
      </w:pPr>
      <w:r>
        <w:rPr>
          <w:rFonts w:ascii="Calibri" w:hAnsi="Calibri" w:cs="Calibri" w:eastAsia="PingFang SC"/>
          <w:b/>
          <w:color w:val="175244"/>
          <w:sz w:val="22"/>
          <w:szCs w:val="22"/>
        </w:rPr>
        <w:t xml:space="preserve">Help-harm potential</w:t>
      </w:r>
    </w:p>
    <w:p>
      <w:pPr>
        <w:spacing w:before="0" w:after="160" w:line="312" w:lineRule="auto"/>
      </w:pPr>
      <w:r>
        <w:rPr>
          <w:rFonts w:ascii="Calibri" w:hAnsi="Calibri" w:cs="Calibri" w:eastAsia="PingFang SC"/>
          <w:color w:val="3D3A33"/>
          <w:sz w:val="22"/>
          <w:szCs w:val="22"/>
        </w:rPr>
        <w:t xml:space="preserve">Every stakeholder has two distinct capacities in relation to the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Help potential</w:t>
      </w:r>
      <w:r>
        <w:rPr>
          <w:rFonts w:ascii="Calibri" w:hAnsi="Calibri" w:cs="Calibri" w:eastAsia="PingFang SC"/>
          <w:color w:val="3D3A33"/>
          <w:sz w:val="22"/>
          <w:szCs w:val="22"/>
        </w:rPr>
        <w:t xml:space="preserve">: how much this stakeholder could contribute to success (resources, approvals, legitimacy, information, influence with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Harm potential</w:t>
      </w:r>
      <w:r>
        <w:rPr>
          <w:rFonts w:ascii="Calibri" w:hAnsi="Calibri" w:cs="Calibri" w:eastAsia="PingFang SC"/>
          <w:color w:val="3D3A33"/>
          <w:sz w:val="22"/>
          <w:szCs w:val="22"/>
        </w:rPr>
        <w:t xml:space="preserve">: how much this stakeholder could damage or derail the project (blocking approvals, damaging reputation, mobilising opposition, withholding cooperation).</w:t>
      </w:r>
    </w:p>
    <w:p>
      <w:pPr>
        <w:spacing w:before="0" w:after="160" w:line="312" w:lineRule="auto"/>
      </w:pPr>
      <w:r>
        <w:rPr>
          <w:rFonts w:ascii="Calibri" w:hAnsi="Calibri" w:cs="Calibri" w:eastAsia="PingFang SC"/>
          <w:color w:val="3D3A33"/>
          <w:sz w:val="22"/>
          <w:szCs w:val="22"/>
        </w:rPr>
        <w:t xml:space="preserve">Help and harm are two independent capacities, not one attitude scale running from supportive to hostile. A stakeholder can be high on both - a powerful partner whose support is essential and whose displeasure is dangerous - and a stakeholder can be low on both. Judging stakeholders on a single "positive versus negative" axis hides exactly the cases that matter.</w:t>
      </w:r>
    </w:p>
    <w:p>
      <w:pPr>
        <w:spacing w:before="240" w:after="80" w:line="312" w:lineRule="auto"/>
      </w:pPr>
      <w:r>
        <w:rPr>
          <w:rFonts w:ascii="Calibri" w:hAnsi="Calibri" w:cs="Calibri" w:eastAsia="PingFang SC"/>
          <w:b/>
          <w:color w:val="175244"/>
          <w:sz w:val="22"/>
          <w:szCs w:val="22"/>
        </w:rPr>
        <w:t xml:space="preserve">The potential matrix</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potential matrix</w:t>
      </w:r>
      <w:r>
        <w:rPr>
          <w:rFonts w:ascii="Calibri" w:hAnsi="Calibri" w:cs="Calibri" w:eastAsia="PingFang SC"/>
          <w:color w:val="3D3A33"/>
          <w:sz w:val="22"/>
          <w:szCs w:val="22"/>
        </w:rPr>
        <w:t xml:space="preserve"> compares help potential with harm potential for each stakeholder. It answers: where could support be mobilised, and where must harm be reduced or contained? Its output is not a ranking but a diagnosis of each stakeholder's capacity for effect, and it is the basis for deciding how much engagement effort each deserves.</w:t>
      </w:r>
    </w:p>
    <w:p>
      <w:pPr>
        <w:spacing w:before="240" w:after="80" w:line="312" w:lineRule="auto"/>
      </w:pPr>
      <w:r>
        <w:rPr>
          <w:rFonts w:ascii="Calibri" w:hAnsi="Calibri" w:cs="Calibri" w:eastAsia="PingFang SC"/>
          <w:b/>
          <w:color w:val="175244"/>
          <w:sz w:val="22"/>
          <w:szCs w:val="22"/>
        </w:rPr>
        <w:t xml:space="preserve">The commitment matrix</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commitment matrix</w:t>
      </w:r>
      <w:r>
        <w:rPr>
          <w:rFonts w:ascii="Calibri" w:hAnsi="Calibri" w:cs="Calibri" w:eastAsia="PingFang SC"/>
          <w:color w:val="3D3A33"/>
          <w:sz w:val="22"/>
          <w:szCs w:val="22"/>
        </w:rPr>
        <w:t xml:space="preserve"> compares two different quantities: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Current commitment</w:t>
      </w:r>
      <w:r>
        <w:rPr>
          <w:rFonts w:ascii="Calibri" w:hAnsi="Calibri" w:cs="Calibri" w:eastAsia="PingFang SC"/>
          <w:color w:val="3D3A33"/>
          <w:sz w:val="22"/>
          <w:szCs w:val="22"/>
        </w:rPr>
        <w:t xml:space="preserve">: how much the stakeholder is actually investing in the project today (attention, effort, resources, advocacy).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Required commitment</w:t>
      </w:r>
      <w:r>
        <w:rPr>
          <w:rFonts w:ascii="Calibri" w:hAnsi="Calibri" w:cs="Calibri" w:eastAsia="PingFang SC"/>
          <w:color w:val="3D3A33"/>
          <w:sz w:val="22"/>
          <w:szCs w:val="22"/>
        </w:rPr>
        <w:t xml:space="preserve">: how much this stakeholder needs to invest for the project to succeed.</w:t>
      </w:r>
    </w:p>
    <w:p>
      <w:pPr>
        <w:spacing w:before="0" w:after="160" w:line="312" w:lineRule="auto"/>
      </w:pPr>
      <w:r>
        <w:rPr>
          <w:rFonts w:ascii="Calibri" w:hAnsi="Calibri" w:cs="Calibri" w:eastAsia="PingFang SC"/>
          <w:color w:val="3D3A33"/>
          <w:sz w:val="22"/>
          <w:szCs w:val="22"/>
        </w:rPr>
        <w:t xml:space="preserve">The difference between them is the </w:t>
      </w:r>
      <w:r>
        <w:rPr>
          <w:rFonts w:ascii="Calibri" w:hAnsi="Calibri" w:cs="Calibri" w:eastAsia="PingFang SC"/>
          <w:b/>
          <w:color w:val="3D3A33"/>
          <w:sz w:val="22"/>
          <w:szCs w:val="22"/>
        </w:rPr>
        <w:t xml:space="preserve">commitment gap</w:t>
      </w:r>
      <w:r>
        <w:rPr>
          <w:rFonts w:ascii="Calibri" w:hAnsi="Calibri" w:cs="Calibri" w:eastAsia="PingFang SC"/>
          <w:color w:val="3D3A33"/>
          <w:sz w:val="22"/>
          <w:szCs w:val="22"/>
        </w:rPr>
        <w:t xml:space="preserve">. The gap selects the engagement action: a large gap calls for deliberate engagement moves to raise commitment, a small gap calls for maintenance. After the engagement action, reassess - the matrix is a living picture, not a one-off score. Two cautions belong to the definition itself: commitment is not formal authority, not interest, and not technical expertise (a stakeholder can hold authority while investing nothing), and the required commitment is not identical for everyone.</w:t>
      </w:r>
    </w:p>
    <w:p>
      <w:pPr>
        <w:spacing w:before="240" w:after="80" w:line="312" w:lineRule="auto"/>
      </w:pPr>
      <w:r>
        <w:rPr>
          <w:rFonts w:ascii="Calibri" w:hAnsi="Calibri" w:cs="Calibri" w:eastAsia="PingFang SC"/>
          <w:b/>
          <w:color w:val="175244"/>
          <w:sz w:val="22"/>
          <w:szCs w:val="22"/>
        </w:rPr>
        <w:t xml:space="preserve">CATWOE: reading a stakeholder's situation</w:t>
      </w:r>
    </w:p>
    <w:p>
      <w:pPr>
        <w:spacing w:before="0" w:after="160" w:line="312" w:lineRule="auto"/>
      </w:pPr>
      <w:r>
        <w:rPr>
          <w:rFonts w:ascii="Calibri" w:hAnsi="Calibri" w:cs="Calibri" w:eastAsia="PingFang SC"/>
          <w:color w:val="3D3A33"/>
          <w:sz w:val="22"/>
          <w:szCs w:val="22"/>
        </w:rPr>
        <w:t xml:space="preserve">CATWOE is a mnemonic for unpacking any stakeholder's view of the situation. It comes from systems thinking and is used in stakeholder analysis to surface what each party actually assumes: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10"/>
        <w:gridCol w:w="2076"/>
        <w:gridCol w:w="6275"/>
      </w:tblGrid>
      <w:tr>
        <w:trPr>
          <w:tblHeader/>
        </w:trPr>
        <w:tc>
          <w:tcPr>
            <w:tcW w:w="1010" w:type="dxa"/>
            <w:shd w:val="clear" w:color="auto" w:fill="EAE7DD"/>
          </w:tcPr>
          <w:p>
            <w:pPr>
              <w:spacing w:before="0" w:after="0" w:line="312" w:lineRule="auto"/>
            </w:pPr>
            <w:r>
              <w:rPr>
                <w:rFonts w:ascii="Calibri" w:hAnsi="Calibri" w:cs="Calibri" w:eastAsia="PingFang SC"/>
                <w:b/>
                <w:color w:val="3D3A33"/>
                <w:sz w:val="22"/>
                <w:szCs w:val="22"/>
              </w:rPr>
              <w:t xml:space="preserve">Letter</w:t>
            </w:r>
          </w:p>
        </w:tc>
        <w:tc>
          <w:tcPr>
            <w:tcW w:w="2076" w:type="dxa"/>
            <w:shd w:val="clear" w:color="auto" w:fill="EAE7DD"/>
          </w:tcPr>
          <w:p>
            <w:pPr>
              <w:spacing w:before="0" w:after="0" w:line="312" w:lineRule="auto"/>
            </w:pPr>
            <w:r>
              <w:rPr>
                <w:rFonts w:ascii="Calibri" w:hAnsi="Calibri" w:cs="Calibri" w:eastAsia="PingFang SC"/>
                <w:b/>
                <w:color w:val="3D3A33"/>
                <w:sz w:val="22"/>
                <w:szCs w:val="22"/>
              </w:rPr>
              <w:t xml:space="preserve">Stands for</w:t>
            </w:r>
          </w:p>
        </w:tc>
        <w:tc>
          <w:tcPr>
            <w:tcW w:w="6275" w:type="dxa"/>
            <w:shd w:val="clear" w:color="auto" w:fill="EAE7DD"/>
          </w:tcPr>
          <w:p>
            <w:pPr>
              <w:spacing w:before="0" w:after="0" w:line="312" w:lineRule="auto"/>
            </w:pPr>
            <w:r>
              <w:rPr>
                <w:rFonts w:ascii="Calibri" w:hAnsi="Calibri" w:cs="Calibri" w:eastAsia="PingFang SC"/>
                <w:b/>
                <w:color w:val="3D3A33"/>
                <w:sz w:val="22"/>
                <w:szCs w:val="22"/>
              </w:rPr>
              <w:t xml:space="preserve">The question it answers</w:t>
            </w:r>
          </w:p>
        </w:tc>
      </w:tr>
      <w:tr>
        <w:tc>
          <w:tcPr>
            <w:tcW w:w="1010" w:type="dxa"/>
          </w:tcPr>
          <w:p>
            <w:pPr>
              <w:spacing w:before="0" w:after="0" w:line="312" w:lineRule="auto"/>
            </w:pPr>
            <w:r>
              <w:rPr>
                <w:rFonts w:ascii="Calibri" w:hAnsi="Calibri" w:cs="Calibri" w:eastAsia="PingFang SC"/>
                <w:color w:val="3D3A33"/>
                <w:sz w:val="22"/>
                <w:szCs w:val="22"/>
              </w:rPr>
              <w:t xml:space="preserve">C</w:t>
            </w:r>
          </w:p>
        </w:tc>
        <w:tc>
          <w:tcPr>
            <w:tcW w:w="2076" w:type="dxa"/>
          </w:tcPr>
          <w:p>
            <w:pPr>
              <w:spacing w:before="0" w:after="0" w:line="312" w:lineRule="auto"/>
            </w:pPr>
            <w:r>
              <w:rPr>
                <w:rFonts w:ascii="Calibri" w:hAnsi="Calibri" w:cs="Calibri" w:eastAsia="PingFang SC"/>
                <w:color w:val="3D3A33"/>
                <w:sz w:val="22"/>
                <w:szCs w:val="22"/>
              </w:rPr>
              <w:t xml:space="preserve">Customers (clients)</w:t>
            </w:r>
          </w:p>
        </w:tc>
        <w:tc>
          <w:tcPr>
            <w:tcW w:w="6275" w:type="dxa"/>
          </w:tcPr>
          <w:p>
            <w:pPr>
              <w:spacing w:before="0" w:after="0" w:line="312" w:lineRule="auto"/>
            </w:pPr>
            <w:r>
              <w:rPr>
                <w:rFonts w:ascii="Calibri" w:hAnsi="Calibri" w:cs="Calibri" w:eastAsia="PingFang SC"/>
                <w:color w:val="3D3A33"/>
                <w:sz w:val="22"/>
                <w:szCs w:val="22"/>
              </w:rPr>
              <w:t xml:space="preserve">Who receives the output of the process, or suffers its consequences?</w:t>
            </w:r>
          </w:p>
        </w:tc>
      </w:tr>
      <w:tr>
        <w:tc>
          <w:tcPr>
            <w:tcW w:w="1010" w:type="dxa"/>
          </w:tcPr>
          <w:p>
            <w:pPr>
              <w:spacing w:before="0" w:after="0" w:line="312" w:lineRule="auto"/>
            </w:pPr>
            <w:r>
              <w:rPr>
                <w:rFonts w:ascii="Calibri" w:hAnsi="Calibri" w:cs="Calibri" w:eastAsia="PingFang SC"/>
                <w:color w:val="3D3A33"/>
                <w:sz w:val="22"/>
                <w:szCs w:val="22"/>
              </w:rPr>
              <w:t xml:space="preserve">A</w:t>
            </w:r>
          </w:p>
        </w:tc>
        <w:tc>
          <w:tcPr>
            <w:tcW w:w="2076" w:type="dxa"/>
          </w:tcPr>
          <w:p>
            <w:pPr>
              <w:spacing w:before="0" w:after="0" w:line="312" w:lineRule="auto"/>
            </w:pPr>
            <w:r>
              <w:rPr>
                <w:rFonts w:ascii="Calibri" w:hAnsi="Calibri" w:cs="Calibri" w:eastAsia="PingFang SC"/>
                <w:color w:val="3D3A33"/>
                <w:sz w:val="22"/>
                <w:szCs w:val="22"/>
              </w:rPr>
              <w:t xml:space="preserve">Actors</w:t>
            </w:r>
          </w:p>
        </w:tc>
        <w:tc>
          <w:tcPr>
            <w:tcW w:w="6275" w:type="dxa"/>
          </w:tcPr>
          <w:p>
            <w:pPr>
              <w:spacing w:before="0" w:after="0" w:line="312" w:lineRule="auto"/>
            </w:pPr>
            <w:r>
              <w:rPr>
                <w:rFonts w:ascii="Calibri" w:hAnsi="Calibri" w:cs="Calibri" w:eastAsia="PingFang SC"/>
                <w:color w:val="3D3A33"/>
                <w:sz w:val="22"/>
                <w:szCs w:val="22"/>
              </w:rPr>
              <w:t xml:space="preserve">Who carries out the transformation, the people doing the work?</w:t>
            </w:r>
          </w:p>
        </w:tc>
      </w:tr>
      <w:tr>
        <w:tc>
          <w:tcPr>
            <w:tcW w:w="1010" w:type="dxa"/>
          </w:tcPr>
          <w:p>
            <w:pPr>
              <w:spacing w:before="0" w:after="0" w:line="312" w:lineRule="auto"/>
            </w:pPr>
            <w:r>
              <w:rPr>
                <w:rFonts w:ascii="Calibri" w:hAnsi="Calibri" w:cs="Calibri" w:eastAsia="PingFang SC"/>
                <w:color w:val="3D3A33"/>
                <w:sz w:val="22"/>
                <w:szCs w:val="22"/>
              </w:rPr>
              <w:t xml:space="preserve">T</w:t>
            </w:r>
          </w:p>
        </w:tc>
        <w:tc>
          <w:tcPr>
            <w:tcW w:w="2076" w:type="dxa"/>
          </w:tcPr>
          <w:p>
            <w:pPr>
              <w:spacing w:before="0" w:after="0" w:line="312" w:lineRule="auto"/>
            </w:pPr>
            <w:r>
              <w:rPr>
                <w:rFonts w:ascii="Calibri" w:hAnsi="Calibri" w:cs="Calibri" w:eastAsia="PingFang SC"/>
                <w:color w:val="3D3A33"/>
                <w:sz w:val="22"/>
                <w:szCs w:val="22"/>
              </w:rPr>
              <w:t xml:space="preserve">Transformation</w:t>
            </w:r>
          </w:p>
        </w:tc>
        <w:tc>
          <w:tcPr>
            <w:tcW w:w="6275" w:type="dxa"/>
          </w:tcPr>
          <w:p>
            <w:pPr>
              <w:spacing w:before="0" w:after="0" w:line="312" w:lineRule="auto"/>
            </w:pPr>
            <w:r>
              <w:rPr>
                <w:rFonts w:ascii="Calibri" w:hAnsi="Calibri" w:cs="Calibri" w:eastAsia="PingFang SC"/>
                <w:color w:val="3D3A33"/>
                <w:sz w:val="22"/>
                <w:szCs w:val="22"/>
              </w:rPr>
              <w:t xml:space="preserve">What core process turns inputs into outputs, what changes?</w:t>
            </w:r>
          </w:p>
        </w:tc>
      </w:tr>
      <w:tr>
        <w:tc>
          <w:tcPr>
            <w:tcW w:w="1010" w:type="dxa"/>
          </w:tcPr>
          <w:p>
            <w:pPr>
              <w:spacing w:before="0" w:after="0" w:line="312" w:lineRule="auto"/>
            </w:pPr>
            <w:r>
              <w:rPr>
                <w:rFonts w:ascii="Calibri" w:hAnsi="Calibri" w:cs="Calibri" w:eastAsia="PingFang SC"/>
                <w:color w:val="3D3A33"/>
                <w:sz w:val="22"/>
                <w:szCs w:val="22"/>
              </w:rPr>
              <w:t xml:space="preserve">W</w:t>
            </w:r>
          </w:p>
        </w:tc>
        <w:tc>
          <w:tcPr>
            <w:tcW w:w="2076" w:type="dxa"/>
          </w:tcPr>
          <w:p>
            <w:pPr>
              <w:spacing w:before="0" w:after="0" w:line="312" w:lineRule="auto"/>
            </w:pPr>
            <w:r>
              <w:rPr>
                <w:rFonts w:ascii="Calibri" w:hAnsi="Calibri" w:cs="Calibri" w:eastAsia="PingFang SC"/>
                <w:color w:val="3D3A33"/>
                <w:sz w:val="22"/>
                <w:szCs w:val="22"/>
              </w:rPr>
              <w:t xml:space="preserve">Weltanschauung (worldview)</w:t>
            </w:r>
          </w:p>
        </w:tc>
        <w:tc>
          <w:tcPr>
            <w:tcW w:w="6275" w:type="dxa"/>
          </w:tcPr>
          <w:p>
            <w:pPr>
              <w:spacing w:before="0" w:after="0" w:line="312" w:lineRule="auto"/>
            </w:pPr>
            <w:r>
              <w:rPr>
                <w:rFonts w:ascii="Calibri" w:hAnsi="Calibri" w:cs="Calibri" w:eastAsia="PingFang SC"/>
                <w:color w:val="3D3A33"/>
                <w:sz w:val="22"/>
                <w:szCs w:val="22"/>
              </w:rPr>
              <w:t xml:space="preserve">What worldview or assumption makes this transformation meaningful and worth doing?</w:t>
            </w:r>
          </w:p>
        </w:tc>
      </w:tr>
      <w:tr>
        <w:tc>
          <w:tcPr>
            <w:tcW w:w="1010" w:type="dxa"/>
          </w:tcPr>
          <w:p>
            <w:pPr>
              <w:spacing w:before="0" w:after="0" w:line="312" w:lineRule="auto"/>
            </w:pPr>
            <w:r>
              <w:rPr>
                <w:rFonts w:ascii="Calibri" w:hAnsi="Calibri" w:cs="Calibri" w:eastAsia="PingFang SC"/>
                <w:color w:val="3D3A33"/>
                <w:sz w:val="22"/>
                <w:szCs w:val="22"/>
              </w:rPr>
              <w:t xml:space="preserve">O</w:t>
            </w:r>
          </w:p>
        </w:tc>
        <w:tc>
          <w:tcPr>
            <w:tcW w:w="2076" w:type="dxa"/>
          </w:tcPr>
          <w:p>
            <w:pPr>
              <w:spacing w:before="0" w:after="0" w:line="312" w:lineRule="auto"/>
            </w:pPr>
            <w:r>
              <w:rPr>
                <w:rFonts w:ascii="Calibri" w:hAnsi="Calibri" w:cs="Calibri" w:eastAsia="PingFang SC"/>
                <w:color w:val="3D3A33"/>
                <w:sz w:val="22"/>
                <w:szCs w:val="22"/>
              </w:rPr>
              <w:t xml:space="preserve">Owner</w:t>
            </w:r>
          </w:p>
        </w:tc>
        <w:tc>
          <w:tcPr>
            <w:tcW w:w="6275" w:type="dxa"/>
          </w:tcPr>
          <w:p>
            <w:pPr>
              <w:spacing w:before="0" w:after="0" w:line="312" w:lineRule="auto"/>
            </w:pPr>
            <w:r>
              <w:rPr>
                <w:rFonts w:ascii="Calibri" w:hAnsi="Calibri" w:cs="Calibri" w:eastAsia="PingFang SC"/>
                <w:color w:val="3D3A33"/>
                <w:sz w:val="22"/>
                <w:szCs w:val="22"/>
              </w:rPr>
              <w:t xml:space="preserve">Who owns or controls the process and could stop it?</w:t>
            </w:r>
          </w:p>
        </w:tc>
      </w:tr>
      <w:tr>
        <w:tc>
          <w:tcPr>
            <w:tcW w:w="1010" w:type="dxa"/>
          </w:tcPr>
          <w:p>
            <w:pPr>
              <w:spacing w:before="0" w:after="0" w:line="312" w:lineRule="auto"/>
            </w:pPr>
            <w:r>
              <w:rPr>
                <w:rFonts w:ascii="Calibri" w:hAnsi="Calibri" w:cs="Calibri" w:eastAsia="PingFang SC"/>
                <w:color w:val="3D3A33"/>
                <w:sz w:val="22"/>
                <w:szCs w:val="22"/>
              </w:rPr>
              <w:t xml:space="preserve">E</w:t>
            </w:r>
          </w:p>
        </w:tc>
        <w:tc>
          <w:tcPr>
            <w:tcW w:w="2076" w:type="dxa"/>
          </w:tcPr>
          <w:p>
            <w:pPr>
              <w:spacing w:before="0" w:after="0" w:line="312" w:lineRule="auto"/>
            </w:pPr>
            <w:r>
              <w:rPr>
                <w:rFonts w:ascii="Calibri" w:hAnsi="Calibri" w:cs="Calibri" w:eastAsia="PingFang SC"/>
                <w:color w:val="3D3A33"/>
                <w:sz w:val="22"/>
                <w:szCs w:val="22"/>
              </w:rPr>
              <w:t xml:space="preserve">Environment</w:t>
            </w:r>
          </w:p>
        </w:tc>
        <w:tc>
          <w:tcPr>
            <w:tcW w:w="6275" w:type="dxa"/>
          </w:tcPr>
          <w:p>
            <w:pPr>
              <w:spacing w:before="0" w:after="0" w:line="312" w:lineRule="auto"/>
            </w:pPr>
            <w:r>
              <w:rPr>
                <w:rFonts w:ascii="Calibri" w:hAnsi="Calibri" w:cs="Calibri" w:eastAsia="PingFang SC"/>
                <w:color w:val="3D3A33"/>
                <w:sz w:val="22"/>
                <w:szCs w:val="22"/>
              </w:rPr>
              <w:t xml:space="preserve">What external constraints must be accepted as given (law, policy, market, environment)?</w:t>
            </w:r>
          </w:p>
        </w:tc>
      </w:tr>
    </w:tbl>
    <w:p>
      <w:pPr>
        <w:spacing w:before="0" w:after="160" w:line="312" w:lineRule="auto"/>
      </w:pPr>
      <w:r>
        <w:rPr>
          <w:rFonts w:ascii="Calibri" w:hAnsi="Calibri" w:cs="Calibri" w:eastAsia="PingFang SC"/>
          <w:color w:val="3D3A33"/>
          <w:sz w:val="22"/>
          <w:szCs w:val="22"/>
        </w:rPr>
        <w:t xml:space="preserve">Two stakeholders can agree on every fact and still disagree because their W differs: the same housing development is "recovery" under one worldview and "exclusion" under another. CATWOE makes that difference explicit instead of personal.</w:t>
      </w:r>
    </w:p>
    <w:p>
      <w:pPr>
        <w:spacing w:before="240" w:after="80" w:line="312" w:lineRule="auto"/>
      </w:pPr>
      <w:r>
        <w:rPr>
          <w:rFonts w:ascii="Calibri" w:hAnsi="Calibri" w:cs="Calibri" w:eastAsia="PingFang SC"/>
          <w:b/>
          <w:color w:val="175244"/>
          <w:sz w:val="22"/>
          <w:szCs w:val="22"/>
        </w:rPr>
        <w:t xml:space="preserve">MoSCoW prioritisation</w:t>
      </w:r>
    </w:p>
    <w:p>
      <w:pPr>
        <w:spacing w:before="0" w:after="160" w:line="312" w:lineRule="auto"/>
      </w:pPr>
      <w:r>
        <w:rPr>
          <w:rFonts w:ascii="Calibri" w:hAnsi="Calibri" w:cs="Calibri" w:eastAsia="PingFang SC"/>
          <w:color w:val="3D3A33"/>
          <w:sz w:val="22"/>
          <w:szCs w:val="22"/>
        </w:rPr>
        <w:t xml:space="preserve">MoSCoW is a prioritisation method for sorting requirements, demands or engagement commitments by necessity: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Must have</w:t>
      </w:r>
      <w:r>
        <w:rPr>
          <w:rFonts w:ascii="Calibri" w:hAnsi="Calibri" w:cs="Calibri" w:eastAsia="PingFang SC"/>
          <w:color w:val="3D3A33"/>
          <w:sz w:val="22"/>
          <w:szCs w:val="22"/>
        </w:rPr>
        <w:t xml:space="preserve">: critical; without it the project or the engagement fails.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Should have</w:t>
      </w:r>
      <w:r>
        <w:rPr>
          <w:rFonts w:ascii="Calibri" w:hAnsi="Calibri" w:cs="Calibri" w:eastAsia="PingFang SC"/>
          <w:color w:val="3D3A33"/>
          <w:sz w:val="22"/>
          <w:szCs w:val="22"/>
        </w:rPr>
        <w:t xml:space="preserve">: important but not critical; painful to miss, but survivable with a workaround.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Could have</w:t>
      </w:r>
      <w:r>
        <w:rPr>
          <w:rFonts w:ascii="Calibri" w:hAnsi="Calibri" w:cs="Calibri" w:eastAsia="PingFang SC"/>
          <w:color w:val="3D3A33"/>
          <w:sz w:val="22"/>
          <w:szCs w:val="22"/>
        </w:rPr>
        <w:t xml:space="preserve">: desirable; included if capacity allows.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Won't have (this time)</w:t>
      </w:r>
      <w:r>
        <w:rPr>
          <w:rFonts w:ascii="Calibri" w:hAnsi="Calibri" w:cs="Calibri" w:eastAsia="PingFang SC"/>
          <w:color w:val="3D3A33"/>
          <w:sz w:val="22"/>
          <w:szCs w:val="22"/>
        </w:rPr>
        <w:t xml:space="preserve">: consciously deferred or excluded, and recorded as such.</w:t>
      </w:r>
    </w:p>
    <w:p>
      <w:pPr>
        <w:spacing w:before="0" w:after="160" w:line="312" w:lineRule="auto"/>
      </w:pPr>
      <w:r>
        <w:rPr>
          <w:rFonts w:ascii="Calibri" w:hAnsi="Calibri" w:cs="Calibri" w:eastAsia="PingFang SC"/>
          <w:color w:val="3D3A33"/>
          <w:sz w:val="22"/>
          <w:szCs w:val="22"/>
        </w:rPr>
        <w:t xml:space="preserve">In stakeholder work MoSCoW turns a long list of stakeholder demands into an agreed order of attention, and the "won't have" category does real work: it converts silent neglect into an explicit, communicable decision.</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combined two-matrix workflow</w:t>
      </w:r>
    </w:p>
    <w:p>
      <w:pPr>
        <w:numPr>
          <w:ilvl w:val="0"/>
          <w:numId w:val="102"/>
        </w:numPr>
        <w:spacing w:after="80" w:line="312" w:lineRule="auto"/>
      </w:pPr>
      <w:r>
        <w:rPr>
          <w:rFonts w:ascii="Calibri" w:hAnsi="Calibri" w:cs="Calibri" w:eastAsia="PingFang SC"/>
          <w:color w:val="3D3A33"/>
          <w:sz w:val="22"/>
          <w:szCs w:val="22"/>
        </w:rPr>
        <w:t xml:space="preserve">Identify each stakeholder's role and impact.</w:t>
      </w:r>
    </w:p>
    <w:p>
      <w:pPr>
        <w:numPr>
          <w:ilvl w:val="0"/>
          <w:numId w:val="102"/>
        </w:numPr>
        <w:spacing w:after="80" w:line="312" w:lineRule="auto"/>
      </w:pPr>
      <w:r>
        <w:rPr>
          <w:rFonts w:ascii="Calibri" w:hAnsi="Calibri" w:cs="Calibri" w:eastAsia="PingFang SC"/>
          <w:color w:val="3D3A33"/>
          <w:sz w:val="22"/>
          <w:szCs w:val="22"/>
        </w:rPr>
        <w:t xml:space="preserve">Assess help potential and harm potential.</w:t>
      </w:r>
    </w:p>
    <w:p>
      <w:pPr>
        <w:numPr>
          <w:ilvl w:val="0"/>
          <w:numId w:val="102"/>
        </w:numPr>
        <w:spacing w:after="80" w:line="312" w:lineRule="auto"/>
      </w:pPr>
      <w:r>
        <w:rPr>
          <w:rFonts w:ascii="Calibri" w:hAnsi="Calibri" w:cs="Calibri" w:eastAsia="PingFang SC"/>
          <w:color w:val="3D3A33"/>
          <w:sz w:val="22"/>
          <w:szCs w:val="22"/>
        </w:rPr>
        <w:t xml:space="preserve">Compare current commitment with required commitment.</w:t>
      </w:r>
    </w:p>
    <w:p>
      <w:pPr>
        <w:numPr>
          <w:ilvl w:val="0"/>
          <w:numId w:val="102"/>
        </w:numPr>
        <w:spacing w:after="80" w:line="312" w:lineRule="auto"/>
      </w:pPr>
      <w:r>
        <w:rPr>
          <w:rFonts w:ascii="Calibri" w:hAnsi="Calibri" w:cs="Calibri" w:eastAsia="PingFang SC"/>
          <w:color w:val="3D3A33"/>
          <w:sz w:val="22"/>
          <w:szCs w:val="22"/>
        </w:rPr>
        <w:t xml:space="preserve">Justify a role-specific engagement action from those two readings.</w:t>
      </w:r>
    </w:p>
    <w:p>
      <w:pPr>
        <w:numPr>
          <w:ilvl w:val="0"/>
          <w:numId w:val="102"/>
        </w:numPr>
        <w:spacing w:after="80" w:line="312" w:lineRule="auto"/>
      </w:pPr>
      <w:r>
        <w:rPr>
          <w:rFonts w:ascii="Calibri" w:hAnsi="Calibri" w:cs="Calibri" w:eastAsia="PingFang SC"/>
          <w:color w:val="3D3A33"/>
          <w:sz w:val="22"/>
          <w:szCs w:val="22"/>
        </w:rPr>
        <w:t xml:space="preserve">Revise the assessment after the engagement feedback arrives.</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Reading the two matrices together (illustrative data)</w:t>
      </w:r>
    </w:p>
    <w:p>
      <w:pPr>
        <w:spacing w:before="0" w:after="160" w:line="312" w:lineRule="auto"/>
      </w:pPr>
      <w:r>
        <w:rPr>
          <w:rFonts w:ascii="Calibri" w:hAnsi="Calibri" w:cs="Calibri" w:eastAsia="PingFang SC"/>
          <w:color w:val="3D3A33"/>
          <w:sz w:val="22"/>
          <w:szCs w:val="22"/>
        </w:rPr>
        <w:t xml:space="preserve">Take three hypothetical stakeholders in a systems rollout: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20"/>
        <w:gridCol w:w="1499"/>
        <w:gridCol w:w="1275"/>
        <w:gridCol w:w="1242"/>
        <w:gridCol w:w="997"/>
        <w:gridCol w:w="2728"/>
      </w:tblGrid>
      <w:tr>
        <w:trPr>
          <w:tblHeader/>
        </w:trPr>
        <w:tc>
          <w:tcPr>
            <w:tcW w:w="1620" w:type="dxa"/>
            <w:shd w:val="clear" w:color="auto" w:fill="EAE7DD"/>
          </w:tcPr>
          <w:p>
            <w:pPr>
              <w:spacing w:before="0" w:after="0" w:line="312" w:lineRule="auto"/>
            </w:pPr>
            <w:r>
              <w:rPr>
                <w:rFonts w:ascii="Calibri" w:hAnsi="Calibri" w:cs="Calibri" w:eastAsia="PingFang SC"/>
                <w:b/>
                <w:color w:val="3D3A33"/>
                <w:sz w:val="22"/>
                <w:szCs w:val="22"/>
              </w:rPr>
              <w:t xml:space="preserve">Stakeholder</w:t>
            </w:r>
          </w:p>
        </w:tc>
        <w:tc>
          <w:tcPr>
            <w:tcW w:w="1499" w:type="dxa"/>
            <w:shd w:val="clear" w:color="auto" w:fill="EAE7DD"/>
          </w:tcPr>
          <w:p>
            <w:pPr>
              <w:spacing w:before="0" w:after="0" w:line="312" w:lineRule="auto"/>
            </w:pPr>
            <w:r>
              <w:rPr>
                <w:rFonts w:ascii="Calibri" w:hAnsi="Calibri" w:cs="Calibri" w:eastAsia="PingFang SC"/>
                <w:b/>
                <w:color w:val="3D3A33"/>
                <w:sz w:val="22"/>
                <w:szCs w:val="22"/>
              </w:rPr>
              <w:t xml:space="preserve">Help potential</w:t>
            </w:r>
          </w:p>
        </w:tc>
        <w:tc>
          <w:tcPr>
            <w:tcW w:w="1275" w:type="dxa"/>
            <w:shd w:val="clear" w:color="auto" w:fill="EAE7DD"/>
          </w:tcPr>
          <w:p>
            <w:pPr>
              <w:spacing w:before="0" w:after="0" w:line="312" w:lineRule="auto"/>
            </w:pPr>
            <w:r>
              <w:rPr>
                <w:rFonts w:ascii="Calibri" w:hAnsi="Calibri" w:cs="Calibri" w:eastAsia="PingFang SC"/>
                <w:b/>
                <w:color w:val="3D3A33"/>
                <w:sz w:val="22"/>
                <w:szCs w:val="22"/>
              </w:rPr>
              <w:t xml:space="preserve">Harm potential</w:t>
            </w:r>
          </w:p>
        </w:tc>
        <w:tc>
          <w:tcPr>
            <w:tcW w:w="1242" w:type="dxa"/>
            <w:shd w:val="clear" w:color="auto" w:fill="EAE7DD"/>
          </w:tcPr>
          <w:p>
            <w:pPr>
              <w:spacing w:before="0" w:after="0" w:line="312" w:lineRule="auto"/>
            </w:pPr>
            <w:r>
              <w:rPr>
                <w:rFonts w:ascii="Calibri" w:hAnsi="Calibri" w:cs="Calibri" w:eastAsia="PingFang SC"/>
                <w:b/>
                <w:color w:val="3D3A33"/>
                <w:sz w:val="22"/>
                <w:szCs w:val="22"/>
              </w:rPr>
              <w:t xml:space="preserve">Current commitment</w:t>
            </w:r>
          </w:p>
        </w:tc>
        <w:tc>
          <w:tcPr>
            <w:tcW w:w="997" w:type="dxa"/>
            <w:shd w:val="clear" w:color="auto" w:fill="EAE7DD"/>
          </w:tcPr>
          <w:p>
            <w:pPr>
              <w:spacing w:before="0" w:after="0" w:line="312" w:lineRule="auto"/>
            </w:pPr>
            <w:r>
              <w:rPr>
                <w:rFonts w:ascii="Calibri" w:hAnsi="Calibri" w:cs="Calibri" w:eastAsia="PingFang SC"/>
                <w:b/>
                <w:color w:val="3D3A33"/>
                <w:sz w:val="22"/>
                <w:szCs w:val="22"/>
              </w:rPr>
              <w:t xml:space="preserve">Required commitment</w:t>
            </w:r>
          </w:p>
        </w:tc>
        <w:tc>
          <w:tcPr>
            <w:tcW w:w="2728" w:type="dxa"/>
            <w:shd w:val="clear" w:color="auto" w:fill="EAE7DD"/>
          </w:tcPr>
          <w:p>
            <w:pPr>
              <w:spacing w:before="0" w:after="0" w:line="312" w:lineRule="auto"/>
            </w:pPr>
            <w:r>
              <w:rPr>
                <w:rFonts w:ascii="Calibri" w:hAnsi="Calibri" w:cs="Calibri" w:eastAsia="PingFang SC"/>
                <w:b/>
                <w:color w:val="3D3A33"/>
                <w:sz w:val="22"/>
                <w:szCs w:val="22"/>
              </w:rPr>
              <w:t xml:space="preserve">Reading and engagement action</w:t>
            </w:r>
          </w:p>
        </w:tc>
      </w:tr>
      <w:tr>
        <w:tc>
          <w:tcPr>
            <w:tcW w:w="1620" w:type="dxa"/>
          </w:tcPr>
          <w:p>
            <w:pPr>
              <w:spacing w:before="0" w:after="0" w:line="312" w:lineRule="auto"/>
            </w:pPr>
            <w:r>
              <w:rPr>
                <w:rFonts w:ascii="Calibri" w:hAnsi="Calibri" w:cs="Calibri" w:eastAsia="PingFang SC"/>
                <w:color w:val="3D3A33"/>
                <w:sz w:val="22"/>
                <w:szCs w:val="22"/>
              </w:rPr>
              <w:t xml:space="preserve">A: head of the implementing department</w:t>
            </w:r>
          </w:p>
        </w:tc>
        <w:tc>
          <w:tcPr>
            <w:tcW w:w="1499" w:type="dxa"/>
          </w:tcPr>
          <w:p>
            <w:pPr>
              <w:spacing w:before="0" w:after="0" w:line="312" w:lineRule="auto"/>
            </w:pPr>
            <w:r>
              <w:rPr>
                <w:rFonts w:ascii="Calibri" w:hAnsi="Calibri" w:cs="Calibri" w:eastAsia="PingFang SC"/>
                <w:color w:val="3D3A33"/>
                <w:sz w:val="22"/>
                <w:szCs w:val="22"/>
              </w:rPr>
              <w:t xml:space="preserve">High (owns the staff and the data)</w:t>
            </w:r>
          </w:p>
        </w:tc>
        <w:tc>
          <w:tcPr>
            <w:tcW w:w="1275" w:type="dxa"/>
          </w:tcPr>
          <w:p>
            <w:pPr>
              <w:spacing w:before="0" w:after="0" w:line="312" w:lineRule="auto"/>
            </w:pPr>
            <w:r>
              <w:rPr>
                <w:rFonts w:ascii="Calibri" w:hAnsi="Calibri" w:cs="Calibri" w:eastAsia="PingFang SC"/>
                <w:color w:val="3D3A33"/>
                <w:sz w:val="22"/>
                <w:szCs w:val="22"/>
              </w:rPr>
              <w:t xml:space="preserve">High (could refuse to release either)</w:t>
            </w:r>
          </w:p>
        </w:tc>
        <w:tc>
          <w:tcPr>
            <w:tcW w:w="1242" w:type="dxa"/>
          </w:tcPr>
          <w:p>
            <w:pPr>
              <w:spacing w:before="0" w:after="0" w:line="312" w:lineRule="auto"/>
            </w:pPr>
            <w:r>
              <w:rPr>
                <w:rFonts w:ascii="Calibri" w:hAnsi="Calibri" w:cs="Calibri" w:eastAsia="PingFang SC"/>
                <w:color w:val="3D3A33"/>
                <w:sz w:val="22"/>
                <w:szCs w:val="22"/>
              </w:rPr>
              <w:t xml:space="preserve">Low (busy with other work)</w:t>
            </w:r>
          </w:p>
        </w:tc>
        <w:tc>
          <w:tcPr>
            <w:tcW w:w="997" w:type="dxa"/>
          </w:tcPr>
          <w:p>
            <w:pPr>
              <w:spacing w:before="0" w:after="0" w:line="312" w:lineRule="auto"/>
            </w:pPr>
            <w:r>
              <w:rPr>
                <w:rFonts w:ascii="Calibri" w:hAnsi="Calibri" w:cs="Calibri" w:eastAsia="PingFang SC"/>
                <w:color w:val="3D3A33"/>
                <w:sz w:val="22"/>
                <w:szCs w:val="22"/>
              </w:rPr>
              <w:t xml:space="preserve">High</w:t>
            </w:r>
          </w:p>
        </w:tc>
        <w:tc>
          <w:tcPr>
            <w:tcW w:w="2728" w:type="dxa"/>
          </w:tcPr>
          <w:p>
            <w:pPr>
              <w:spacing w:before="0" w:after="0" w:line="312" w:lineRule="auto"/>
            </w:pPr>
            <w:r>
              <w:rPr>
                <w:rFonts w:ascii="Calibri" w:hAnsi="Calibri" w:cs="Calibri" w:eastAsia="PingFang SC"/>
                <w:color w:val="3D3A33"/>
                <w:sz w:val="22"/>
                <w:szCs w:val="22"/>
              </w:rPr>
              <w:t xml:space="preserve">The largest gap and the largest stakes: engage closely, negotiate the resource release early, monitor frequently</w:t>
            </w:r>
          </w:p>
        </w:tc>
      </w:tr>
      <w:tr>
        <w:tc>
          <w:tcPr>
            <w:tcW w:w="1620" w:type="dxa"/>
          </w:tcPr>
          <w:p>
            <w:pPr>
              <w:spacing w:before="0" w:after="0" w:line="312" w:lineRule="auto"/>
            </w:pPr>
            <w:r>
              <w:rPr>
                <w:rFonts w:ascii="Calibri" w:hAnsi="Calibri" w:cs="Calibri" w:eastAsia="PingFang SC"/>
                <w:color w:val="3D3A33"/>
                <w:sz w:val="22"/>
                <w:szCs w:val="22"/>
              </w:rPr>
              <w:t xml:space="preserve">B: a regulator with approval power</w:t>
            </w:r>
          </w:p>
        </w:tc>
        <w:tc>
          <w:tcPr>
            <w:tcW w:w="1499" w:type="dxa"/>
          </w:tcPr>
          <w:p>
            <w:pPr>
              <w:spacing w:before="0" w:after="0" w:line="312" w:lineRule="auto"/>
            </w:pPr>
            <w:r>
              <w:rPr>
                <w:rFonts w:ascii="Calibri" w:hAnsi="Calibri" w:cs="Calibri" w:eastAsia="PingFang SC"/>
                <w:color w:val="3D3A33"/>
                <w:sz w:val="22"/>
                <w:szCs w:val="22"/>
              </w:rPr>
              <w:t xml:space="preserve">Low (adds no resources)</w:t>
            </w:r>
          </w:p>
        </w:tc>
        <w:tc>
          <w:tcPr>
            <w:tcW w:w="1275" w:type="dxa"/>
          </w:tcPr>
          <w:p>
            <w:pPr>
              <w:spacing w:before="0" w:after="0" w:line="312" w:lineRule="auto"/>
            </w:pPr>
            <w:r>
              <w:rPr>
                <w:rFonts w:ascii="Calibri" w:hAnsi="Calibri" w:cs="Calibri" w:eastAsia="PingFang SC"/>
                <w:color w:val="3D3A33"/>
                <w:sz w:val="22"/>
                <w:szCs w:val="22"/>
              </w:rPr>
              <w:t xml:space="preserve">High (can stop the project)</w:t>
            </w:r>
          </w:p>
        </w:tc>
        <w:tc>
          <w:tcPr>
            <w:tcW w:w="1242" w:type="dxa"/>
          </w:tcPr>
          <w:p>
            <w:pPr>
              <w:spacing w:before="0" w:after="0" w:line="312" w:lineRule="auto"/>
            </w:pPr>
            <w:r>
              <w:rPr>
                <w:rFonts w:ascii="Calibri" w:hAnsi="Calibri" w:cs="Calibri" w:eastAsia="PingFang SC"/>
                <w:color w:val="3D3A33"/>
                <w:sz w:val="22"/>
                <w:szCs w:val="22"/>
              </w:rPr>
              <w:t xml:space="preserve">Low (has not engaged)</w:t>
            </w:r>
          </w:p>
        </w:tc>
        <w:tc>
          <w:tcPr>
            <w:tcW w:w="997" w:type="dxa"/>
          </w:tcPr>
          <w:p>
            <w:pPr>
              <w:spacing w:before="0" w:after="0" w:line="312" w:lineRule="auto"/>
            </w:pPr>
            <w:r>
              <w:rPr>
                <w:rFonts w:ascii="Calibri" w:hAnsi="Calibri" w:cs="Calibri" w:eastAsia="PingFang SC"/>
                <w:color w:val="3D3A33"/>
                <w:sz w:val="22"/>
                <w:szCs w:val="22"/>
              </w:rPr>
              <w:t xml:space="preserve">Medium (needs to understand the design)</w:t>
            </w:r>
          </w:p>
        </w:tc>
        <w:tc>
          <w:tcPr>
            <w:tcW w:w="2728" w:type="dxa"/>
          </w:tcPr>
          <w:p>
            <w:pPr>
              <w:spacing w:before="0" w:after="0" w:line="312" w:lineRule="auto"/>
            </w:pPr>
            <w:r>
              <w:rPr>
                <w:rFonts w:ascii="Calibri" w:hAnsi="Calibri" w:cs="Calibri" w:eastAsia="PingFang SC"/>
                <w:color w:val="3D3A33"/>
                <w:sz w:val="22"/>
                <w:szCs w:val="22"/>
              </w:rPr>
              <w:t xml:space="preserve">Harm control: brief them early and clearly, keep them informed, remove the surprise that turns review into objection</w:t>
            </w:r>
          </w:p>
        </w:tc>
      </w:tr>
      <w:tr>
        <w:tc>
          <w:tcPr>
            <w:tcW w:w="1620" w:type="dxa"/>
          </w:tcPr>
          <w:p>
            <w:pPr>
              <w:spacing w:before="0" w:after="0" w:line="312" w:lineRule="auto"/>
            </w:pPr>
            <w:r>
              <w:rPr>
                <w:rFonts w:ascii="Calibri" w:hAnsi="Calibri" w:cs="Calibri" w:eastAsia="PingFang SC"/>
                <w:color w:val="3D3A33"/>
                <w:sz w:val="22"/>
                <w:szCs w:val="22"/>
              </w:rPr>
              <w:t xml:space="preserve">C: a well-connected user representative</w:t>
            </w:r>
          </w:p>
        </w:tc>
        <w:tc>
          <w:tcPr>
            <w:tcW w:w="1499" w:type="dxa"/>
          </w:tcPr>
          <w:p>
            <w:pPr>
              <w:spacing w:before="0" w:after="0" w:line="312" w:lineRule="auto"/>
            </w:pPr>
            <w:r>
              <w:rPr>
                <w:rFonts w:ascii="Calibri" w:hAnsi="Calibri" w:cs="Calibri" w:eastAsia="PingFang SC"/>
                <w:color w:val="3D3A33"/>
                <w:sz w:val="22"/>
                <w:szCs w:val="22"/>
              </w:rPr>
              <w:t xml:space="preserve">Medium (legitimacy, peer communication)</w:t>
            </w:r>
          </w:p>
        </w:tc>
        <w:tc>
          <w:tcPr>
            <w:tcW w:w="1275" w:type="dxa"/>
          </w:tcPr>
          <w:p>
            <w:pPr>
              <w:spacing w:before="0" w:after="0" w:line="312" w:lineRule="auto"/>
            </w:pPr>
            <w:r>
              <w:rPr>
                <w:rFonts w:ascii="Calibri" w:hAnsi="Calibri" w:cs="Calibri" w:eastAsia="PingFang SC"/>
                <w:color w:val="3D3A33"/>
                <w:sz w:val="22"/>
                <w:szCs w:val="22"/>
              </w:rPr>
              <w:t xml:space="preserve">Low (no formal power)</w:t>
            </w:r>
          </w:p>
        </w:tc>
        <w:tc>
          <w:tcPr>
            <w:tcW w:w="1242" w:type="dxa"/>
          </w:tcPr>
          <w:p>
            <w:pPr>
              <w:spacing w:before="0" w:after="0" w:line="312" w:lineRule="auto"/>
            </w:pPr>
            <w:r>
              <w:rPr>
                <w:rFonts w:ascii="Calibri" w:hAnsi="Calibri" w:cs="Calibri" w:eastAsia="PingFang SC"/>
                <w:color w:val="3D3A33"/>
                <w:sz w:val="22"/>
                <w:szCs w:val="22"/>
              </w:rPr>
              <w:t xml:space="preserve">High (already volunteering)</w:t>
            </w:r>
          </w:p>
        </w:tc>
        <w:tc>
          <w:tcPr>
            <w:tcW w:w="997" w:type="dxa"/>
          </w:tcPr>
          <w:p>
            <w:pPr>
              <w:spacing w:before="0" w:after="0" w:line="312" w:lineRule="auto"/>
            </w:pPr>
            <w:r>
              <w:rPr>
                <w:rFonts w:ascii="Calibri" w:hAnsi="Calibri" w:cs="Calibri" w:eastAsia="PingFang SC"/>
                <w:color w:val="3D3A33"/>
                <w:sz w:val="22"/>
                <w:szCs w:val="22"/>
              </w:rPr>
              <w:t xml:space="preserve">Medium</w:t>
            </w:r>
          </w:p>
        </w:tc>
        <w:tc>
          <w:tcPr>
            <w:tcW w:w="2728" w:type="dxa"/>
          </w:tcPr>
          <w:p>
            <w:pPr>
              <w:spacing w:before="0" w:after="0" w:line="312" w:lineRule="auto"/>
            </w:pPr>
            <w:r>
              <w:rPr>
                <w:rFonts w:ascii="Calibri" w:hAnsi="Calibri" w:cs="Calibri" w:eastAsia="PingFang SC"/>
                <w:color w:val="3D3A33"/>
                <w:sz w:val="22"/>
                <w:szCs w:val="22"/>
              </w:rPr>
              <w:t xml:space="preserve">Already past the required level: maintain, use their goodwill as a channel to other users, do not over-invest</w:t>
            </w:r>
          </w:p>
        </w:tc>
      </w:tr>
    </w:tbl>
    <w:p>
      <w:pPr>
        <w:spacing w:before="0" w:after="160" w:line="312" w:lineRule="auto"/>
      </w:pPr>
      <w:r>
        <w:rPr>
          <w:rFonts w:ascii="Calibri" w:hAnsi="Calibri" w:cs="Calibri" w:eastAsia="PingFang SC"/>
          <w:color w:val="3D3A33"/>
          <w:sz w:val="22"/>
          <w:szCs w:val="22"/>
        </w:rPr>
        <w:t xml:space="preserve">Notice the reasoning, not the numbers: help and harm are scored separately (A is high on both), the gap is measured against a stakeholder-specific requirement (C's required level is lower than A's), and each engagement action follows from the two readings rather than from the stakeholder's status alone. Any ratings in such a table are proposed analysis, to be replaced by evidence as it arrives.</w:t>
      </w:r>
    </w:p>
    <w:p>
      <w:pPr>
        <w:spacing w:before="240" w:after="80" w:line="312" w:lineRule="auto"/>
      </w:pPr>
      <w:r>
        <w:rPr>
          <w:rFonts w:ascii="Calibri" w:hAnsi="Calibri" w:cs="Calibri" w:eastAsia="PingFang SC"/>
          <w:b/>
          <w:color w:val="175244"/>
          <w:sz w:val="22"/>
          <w:szCs w:val="22"/>
        </w:rPr>
        <w:t xml:space="preserve">From one aggregated entry to three different actions</w:t>
      </w:r>
    </w:p>
    <w:p>
      <w:pPr>
        <w:spacing w:before="0" w:after="160" w:line="312" w:lineRule="auto"/>
      </w:pPr>
      <w:r>
        <w:rPr>
          <w:rFonts w:ascii="Calibri" w:hAnsi="Calibri" w:cs="Calibri" w:eastAsia="PingFang SC"/>
          <w:color w:val="3D3A33"/>
          <w:sz w:val="22"/>
          <w:szCs w:val="22"/>
        </w:rPr>
        <w:t xml:space="preserve">A project records "school community" as a single stakeholder, with modest harm potential and modest required commitment. Disaggregated, it becomes: school principals (approval gatekeepers, high harm potential if they object), teachers (must deliver the change in class, high required commitment), and students (affected end users, low commitment but legitimate interests requiring representation). The single entry suggested one modest engagement action; the disaggregated picture produces three different ones - brief and secure the principals, resource the teachers, represent the students.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