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04</w:t>
      </w:r>
    </w:p>
    <w:p>
      <w:pPr>
        <w:spacing w:before="240" w:after="80" w:line="312" w:lineRule="auto"/>
      </w:pPr>
      <w:r>
        <w:rPr>
          <w:rFonts w:ascii="Calibri" w:hAnsi="Calibri" w:cs="Calibri" w:eastAsia="PingFang SC"/>
          <w:b/>
          <w:color w:val="33302A"/>
          <w:sz w:val="32"/>
          <w:szCs w:val="32"/>
        </w:rPr>
        <w:t xml:space="preserve">PMGT1852 Week 4 - Facilitation and Effective Questions</w:t>
      </w:r>
    </w:p>
    <w:p>
      <w:pPr>
        <w:spacing w:before="240" w:after="80" w:line="312" w:lineRule="auto"/>
      </w:pPr>
      <w:r>
        <w:rPr>
          <w:rFonts w:ascii="Calibri" w:hAnsi="Calibri" w:cs="Calibri" w:eastAsia="PingFang SC"/>
          <w:b/>
          <w:color w:val="9E3D34"/>
          <w:sz w:val="26"/>
          <w:szCs w:val="26"/>
        </w:rPr>
        <w:t xml:space="preserve">Facilitation and decision-making</w:t>
      </w:r>
    </w:p>
    <w:p>
      <w:pPr>
        <w:spacing w:before="0" w:after="160" w:line="312" w:lineRule="auto"/>
      </w:pPr>
      <w:r>
        <w:rPr>
          <w:rFonts w:ascii="Calibri" w:hAnsi="Calibri" w:cs="Calibri" w:eastAsia="PingFang SC"/>
          <w:b/>
          <w:color w:val="3D3A33"/>
          <w:sz w:val="22"/>
          <w:szCs w:val="22"/>
        </w:rPr>
        <w:t xml:space="preserve">Facilitation</w:t>
      </w:r>
      <w:r>
        <w:rPr>
          <w:rFonts w:ascii="Calibri" w:hAnsi="Calibri" w:cs="Calibri" w:eastAsia="PingFang SC"/>
          <w:color w:val="3D3A33"/>
          <w:sz w:val="22"/>
          <w:szCs w:val="22"/>
        </w:rPr>
        <w:t xml:space="preserve"> means helping a group work through a discussion or activity so that participants can understand a problem, contribute relevant knowledge and reach a usable outcome. A </w:t>
      </w:r>
      <w:r>
        <w:rPr>
          <w:rFonts w:ascii="Calibri" w:hAnsi="Calibri" w:cs="Calibri" w:eastAsia="PingFang SC"/>
          <w:b/>
          <w:color w:val="3D3A33"/>
          <w:sz w:val="22"/>
          <w:szCs w:val="22"/>
        </w:rPr>
        <w:t xml:space="preserve">facilitator</w:t>
      </w:r>
      <w:r>
        <w:rPr>
          <w:rFonts w:ascii="Calibri" w:hAnsi="Calibri" w:cs="Calibri" w:eastAsia="PingFang SC"/>
          <w:color w:val="3D3A33"/>
          <w:sz w:val="22"/>
          <w:szCs w:val="22"/>
        </w:rPr>
        <w:t xml:space="preserve"> manages the process of participation rather than simply supplying the answer.</w:t>
      </w:r>
    </w:p>
    <w:p>
      <w:pPr>
        <w:spacing w:before="0" w:after="160" w:line="312" w:lineRule="auto"/>
      </w:pPr>
      <w:r>
        <w:rPr>
          <w:rFonts w:ascii="Calibri" w:hAnsi="Calibri" w:cs="Calibri" w:eastAsia="PingFang SC"/>
          <w:color w:val="3D3A33"/>
          <w:sz w:val="22"/>
          <w:szCs w:val="22"/>
        </w:rPr>
        <w:t xml:space="preserve">Effective decision-making requires more than collecting opinions. Participants need a clear purpose, a shared understanding of the issue, opportunities to explore alternatives and an explicit understanding of what has been decided. Facilitation connects these activities while preserving the group's ownership of the result.</w:t>
      </w:r>
    </w:p>
    <w:p>
      <w:pPr>
        <w:spacing w:before="0" w:after="160" w:line="312" w:lineRule="auto"/>
      </w:pPr>
      <w:r>
        <w:rPr>
          <w:rFonts w:ascii="Calibri" w:hAnsi="Calibri" w:cs="Calibri" w:eastAsia="PingFang SC"/>
          <w:color w:val="3D3A33"/>
          <w:sz w:val="22"/>
          <w:szCs w:val="22"/>
        </w:rPr>
        <w:t xml:space="preserve">Artificial intelligence (AI) can help organise information or suggest alternatives, but generating content does not by itself establish shared understanding, trust or commitment. Facilitation remains relevant wherever people must interpret information together, negotiate differences and take responsibility for decisions.</w:t>
      </w:r>
    </w:p>
    <w:p>
      <w:pPr>
        <w:spacing w:before="240" w:after="80" w:line="312" w:lineRule="auto"/>
      </w:pPr>
      <w:r>
        <w:rPr>
          <w:rFonts w:ascii="Calibri" w:hAnsi="Calibri" w:cs="Calibri" w:eastAsia="PingFang SC"/>
          <w:b/>
          <w:color w:val="9E3D34"/>
          <w:sz w:val="26"/>
          <w:szCs w:val="26"/>
        </w:rPr>
        <w:t xml:space="preserve">The facilitator's role and responsibilities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Clarify what the group is trying to accomplish and what result is needed.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Design a sequence of activities appropriate to that purpose.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participation possible for people with different knowledge, interests and communication styles.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questions that help participants explain their reasoning.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Keep the discussion focused without suppressing relevant disagreement.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Check understanding and agreement rather than assuming that silence means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 the group distinguish unresolved concerns from actual decisions.</w:t>
      </w:r>
    </w:p>
    <w:p>
      <w:pPr>
        <w:spacing w:before="0" w:after="160" w:line="312" w:lineRule="auto"/>
      </w:pPr>
      <w:r>
        <w:rPr>
          <w:rFonts w:ascii="Calibri" w:hAnsi="Calibri" w:cs="Calibri" w:eastAsia="PingFang SC"/>
          <w:color w:val="3D3A33"/>
          <w:sz w:val="22"/>
          <w:szCs w:val="22"/>
        </w:rPr>
        <w:t xml:space="preserve">Process guidance is different from control of the substantive answer. A facilitator can be firm about the purpose and participation process while remaining open about the outcome.</w:t>
      </w:r>
    </w:p>
    <w:p>
      <w:pPr>
        <w:spacing w:before="240" w:after="80" w:line="312" w:lineRule="auto"/>
      </w:pPr>
      <w:r>
        <w:rPr>
          <w:rFonts w:ascii="Calibri" w:hAnsi="Calibri" w:cs="Calibri" w:eastAsia="PingFang SC"/>
          <w:b/>
          <w:color w:val="9E3D34"/>
          <w:sz w:val="26"/>
          <w:szCs w:val="26"/>
        </w:rPr>
        <w:t xml:space="preserve">Starting questions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starting question</w:t>
      </w:r>
      <w:r>
        <w:rPr>
          <w:rFonts w:ascii="Calibri" w:hAnsi="Calibri" w:cs="Calibri" w:eastAsia="PingFang SC"/>
          <w:color w:val="3D3A33"/>
          <w:sz w:val="22"/>
          <w:szCs w:val="22"/>
        </w:rPr>
        <w:t xml:space="preserve"> initiates an activity and directs participants' attention towards the thinking needed for that activity. A strong question makes the subject and expected response clear enough for participants to begin.</w:t>
      </w:r>
    </w:p>
    <w:p>
      <w:pPr>
        <w:spacing w:before="0" w:after="160" w:line="312" w:lineRule="auto"/>
      </w:pPr>
      <w:r>
        <w:rPr>
          <w:rFonts w:ascii="Calibri" w:hAnsi="Calibri" w:cs="Calibri" w:eastAsia="PingFang SC"/>
          <w:color w:val="3D3A33"/>
          <w:sz w:val="22"/>
          <w:szCs w:val="22"/>
        </w:rPr>
        <w:t xml:space="preserve">General question-design principles include: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what the group needs to produce: facts, explanations, possible options, comparisons or a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Give enough context to make the task meaningful without embedding a preferred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language that participants understand and limit the question to a manageable scope.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Choose a verb that matches the required thinking.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Check whether the question invites contributions rather than a simple affirmation of the facilitator's view.</w:t>
      </w:r>
    </w:p>
    <w:p>
      <w:pPr>
        <w:spacing w:before="0" w:after="160" w:line="312" w:lineRule="auto"/>
      </w:pPr>
      <w:r>
        <w:rPr>
          <w:rFonts w:ascii="Calibri" w:hAnsi="Calibri" w:cs="Calibri" w:eastAsia="PingFang SC"/>
          <w:color w:val="3D3A33"/>
          <w:sz w:val="22"/>
          <w:szCs w:val="22"/>
        </w:rPr>
        <w:t xml:space="preserve">For example, "What happened during the handover?" invites description, whereas "Which handover change would best address the problem, and why?" asks for evaluation.</w:t>
      </w:r>
    </w:p>
    <w:p>
      <w:pPr>
        <w:spacing w:before="240" w:after="80" w:line="312" w:lineRule="auto"/>
      </w:pPr>
      <w:r>
        <w:rPr>
          <w:rFonts w:ascii="Calibri" w:hAnsi="Calibri" w:cs="Calibri" w:eastAsia="PingFang SC"/>
          <w:b/>
          <w:color w:val="175244"/>
          <w:sz w:val="22"/>
          <w:szCs w:val="22"/>
        </w:rPr>
        <w:t xml:space="preserve">Choosing the verb</w:t>
      </w:r>
    </w:p>
    <w:p>
      <w:pPr>
        <w:spacing w:before="0" w:after="160" w:line="312" w:lineRule="auto"/>
      </w:pPr>
      <w:r>
        <w:rPr>
          <w:rFonts w:ascii="Calibri" w:hAnsi="Calibri" w:cs="Calibri" w:eastAsia="PingFang SC"/>
          <w:color w:val="3D3A33"/>
          <w:sz w:val="22"/>
          <w:szCs w:val="22"/>
        </w:rPr>
        <w:t xml:space="preserve">The main verb signals the mental task. Asking participants to </w:t>
      </w:r>
      <w:r>
        <w:rPr>
          <w:rFonts w:ascii="Calibri" w:hAnsi="Calibri" w:cs="Calibri" w:eastAsia="PingFang SC"/>
          <w:b/>
          <w:color w:val="3D3A33"/>
          <w:sz w:val="22"/>
          <w:szCs w:val="22"/>
        </w:rPr>
        <w:t xml:space="preserve">list</w:t>
      </w:r>
      <w:r>
        <w:rPr>
          <w:rFonts w:ascii="Calibri" w:hAnsi="Calibri" w:cs="Calibri" w:eastAsia="PingFang SC"/>
          <w:color w:val="3D3A33"/>
          <w:sz w:val="22"/>
          <w:szCs w:val="22"/>
        </w:rPr>
        <w:t xml:space="preserve"> gathers items; asking them to </w:t>
      </w:r>
      <w:r>
        <w:rPr>
          <w:rFonts w:ascii="Calibri" w:hAnsi="Calibri" w:cs="Calibri" w:eastAsia="PingFang SC"/>
          <w:b/>
          <w:color w:val="3D3A33"/>
          <w:sz w:val="22"/>
          <w:szCs w:val="22"/>
        </w:rPr>
        <w:t xml:space="preserve">describe</w:t>
      </w:r>
      <w:r>
        <w:rPr>
          <w:rFonts w:ascii="Calibri" w:hAnsi="Calibri" w:cs="Calibri" w:eastAsia="PingFang SC"/>
          <w:color w:val="3D3A33"/>
          <w:sz w:val="22"/>
          <w:szCs w:val="22"/>
        </w:rPr>
        <w:t xml:space="preserve"> develops detail; asking them to </w:t>
      </w:r>
      <w:r>
        <w:rPr>
          <w:rFonts w:ascii="Calibri" w:hAnsi="Calibri" w:cs="Calibri" w:eastAsia="PingFang SC"/>
          <w:b/>
          <w:color w:val="3D3A33"/>
          <w:sz w:val="22"/>
          <w:szCs w:val="22"/>
        </w:rPr>
        <w:t xml:space="preserve">compare</w:t>
      </w:r>
      <w:r>
        <w:rPr>
          <w:rFonts w:ascii="Calibri" w:hAnsi="Calibri" w:cs="Calibri" w:eastAsia="PingFang SC"/>
          <w:color w:val="3D3A33"/>
          <w:sz w:val="22"/>
          <w:szCs w:val="22"/>
        </w:rPr>
        <w:t xml:space="preserve"> makes similarities and differences visible; asking them to </w:t>
      </w:r>
      <w:r>
        <w:rPr>
          <w:rFonts w:ascii="Calibri" w:hAnsi="Calibri" w:cs="Calibri" w:eastAsia="PingFang SC"/>
          <w:b/>
          <w:color w:val="3D3A33"/>
          <w:sz w:val="22"/>
          <w:szCs w:val="22"/>
        </w:rPr>
        <w:t xml:space="preserve">explain</w:t>
      </w:r>
      <w:r>
        <w:rPr>
          <w:rFonts w:ascii="Calibri" w:hAnsi="Calibri" w:cs="Calibri" w:eastAsia="PingFang SC"/>
          <w:color w:val="3D3A33"/>
          <w:sz w:val="22"/>
          <w:szCs w:val="22"/>
        </w:rPr>
        <w:t xml:space="preserve"> reveals reasoning; asking them to </w:t>
      </w:r>
      <w:r>
        <w:rPr>
          <w:rFonts w:ascii="Calibri" w:hAnsi="Calibri" w:cs="Calibri" w:eastAsia="PingFang SC"/>
          <w:b/>
          <w:color w:val="3D3A33"/>
          <w:sz w:val="22"/>
          <w:szCs w:val="22"/>
        </w:rPr>
        <w:t xml:space="preserve">evaluate</w:t>
      </w:r>
      <w:r>
        <w:rPr>
          <w:rFonts w:ascii="Calibri" w:hAnsi="Calibri" w:cs="Calibri" w:eastAsia="PingFang SC"/>
          <w:color w:val="3D3A33"/>
          <w:sz w:val="22"/>
          <w:szCs w:val="22"/>
        </w:rPr>
        <w:t xml:space="preserve"> requires a judgement against criteria.</w:t>
      </w:r>
    </w:p>
    <w:p>
      <w:pPr>
        <w:spacing w:before="0" w:after="160" w:line="312" w:lineRule="auto"/>
      </w:pPr>
      <w:r>
        <w:rPr>
          <w:rFonts w:ascii="Calibri" w:hAnsi="Calibri" w:cs="Calibri" w:eastAsia="PingFang SC"/>
          <w:color w:val="3D3A33"/>
          <w:sz w:val="22"/>
          <w:szCs w:val="22"/>
        </w:rPr>
        <w:t xml:space="preserve">A verb should match the activity's purpose. Asking for evaluation before participants understand the alternatives can lead to premature judgement. Conversely, merely listing options does not resolve which option should be selected.</w:t>
      </w:r>
    </w:p>
    <w:p>
      <w:pPr>
        <w:spacing w:before="240" w:after="80" w:line="312" w:lineRule="auto"/>
      </w:pPr>
      <w:r>
        <w:rPr>
          <w:rFonts w:ascii="Calibri" w:hAnsi="Calibri" w:cs="Calibri" w:eastAsia="PingFang SC"/>
          <w:b/>
          <w:color w:val="9E3D34"/>
          <w:sz w:val="26"/>
          <w:szCs w:val="26"/>
        </w:rPr>
        <w:t xml:space="preserve">Reacting questions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reacting question</w:t>
      </w:r>
      <w:r>
        <w:rPr>
          <w:rFonts w:ascii="Calibri" w:hAnsi="Calibri" w:cs="Calibri" w:eastAsia="PingFang SC"/>
          <w:color w:val="3D3A33"/>
          <w:sz w:val="22"/>
          <w:szCs w:val="22"/>
        </w:rPr>
        <w:t xml:space="preserve"> follows a participant's contribution. Its guiding principle is </w:t>
      </w:r>
      <w:r>
        <w:rPr>
          <w:rFonts w:ascii="Calibri" w:hAnsi="Calibri" w:cs="Calibri" w:eastAsia="PingFang SC"/>
          <w:b/>
          <w:color w:val="3D3A33"/>
          <w:sz w:val="22"/>
          <w:szCs w:val="22"/>
        </w:rPr>
        <w:t xml:space="preserve">"guide by asking, not telling."</w:t>
      </w:r>
      <w:r>
        <w:rPr>
          <w:rFonts w:ascii="Calibri" w:hAnsi="Calibri" w:cs="Calibri" w:eastAsia="PingFang SC"/>
          <w:color w:val="3D3A33"/>
          <w:sz w:val="22"/>
          <w:szCs w:val="22"/>
        </w:rPr>
        <w:t xml:space="preserve"> Instead of replacing the contribution with the facilitator's preferred interpretation, ask the participant or group to develop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20"/>
        <w:gridCol w:w="3585"/>
        <w:gridCol w:w="3655"/>
      </w:tblGrid>
      <w:tr>
        <w:trPr>
          <w:tblHeader/>
        </w:trPr>
        <w:tc>
          <w:tcPr>
            <w:tcW w:w="2120" w:type="dxa"/>
            <w:shd w:val="clear" w:color="auto" w:fill="EAE7DD"/>
          </w:tcPr>
          <w:p>
            <w:pPr>
              <w:spacing w:before="0" w:after="0" w:line="312" w:lineRule="auto"/>
            </w:pPr>
            <w:r>
              <w:rPr>
                <w:rFonts w:ascii="Calibri" w:hAnsi="Calibri" w:cs="Calibri" w:eastAsia="PingFang SC"/>
                <w:b/>
                <w:color w:val="3D3A33"/>
                <w:sz w:val="22"/>
                <w:szCs w:val="22"/>
              </w:rPr>
              <w:t xml:space="preserve">Function</w:t>
            </w:r>
          </w:p>
        </w:tc>
        <w:tc>
          <w:tcPr>
            <w:tcW w:w="3585" w:type="dxa"/>
            <w:shd w:val="clear" w:color="auto" w:fill="EAE7DD"/>
          </w:tcPr>
          <w:p>
            <w:pPr>
              <w:spacing w:before="0" w:after="0" w:line="312" w:lineRule="auto"/>
            </w:pPr>
            <w:r>
              <w:rPr>
                <w:rFonts w:ascii="Calibri" w:hAnsi="Calibri" w:cs="Calibri" w:eastAsia="PingFang SC"/>
                <w:b/>
                <w:color w:val="3D3A33"/>
                <w:sz w:val="22"/>
                <w:szCs w:val="22"/>
              </w:rPr>
              <w:t xml:space="preserve">Illustrative question</w:t>
            </w:r>
          </w:p>
        </w:tc>
        <w:tc>
          <w:tcPr>
            <w:tcW w:w="3655" w:type="dxa"/>
            <w:shd w:val="clear" w:color="auto" w:fill="EAE7DD"/>
          </w:tcPr>
          <w:p>
            <w:pPr>
              <w:spacing w:before="0" w:after="0" w:line="312" w:lineRule="auto"/>
            </w:pPr>
            <w:r>
              <w:rPr>
                <w:rFonts w:ascii="Calibri" w:hAnsi="Calibri" w:cs="Calibri" w:eastAsia="PingFang SC"/>
                <w:b/>
                <w:color w:val="3D3A33"/>
                <w:sz w:val="22"/>
                <w:szCs w:val="22"/>
              </w:rPr>
              <w:t xml:space="preserve">What it helps the group do</w:t>
            </w:r>
          </w:p>
        </w:tc>
      </w:tr>
      <w:tr>
        <w:tc>
          <w:tcPr>
            <w:tcW w:w="2120" w:type="dxa"/>
          </w:tcPr>
          <w:p>
            <w:pPr>
              <w:spacing w:before="0" w:after="0" w:line="312" w:lineRule="auto"/>
            </w:pPr>
            <w:r>
              <w:rPr>
                <w:rFonts w:ascii="Calibri" w:hAnsi="Calibri" w:cs="Calibri" w:eastAsia="PingFang SC"/>
                <w:color w:val="3D3A33"/>
                <w:sz w:val="22"/>
                <w:szCs w:val="22"/>
              </w:rPr>
              <w:t xml:space="preserve">Clarify</w:t>
            </w:r>
          </w:p>
        </w:tc>
        <w:tc>
          <w:tcPr>
            <w:tcW w:w="3585" w:type="dxa"/>
          </w:tcPr>
          <w:p>
            <w:pPr>
              <w:spacing w:before="0" w:after="0" w:line="312" w:lineRule="auto"/>
            </w:pPr>
            <w:r>
              <w:rPr>
                <w:rFonts w:ascii="Calibri" w:hAnsi="Calibri" w:cs="Calibri" w:eastAsia="PingFang SC"/>
                <w:color w:val="3D3A33"/>
                <w:sz w:val="22"/>
                <w:szCs w:val="22"/>
              </w:rPr>
              <w:t xml:space="preserve">"What do you mean by that term?"</w:t>
            </w:r>
          </w:p>
        </w:tc>
        <w:tc>
          <w:tcPr>
            <w:tcW w:w="3655" w:type="dxa"/>
          </w:tcPr>
          <w:p>
            <w:pPr>
              <w:spacing w:before="0" w:after="0" w:line="312" w:lineRule="auto"/>
            </w:pPr>
            <w:r>
              <w:rPr>
                <w:rFonts w:ascii="Calibri" w:hAnsi="Calibri" w:cs="Calibri" w:eastAsia="PingFang SC"/>
                <w:color w:val="3D3A33"/>
                <w:sz w:val="22"/>
                <w:szCs w:val="22"/>
              </w:rPr>
              <w:t xml:space="preserve">Establish a shared meaning</w:t>
            </w:r>
          </w:p>
        </w:tc>
      </w:tr>
      <w:tr>
        <w:tc>
          <w:tcPr>
            <w:tcW w:w="2120" w:type="dxa"/>
          </w:tcPr>
          <w:p>
            <w:pPr>
              <w:spacing w:before="0" w:after="0" w:line="312" w:lineRule="auto"/>
            </w:pPr>
            <w:r>
              <w:rPr>
                <w:rFonts w:ascii="Calibri" w:hAnsi="Calibri" w:cs="Calibri" w:eastAsia="PingFang SC"/>
                <w:color w:val="3D3A33"/>
                <w:sz w:val="22"/>
                <w:szCs w:val="22"/>
              </w:rPr>
              <w:t xml:space="preserve">Explore reasoning</w:t>
            </w:r>
          </w:p>
        </w:tc>
        <w:tc>
          <w:tcPr>
            <w:tcW w:w="3585" w:type="dxa"/>
          </w:tcPr>
          <w:p>
            <w:pPr>
              <w:spacing w:before="0" w:after="0" w:line="312" w:lineRule="auto"/>
            </w:pPr>
            <w:r>
              <w:rPr>
                <w:rFonts w:ascii="Calibri" w:hAnsi="Calibri" w:cs="Calibri" w:eastAsia="PingFang SC"/>
                <w:color w:val="3D3A33"/>
                <w:sz w:val="22"/>
                <w:szCs w:val="22"/>
              </w:rPr>
              <w:t xml:space="preserve">"What leads you to that conclusion?"</w:t>
            </w:r>
          </w:p>
        </w:tc>
        <w:tc>
          <w:tcPr>
            <w:tcW w:w="3655" w:type="dxa"/>
          </w:tcPr>
          <w:p>
            <w:pPr>
              <w:spacing w:before="0" w:after="0" w:line="312" w:lineRule="auto"/>
            </w:pPr>
            <w:r>
              <w:rPr>
                <w:rFonts w:ascii="Calibri" w:hAnsi="Calibri" w:cs="Calibri" w:eastAsia="PingFang SC"/>
                <w:color w:val="3D3A33"/>
                <w:sz w:val="22"/>
                <w:szCs w:val="22"/>
              </w:rPr>
              <w:t xml:space="preserve">Make assumptions and evidence visible</w:t>
            </w:r>
          </w:p>
        </w:tc>
      </w:tr>
      <w:tr>
        <w:tc>
          <w:tcPr>
            <w:tcW w:w="2120" w:type="dxa"/>
          </w:tcPr>
          <w:p>
            <w:pPr>
              <w:spacing w:before="0" w:after="0" w:line="312" w:lineRule="auto"/>
            </w:pPr>
            <w:r>
              <w:rPr>
                <w:rFonts w:ascii="Calibri" w:hAnsi="Calibri" w:cs="Calibri" w:eastAsia="PingFang SC"/>
                <w:color w:val="3D3A33"/>
                <w:sz w:val="22"/>
                <w:szCs w:val="22"/>
              </w:rPr>
              <w:t xml:space="preserve">Develop detail</w:t>
            </w:r>
          </w:p>
        </w:tc>
        <w:tc>
          <w:tcPr>
            <w:tcW w:w="3585" w:type="dxa"/>
          </w:tcPr>
          <w:p>
            <w:pPr>
              <w:spacing w:before="0" w:after="0" w:line="312" w:lineRule="auto"/>
            </w:pPr>
            <w:r>
              <w:rPr>
                <w:rFonts w:ascii="Calibri" w:hAnsi="Calibri" w:cs="Calibri" w:eastAsia="PingFang SC"/>
                <w:color w:val="3D3A33"/>
                <w:sz w:val="22"/>
                <w:szCs w:val="22"/>
              </w:rPr>
              <w:t xml:space="preserve">"Can you describe what happened?"</w:t>
            </w:r>
          </w:p>
        </w:tc>
        <w:tc>
          <w:tcPr>
            <w:tcW w:w="3655" w:type="dxa"/>
          </w:tcPr>
          <w:p>
            <w:pPr>
              <w:spacing w:before="0" w:after="0" w:line="312" w:lineRule="auto"/>
            </w:pPr>
            <w:r>
              <w:rPr>
                <w:rFonts w:ascii="Calibri" w:hAnsi="Calibri" w:cs="Calibri" w:eastAsia="PingFang SC"/>
                <w:color w:val="3D3A33"/>
                <w:sz w:val="22"/>
                <w:szCs w:val="22"/>
              </w:rPr>
              <w:t xml:space="preserve">Move from a broad claim to an understandable account</w:t>
            </w:r>
          </w:p>
        </w:tc>
      </w:tr>
      <w:tr>
        <w:tc>
          <w:tcPr>
            <w:tcW w:w="2120" w:type="dxa"/>
          </w:tcPr>
          <w:p>
            <w:pPr>
              <w:spacing w:before="0" w:after="0" w:line="312" w:lineRule="auto"/>
            </w:pPr>
            <w:r>
              <w:rPr>
                <w:rFonts w:ascii="Calibri" w:hAnsi="Calibri" w:cs="Calibri" w:eastAsia="PingFang SC"/>
                <w:color w:val="3D3A33"/>
                <w:sz w:val="22"/>
                <w:szCs w:val="22"/>
              </w:rPr>
              <w:t xml:space="preserve">Check understanding</w:t>
            </w:r>
          </w:p>
        </w:tc>
        <w:tc>
          <w:tcPr>
            <w:tcW w:w="3585" w:type="dxa"/>
          </w:tcPr>
          <w:p>
            <w:pPr>
              <w:spacing w:before="0" w:after="0" w:line="312" w:lineRule="auto"/>
            </w:pPr>
            <w:r>
              <w:rPr>
                <w:rFonts w:ascii="Calibri" w:hAnsi="Calibri" w:cs="Calibri" w:eastAsia="PingFang SC"/>
                <w:color w:val="3D3A33"/>
                <w:sz w:val="22"/>
                <w:szCs w:val="22"/>
              </w:rPr>
              <w:t xml:space="preserve">"Have I understood your point correctly?"</w:t>
            </w:r>
          </w:p>
        </w:tc>
        <w:tc>
          <w:tcPr>
            <w:tcW w:w="3655" w:type="dxa"/>
          </w:tcPr>
          <w:p>
            <w:pPr>
              <w:spacing w:before="0" w:after="0" w:line="312" w:lineRule="auto"/>
            </w:pPr>
            <w:r>
              <w:rPr>
                <w:rFonts w:ascii="Calibri" w:hAnsi="Calibri" w:cs="Calibri" w:eastAsia="PingFang SC"/>
                <w:color w:val="3D3A33"/>
                <w:sz w:val="22"/>
                <w:szCs w:val="22"/>
              </w:rPr>
              <w:t xml:space="preserve">Avoid treating an interpretation as an agreed fact</w:t>
            </w:r>
          </w:p>
        </w:tc>
      </w:tr>
      <w:tr>
        <w:tc>
          <w:tcPr>
            <w:tcW w:w="2120" w:type="dxa"/>
          </w:tcPr>
          <w:p>
            <w:pPr>
              <w:spacing w:before="0" w:after="0" w:line="312" w:lineRule="auto"/>
            </w:pPr>
            <w:r>
              <w:rPr>
                <w:rFonts w:ascii="Calibri" w:hAnsi="Calibri" w:cs="Calibri" w:eastAsia="PingFang SC"/>
                <w:color w:val="3D3A33"/>
                <w:sz w:val="22"/>
                <w:szCs w:val="22"/>
              </w:rPr>
              <w:t xml:space="preserve">Explore differences</w:t>
            </w:r>
          </w:p>
        </w:tc>
        <w:tc>
          <w:tcPr>
            <w:tcW w:w="3585" w:type="dxa"/>
          </w:tcPr>
          <w:p>
            <w:pPr>
              <w:spacing w:before="0" w:after="0" w:line="312" w:lineRule="auto"/>
            </w:pPr>
            <w:r>
              <w:rPr>
                <w:rFonts w:ascii="Calibri" w:hAnsi="Calibri" w:cs="Calibri" w:eastAsia="PingFang SC"/>
                <w:color w:val="3D3A33"/>
                <w:sz w:val="22"/>
                <w:szCs w:val="22"/>
              </w:rPr>
              <w:t xml:space="preserve">"Where do these two views differ?"</w:t>
            </w:r>
          </w:p>
        </w:tc>
        <w:tc>
          <w:tcPr>
            <w:tcW w:w="3655" w:type="dxa"/>
          </w:tcPr>
          <w:p>
            <w:pPr>
              <w:spacing w:before="0" w:after="0" w:line="312" w:lineRule="auto"/>
            </w:pPr>
            <w:r>
              <w:rPr>
                <w:rFonts w:ascii="Calibri" w:hAnsi="Calibri" w:cs="Calibri" w:eastAsia="PingFang SC"/>
                <w:color w:val="3D3A33"/>
                <w:sz w:val="22"/>
                <w:szCs w:val="22"/>
              </w:rPr>
              <w:t xml:space="preserve">Locate the actual disagreement</w:t>
            </w:r>
          </w:p>
        </w:tc>
      </w:tr>
      <w:tr>
        <w:tc>
          <w:tcPr>
            <w:tcW w:w="2120" w:type="dxa"/>
          </w:tcPr>
          <w:p>
            <w:pPr>
              <w:spacing w:before="0" w:after="0" w:line="312" w:lineRule="auto"/>
            </w:pPr>
            <w:r>
              <w:rPr>
                <w:rFonts w:ascii="Calibri" w:hAnsi="Calibri" w:cs="Calibri" w:eastAsia="PingFang SC"/>
                <w:color w:val="3D3A33"/>
                <w:sz w:val="22"/>
                <w:szCs w:val="22"/>
              </w:rPr>
              <w:t xml:space="preserve">Restore focus</w:t>
            </w:r>
          </w:p>
        </w:tc>
        <w:tc>
          <w:tcPr>
            <w:tcW w:w="3585" w:type="dxa"/>
          </w:tcPr>
          <w:p>
            <w:pPr>
              <w:spacing w:before="0" w:after="0" w:line="312" w:lineRule="auto"/>
            </w:pPr>
            <w:r>
              <w:rPr>
                <w:rFonts w:ascii="Calibri" w:hAnsi="Calibri" w:cs="Calibri" w:eastAsia="PingFang SC"/>
                <w:color w:val="3D3A33"/>
                <w:sz w:val="22"/>
                <w:szCs w:val="22"/>
              </w:rPr>
              <w:t xml:space="preserve">"How does this relate to the outcome we are working towards?"</w:t>
            </w:r>
          </w:p>
        </w:tc>
        <w:tc>
          <w:tcPr>
            <w:tcW w:w="3655" w:type="dxa"/>
          </w:tcPr>
          <w:p>
            <w:pPr>
              <w:spacing w:before="0" w:after="0" w:line="312" w:lineRule="auto"/>
            </w:pPr>
            <w:r>
              <w:rPr>
                <w:rFonts w:ascii="Calibri" w:hAnsi="Calibri" w:cs="Calibri" w:eastAsia="PingFang SC"/>
                <w:color w:val="3D3A33"/>
                <w:sz w:val="22"/>
                <w:szCs w:val="22"/>
              </w:rPr>
              <w:t xml:space="preserve">Reconnect discussion with its purpose</w:t>
            </w:r>
          </w:p>
        </w:tc>
      </w:tr>
    </w:tbl>
    <w:p>
      <w:pPr>
        <w:spacing w:before="0" w:after="160" w:line="312" w:lineRule="auto"/>
      </w:pPr>
      <w:r>
        <w:rPr>
          <w:rFonts w:ascii="Calibri" w:hAnsi="Calibri" w:cs="Calibri" w:eastAsia="PingFang SC"/>
          <w:color w:val="3D3A33"/>
          <w:sz w:val="22"/>
          <w:szCs w:val="22"/>
        </w:rPr>
        <w:t xml:space="preserve">These examples illustrate general functions; they are not a prescribed sequence.</w:t>
      </w:r>
    </w:p>
    <w:p>
      <w:pPr>
        <w:spacing w:before="240" w:after="80" w:line="312" w:lineRule="auto"/>
      </w:pPr>
      <w:r>
        <w:rPr>
          <w:rFonts w:ascii="Calibri" w:hAnsi="Calibri" w:cs="Calibri" w:eastAsia="PingFang SC"/>
          <w:b/>
          <w:color w:val="9E3D34"/>
          <w:sz w:val="26"/>
          <w:szCs w:val="26"/>
        </w:rPr>
        <w:t xml:space="preserve">Introducing ideas carefully</w:t>
      </w:r>
    </w:p>
    <w:p>
      <w:pPr>
        <w:spacing w:before="0" w:after="160" w:line="312" w:lineRule="auto"/>
      </w:pPr>
      <w:r>
        <w:rPr>
          <w:rFonts w:ascii="Calibri" w:hAnsi="Calibri" w:cs="Calibri" w:eastAsia="PingFang SC"/>
          <w:b/>
          <w:color w:val="3D3A33"/>
          <w:sz w:val="22"/>
          <w:szCs w:val="22"/>
        </w:rPr>
        <w:t xml:space="preserve">Floating an idea</w:t>
      </w:r>
      <w:r>
        <w:rPr>
          <w:rFonts w:ascii="Calibri" w:hAnsi="Calibri" w:cs="Calibri" w:eastAsia="PingFang SC"/>
          <w:color w:val="3D3A33"/>
          <w:sz w:val="22"/>
          <w:szCs w:val="22"/>
        </w:rPr>
        <w:t xml:space="preserve"> means offering a possibility for the group to consider rather than presenting it as the answer. A facilitator's suggestion can carry disproportionate weight because of their process role.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Make clear that the idea is a possibility, not a decision.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Invite alternatives and disagreement.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Avoid suggesting an answer before participants have had a genuine opportunity to contribute.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the group to examine the idea using the same criteria applied to other options.</w:t>
      </w:r>
    </w:p>
    <w:p>
      <w:pPr>
        <w:spacing w:before="0" w:after="160" w:line="312" w:lineRule="auto"/>
      </w:pPr>
      <w:r>
        <w:rPr>
          <w:rFonts w:ascii="Calibri" w:hAnsi="Calibri" w:cs="Calibri" w:eastAsia="PingFang SC"/>
          <w:color w:val="3D3A33"/>
          <w:sz w:val="22"/>
          <w:szCs w:val="22"/>
        </w:rPr>
        <w:t xml:space="preserve">The aim is to support thinking without transferring ownership of the outcome to the facilitator.</w:t>
      </w:r>
    </w:p>
    <w:p>
      <w:pPr>
        <w:spacing w:before="240" w:after="80" w:line="312" w:lineRule="auto"/>
      </w:pPr>
      <w:r>
        <w:rPr>
          <w:rFonts w:ascii="Calibri" w:hAnsi="Calibri" w:cs="Calibri" w:eastAsia="PingFang SC"/>
          <w:b/>
          <w:color w:val="9E3D34"/>
          <w:sz w:val="26"/>
          <w:szCs w:val="26"/>
        </w:rPr>
        <w:t xml:space="preserve">Handling disagreement</w:t>
      </w:r>
    </w:p>
    <w:p>
      <w:pPr>
        <w:spacing w:before="0" w:after="160" w:line="312" w:lineRule="auto"/>
      </w:pPr>
      <w:r>
        <w:rPr>
          <w:rFonts w:ascii="Calibri" w:hAnsi="Calibri" w:cs="Calibri" w:eastAsia="PingFang SC"/>
          <w:color w:val="3D3A33"/>
          <w:sz w:val="22"/>
          <w:szCs w:val="22"/>
        </w:rPr>
        <w:t xml:space="preserve">Disagreement can reveal different evidence, meanings, assumptions or priorities. First establish what each person is claiming. Then ask what supports each view and identify the point at which their reasoning diverges. Separate disagreement about facts from disagreement about values or preferences.</w:t>
      </w:r>
    </w:p>
    <w:p>
      <w:pPr>
        <w:spacing w:before="0" w:after="160" w:line="312" w:lineRule="auto"/>
      </w:pPr>
      <w:r>
        <w:rPr>
          <w:rFonts w:ascii="Calibri" w:hAnsi="Calibri" w:cs="Calibri" w:eastAsia="PingFang SC"/>
          <w:color w:val="3D3A33"/>
          <w:sz w:val="22"/>
          <w:szCs w:val="22"/>
        </w:rPr>
        <w:t xml:space="preserve">A useful response is to turn competing assertions into questions the group can investigate: "What would we need to know to compare these options?" This keeps the discussion exploratory rather than making the facilitator the judge of whose position should prevail.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