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PMGT1852 Week 06</w:t>
      </w:r>
    </w:p>
    <w:p>
      <w:pPr>
        <w:spacing w:before="240" w:after="80" w:line="312" w:lineRule="auto"/>
      </w:pPr>
      <w:r>
        <w:rPr>
          <w:rFonts w:ascii="Calibri" w:hAnsi="Calibri" w:cs="Calibri" w:eastAsia="PingFang SC"/>
          <w:b/>
          <w:color w:val="33302A"/>
          <w:sz w:val="32"/>
          <w:szCs w:val="32"/>
        </w:rPr>
        <w:t xml:space="preserve">PMGT1852 Week 6 - Stakeholder Salience, Stakeholder Circles and Social Network Analysis</w:t>
      </w:r>
    </w:p>
    <w:p>
      <w:pPr>
        <w:spacing w:before="240" w:after="80" w:line="312" w:lineRule="auto"/>
      </w:pPr>
      <w:r>
        <w:rPr>
          <w:rFonts w:ascii="Calibri" w:hAnsi="Calibri" w:cs="Calibri" w:eastAsia="PingFang SC"/>
          <w:b/>
          <w:color w:val="9E3D34"/>
          <w:sz w:val="26"/>
          <w:szCs w:val="26"/>
        </w:rPr>
        <w:t xml:space="preserve">Stakeholder salience</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stakeholder</w:t>
      </w:r>
      <w:r>
        <w:rPr>
          <w:rFonts w:ascii="Calibri" w:hAnsi="Calibri" w:cs="Calibri" w:eastAsia="PingFang SC"/>
          <w:color w:val="3D3A33"/>
          <w:sz w:val="22"/>
          <w:szCs w:val="22"/>
        </w:rPr>
        <w:t xml:space="preserve"> is a person or group that can affect or be affected by a project. </w:t>
      </w:r>
      <w:r>
        <w:rPr>
          <w:rFonts w:ascii="Calibri" w:hAnsi="Calibri" w:cs="Calibri" w:eastAsia="PingFang SC"/>
          <w:b/>
          <w:color w:val="3D3A33"/>
          <w:sz w:val="22"/>
          <w:szCs w:val="22"/>
        </w:rPr>
        <w:t xml:space="preserve">Salience</w:t>
      </w:r>
      <w:r>
        <w:rPr>
          <w:rFonts w:ascii="Calibri" w:hAnsi="Calibri" w:cs="Calibri" w:eastAsia="PingFang SC"/>
          <w:color w:val="3D3A33"/>
          <w:sz w:val="22"/>
          <w:szCs w:val="22"/>
        </w:rPr>
        <w:t xml:space="preserve"> is the priority given to a stakeholder's claims. Mitchell, Agle and Wood's salience model uses three attributes: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Power:</w:t>
      </w:r>
      <w:r>
        <w:rPr>
          <w:rFonts w:ascii="Calibri" w:hAnsi="Calibri" w:cs="Calibri" w:eastAsia="PingFang SC"/>
          <w:color w:val="3D3A33"/>
          <w:sz w:val="22"/>
          <w:szCs w:val="22"/>
        </w:rPr>
        <w:t xml:space="preserve"> the capacity to influence, change or stop the project.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Legitimacy:</w:t>
      </w:r>
      <w:r>
        <w:rPr>
          <w:rFonts w:ascii="Calibri" w:hAnsi="Calibri" w:cs="Calibri" w:eastAsia="PingFang SC"/>
          <w:color w:val="3D3A33"/>
          <w:sz w:val="22"/>
          <w:szCs w:val="22"/>
        </w:rPr>
        <w:t xml:space="preserve"> the perceived appropriateness or validity of a stakeholder's involvement or claim. It is not identical to formal authority or strength of influence.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Urgency:</w:t>
      </w:r>
      <w:r>
        <w:rPr>
          <w:rFonts w:ascii="Calibri" w:hAnsi="Calibri" w:cs="Calibri" w:eastAsia="PingFang SC"/>
          <w:color w:val="3D3A33"/>
          <w:sz w:val="22"/>
          <w:szCs w:val="22"/>
        </w:rPr>
        <w:t xml:space="preserve"> the extent to which a claim requires prompt attention.</w:t>
      </w:r>
    </w:p>
    <w:p>
      <w:pPr>
        <w:spacing w:before="0" w:after="160" w:line="312" w:lineRule="auto"/>
      </w:pPr>
      <w:r>
        <w:rPr>
          <w:rFonts w:ascii="Calibri" w:hAnsi="Calibri" w:cs="Calibri" w:eastAsia="PingFang SC"/>
          <w:color w:val="3D3A33"/>
          <w:sz w:val="22"/>
          <w:szCs w:val="22"/>
        </w:rPr>
        <w:t xml:space="preserve">The model supports identification, assessment and prioritisation. Attributes can change, so categories should not be treated as permanent identities.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84"/>
        <w:gridCol w:w="1273"/>
        <w:gridCol w:w="1846"/>
        <w:gridCol w:w="5458"/>
      </w:tblGrid>
      <w:tr>
        <w:trPr>
          <w:tblHeader/>
        </w:trPr>
        <w:tc>
          <w:tcPr>
            <w:tcW w:w="784" w:type="dxa"/>
            <w:shd w:val="clear" w:color="auto" w:fill="EAE7DD"/>
          </w:tcPr>
          <w:p>
            <w:pPr>
              <w:spacing w:before="0" w:after="0" w:line="312" w:lineRule="auto"/>
            </w:pPr>
            <w:r>
              <w:rPr>
                <w:rFonts w:ascii="Calibri" w:hAnsi="Calibri" w:cs="Calibri" w:eastAsia="PingFang SC"/>
                <w:b/>
                <w:color w:val="3D3A33"/>
                <w:sz w:val="22"/>
                <w:szCs w:val="22"/>
              </w:rPr>
              <w:t xml:space="preserve">Number</w:t>
            </w:r>
          </w:p>
        </w:tc>
        <w:tc>
          <w:tcPr>
            <w:tcW w:w="1273" w:type="dxa"/>
            <w:shd w:val="clear" w:color="auto" w:fill="EAE7DD"/>
          </w:tcPr>
          <w:p>
            <w:pPr>
              <w:spacing w:before="0" w:after="0" w:line="312" w:lineRule="auto"/>
            </w:pPr>
            <w:r>
              <w:rPr>
                <w:rFonts w:ascii="Calibri" w:hAnsi="Calibri" w:cs="Calibri" w:eastAsia="PingFang SC"/>
                <w:b/>
                <w:color w:val="3D3A33"/>
                <w:sz w:val="22"/>
                <w:szCs w:val="22"/>
              </w:rPr>
              <w:t xml:space="preserve">Category</w:t>
            </w:r>
          </w:p>
        </w:tc>
        <w:tc>
          <w:tcPr>
            <w:tcW w:w="1846" w:type="dxa"/>
            <w:shd w:val="clear" w:color="auto" w:fill="EAE7DD"/>
          </w:tcPr>
          <w:p>
            <w:pPr>
              <w:spacing w:before="0" w:after="0" w:line="312" w:lineRule="auto"/>
            </w:pPr>
            <w:r>
              <w:rPr>
                <w:rFonts w:ascii="Calibri" w:hAnsi="Calibri" w:cs="Calibri" w:eastAsia="PingFang SC"/>
                <w:b/>
                <w:color w:val="3D3A33"/>
                <w:sz w:val="22"/>
                <w:szCs w:val="22"/>
              </w:rPr>
              <w:t xml:space="preserve">Attributes</w:t>
            </w:r>
          </w:p>
        </w:tc>
        <w:tc>
          <w:tcPr>
            <w:tcW w:w="5458" w:type="dxa"/>
            <w:shd w:val="clear" w:color="auto" w:fill="EAE7DD"/>
          </w:tcPr>
          <w:p>
            <w:pPr>
              <w:spacing w:before="0" w:after="0" w:line="312" w:lineRule="auto"/>
            </w:pPr>
            <w:r>
              <w:rPr>
                <w:rFonts w:ascii="Calibri" w:hAnsi="Calibri" w:cs="Calibri" w:eastAsia="PingFang SC"/>
                <w:b/>
                <w:color w:val="3D3A33"/>
                <w:sz w:val="22"/>
                <w:szCs w:val="22"/>
              </w:rPr>
              <w:t xml:space="preserve">Engagement implications and illustrative examples</w:t>
            </w:r>
          </w:p>
        </w:tc>
      </w:tr>
      <w:tr>
        <w:tc>
          <w:tcPr>
            <w:tcW w:w="784" w:type="dxa"/>
          </w:tcPr>
          <w:p>
            <w:pPr>
              <w:spacing w:before="0" w:after="0" w:line="312" w:lineRule="auto"/>
            </w:pPr>
            <w:r>
              <w:rPr>
                <w:rFonts w:ascii="Calibri" w:hAnsi="Calibri" w:cs="Calibri" w:eastAsia="PingFang SC"/>
                <w:color w:val="3D3A33"/>
                <w:sz w:val="22"/>
                <w:szCs w:val="22"/>
              </w:rPr>
              <w:t xml:space="preserve">1</w:t>
            </w:r>
          </w:p>
        </w:tc>
        <w:tc>
          <w:tcPr>
            <w:tcW w:w="1273" w:type="dxa"/>
          </w:tcPr>
          <w:p>
            <w:pPr>
              <w:spacing w:before="0" w:after="0" w:line="312" w:lineRule="auto"/>
            </w:pPr>
            <w:r>
              <w:rPr>
                <w:rFonts w:ascii="Calibri" w:hAnsi="Calibri" w:cs="Calibri" w:eastAsia="PingFang SC"/>
                <w:b/>
                <w:color w:val="3D3A33"/>
                <w:sz w:val="22"/>
                <w:szCs w:val="22"/>
              </w:rPr>
              <w:t xml:space="preserve">Dormant</w:t>
            </w:r>
          </w:p>
        </w:tc>
        <w:tc>
          <w:tcPr>
            <w:tcW w:w="1846" w:type="dxa"/>
          </w:tcPr>
          <w:p>
            <w:pPr>
              <w:spacing w:before="0" w:after="0" w:line="312" w:lineRule="auto"/>
            </w:pPr>
            <w:r>
              <w:rPr>
                <w:rFonts w:ascii="Calibri" w:hAnsi="Calibri" w:cs="Calibri" w:eastAsia="PingFang SC"/>
                <w:color w:val="3D3A33"/>
                <w:sz w:val="22"/>
                <w:szCs w:val="22"/>
              </w:rPr>
              <w:t xml:space="preserve">Power only</w:t>
            </w:r>
          </w:p>
        </w:tc>
        <w:tc>
          <w:tcPr>
            <w:tcW w:w="5458" w:type="dxa"/>
          </w:tcPr>
          <w:p>
            <w:pPr>
              <w:spacing w:before="0" w:after="0" w:line="312" w:lineRule="auto"/>
            </w:pPr>
            <w:r>
              <w:rPr>
                <w:rFonts w:ascii="Calibri" w:hAnsi="Calibri" w:cs="Calibri" w:eastAsia="PingFang SC"/>
                <w:color w:val="3D3A33"/>
                <w:sz w:val="22"/>
                <w:szCs w:val="22"/>
              </w:rPr>
              <w:t xml:space="preserve">May become active when problems arise; monitor potential influence rather than assuming inactivity means irrelevance. A resident group might later mobilise opposition.</w:t>
            </w:r>
          </w:p>
        </w:tc>
      </w:tr>
      <w:tr>
        <w:tc>
          <w:tcPr>
            <w:tcW w:w="784" w:type="dxa"/>
          </w:tcPr>
          <w:p>
            <w:pPr>
              <w:spacing w:before="0" w:after="0" w:line="312" w:lineRule="auto"/>
            </w:pPr>
            <w:r>
              <w:rPr>
                <w:rFonts w:ascii="Calibri" w:hAnsi="Calibri" w:cs="Calibri" w:eastAsia="PingFang SC"/>
                <w:color w:val="3D3A33"/>
                <w:sz w:val="22"/>
                <w:szCs w:val="22"/>
              </w:rPr>
              <w:t xml:space="preserve">2</w:t>
            </w:r>
          </w:p>
        </w:tc>
        <w:tc>
          <w:tcPr>
            <w:tcW w:w="1273" w:type="dxa"/>
          </w:tcPr>
          <w:p>
            <w:pPr>
              <w:spacing w:before="0" w:after="0" w:line="312" w:lineRule="auto"/>
            </w:pPr>
            <w:r>
              <w:rPr>
                <w:rFonts w:ascii="Calibri" w:hAnsi="Calibri" w:cs="Calibri" w:eastAsia="PingFang SC"/>
                <w:b/>
                <w:color w:val="3D3A33"/>
                <w:sz w:val="22"/>
                <w:szCs w:val="22"/>
              </w:rPr>
              <w:t xml:space="preserve">Discretionary</w:t>
            </w:r>
          </w:p>
        </w:tc>
        <w:tc>
          <w:tcPr>
            <w:tcW w:w="1846" w:type="dxa"/>
          </w:tcPr>
          <w:p>
            <w:pPr>
              <w:spacing w:before="0" w:after="0" w:line="312" w:lineRule="auto"/>
            </w:pPr>
            <w:r>
              <w:rPr>
                <w:rFonts w:ascii="Calibri" w:hAnsi="Calibri" w:cs="Calibri" w:eastAsia="PingFang SC"/>
                <w:color w:val="3D3A33"/>
                <w:sz w:val="22"/>
                <w:szCs w:val="22"/>
              </w:rPr>
              <w:t xml:space="preserve">Legitimacy only</w:t>
            </w:r>
          </w:p>
        </w:tc>
        <w:tc>
          <w:tcPr>
            <w:tcW w:w="5458" w:type="dxa"/>
          </w:tcPr>
          <w:p>
            <w:pPr>
              <w:spacing w:before="0" w:after="0" w:line="312" w:lineRule="auto"/>
            </w:pPr>
            <w:r>
              <w:rPr>
                <w:rFonts w:ascii="Calibri" w:hAnsi="Calibri" w:cs="Calibri" w:eastAsia="PingFang SC"/>
                <w:color w:val="3D3A33"/>
                <w:sz w:val="22"/>
                <w:szCs w:val="22"/>
              </w:rPr>
              <w:t xml:space="preserve">Has a legitimate claim but lacks power and urgency; proportionate updates may be appropriate. A charity benefiting from project income illustrates this combination.</w:t>
            </w:r>
          </w:p>
        </w:tc>
      </w:tr>
      <w:tr>
        <w:tc>
          <w:tcPr>
            <w:tcW w:w="784" w:type="dxa"/>
          </w:tcPr>
          <w:p>
            <w:pPr>
              <w:spacing w:before="0" w:after="0" w:line="312" w:lineRule="auto"/>
            </w:pPr>
            <w:r>
              <w:rPr>
                <w:rFonts w:ascii="Calibri" w:hAnsi="Calibri" w:cs="Calibri" w:eastAsia="PingFang SC"/>
                <w:color w:val="3D3A33"/>
                <w:sz w:val="22"/>
                <w:szCs w:val="22"/>
              </w:rPr>
              <w:t xml:space="preserve">3</w:t>
            </w:r>
          </w:p>
        </w:tc>
        <w:tc>
          <w:tcPr>
            <w:tcW w:w="1273" w:type="dxa"/>
          </w:tcPr>
          <w:p>
            <w:pPr>
              <w:spacing w:before="0" w:after="0" w:line="312" w:lineRule="auto"/>
            </w:pPr>
            <w:r>
              <w:rPr>
                <w:rFonts w:ascii="Calibri" w:hAnsi="Calibri" w:cs="Calibri" w:eastAsia="PingFang SC"/>
                <w:b/>
                <w:color w:val="3D3A33"/>
                <w:sz w:val="22"/>
                <w:szCs w:val="22"/>
              </w:rPr>
              <w:t xml:space="preserve">Demanding</w:t>
            </w:r>
          </w:p>
        </w:tc>
        <w:tc>
          <w:tcPr>
            <w:tcW w:w="1846" w:type="dxa"/>
          </w:tcPr>
          <w:p>
            <w:pPr>
              <w:spacing w:before="0" w:after="0" w:line="312" w:lineRule="auto"/>
            </w:pPr>
            <w:r>
              <w:rPr>
                <w:rFonts w:ascii="Calibri" w:hAnsi="Calibri" w:cs="Calibri" w:eastAsia="PingFang SC"/>
                <w:color w:val="3D3A33"/>
                <w:sz w:val="22"/>
                <w:szCs w:val="22"/>
              </w:rPr>
              <w:t xml:space="preserve">Urgency only</w:t>
            </w:r>
          </w:p>
        </w:tc>
        <w:tc>
          <w:tcPr>
            <w:tcW w:w="5458" w:type="dxa"/>
          </w:tcPr>
          <w:p>
            <w:pPr>
              <w:spacing w:before="0" w:after="0" w:line="312" w:lineRule="auto"/>
            </w:pPr>
            <w:r>
              <w:rPr>
                <w:rFonts w:ascii="Calibri" w:hAnsi="Calibri" w:cs="Calibri" w:eastAsia="PingFang SC"/>
                <w:color w:val="3D3A33"/>
                <w:sz w:val="22"/>
                <w:szCs w:val="22"/>
              </w:rPr>
              <w:t xml:space="preserve">Requests immediate attention without power or a legitimate claim; assess the request without allowing it to absorb disproportionate effort.</w:t>
            </w:r>
          </w:p>
        </w:tc>
      </w:tr>
      <w:tr>
        <w:tc>
          <w:tcPr>
            <w:tcW w:w="784" w:type="dxa"/>
          </w:tcPr>
          <w:p>
            <w:pPr>
              <w:spacing w:before="0" w:after="0" w:line="312" w:lineRule="auto"/>
            </w:pPr>
            <w:r>
              <w:rPr>
                <w:rFonts w:ascii="Calibri" w:hAnsi="Calibri" w:cs="Calibri" w:eastAsia="PingFang SC"/>
                <w:color w:val="3D3A33"/>
                <w:sz w:val="22"/>
                <w:szCs w:val="22"/>
              </w:rPr>
              <w:t xml:space="preserve">4</w:t>
            </w:r>
          </w:p>
        </w:tc>
        <w:tc>
          <w:tcPr>
            <w:tcW w:w="1273" w:type="dxa"/>
          </w:tcPr>
          <w:p>
            <w:pPr>
              <w:spacing w:before="0" w:after="0" w:line="312" w:lineRule="auto"/>
            </w:pPr>
            <w:r>
              <w:rPr>
                <w:rFonts w:ascii="Calibri" w:hAnsi="Calibri" w:cs="Calibri" w:eastAsia="PingFang SC"/>
                <w:b/>
                <w:color w:val="3D3A33"/>
                <w:sz w:val="22"/>
                <w:szCs w:val="22"/>
              </w:rPr>
              <w:t xml:space="preserve">Dominant</w:t>
            </w:r>
          </w:p>
        </w:tc>
        <w:tc>
          <w:tcPr>
            <w:tcW w:w="1846" w:type="dxa"/>
          </w:tcPr>
          <w:p>
            <w:pPr>
              <w:spacing w:before="0" w:after="0" w:line="312" w:lineRule="auto"/>
            </w:pPr>
            <w:r>
              <w:rPr>
                <w:rFonts w:ascii="Calibri" w:hAnsi="Calibri" w:cs="Calibri" w:eastAsia="PingFang SC"/>
                <w:color w:val="3D3A33"/>
                <w:sz w:val="22"/>
                <w:szCs w:val="22"/>
              </w:rPr>
              <w:t xml:space="preserve">Power and legitimacy</w:t>
            </w:r>
          </w:p>
        </w:tc>
        <w:tc>
          <w:tcPr>
            <w:tcW w:w="5458" w:type="dxa"/>
          </w:tcPr>
          <w:p>
            <w:pPr>
              <w:spacing w:before="0" w:after="0" w:line="312" w:lineRule="auto"/>
            </w:pPr>
            <w:r>
              <w:rPr>
                <w:rFonts w:ascii="Calibri" w:hAnsi="Calibri" w:cs="Calibri" w:eastAsia="PingFang SC"/>
                <w:color w:val="3D3A33"/>
                <w:sz w:val="22"/>
                <w:szCs w:val="22"/>
              </w:rPr>
              <w:t xml:space="preserve">Consult and understand expectations. Human resources, public relations or a board of directors can illustrate this combination when their roles support it.</w:t>
            </w:r>
          </w:p>
        </w:tc>
      </w:tr>
      <w:tr>
        <w:tc>
          <w:tcPr>
            <w:tcW w:w="784" w:type="dxa"/>
          </w:tcPr>
          <w:p>
            <w:pPr>
              <w:spacing w:before="0" w:after="0" w:line="312" w:lineRule="auto"/>
            </w:pPr>
            <w:r>
              <w:rPr>
                <w:rFonts w:ascii="Calibri" w:hAnsi="Calibri" w:cs="Calibri" w:eastAsia="PingFang SC"/>
                <w:color w:val="3D3A33"/>
                <w:sz w:val="22"/>
                <w:szCs w:val="22"/>
              </w:rPr>
              <w:t xml:space="preserve">5</w:t>
            </w:r>
          </w:p>
        </w:tc>
        <w:tc>
          <w:tcPr>
            <w:tcW w:w="1273" w:type="dxa"/>
          </w:tcPr>
          <w:p>
            <w:pPr>
              <w:spacing w:before="0" w:after="0" w:line="312" w:lineRule="auto"/>
            </w:pPr>
            <w:r>
              <w:rPr>
                <w:rFonts w:ascii="Calibri" w:hAnsi="Calibri" w:cs="Calibri" w:eastAsia="PingFang SC"/>
                <w:b/>
                <w:color w:val="3D3A33"/>
                <w:sz w:val="22"/>
                <w:szCs w:val="22"/>
              </w:rPr>
              <w:t xml:space="preserve">Dangerous</w:t>
            </w:r>
          </w:p>
        </w:tc>
        <w:tc>
          <w:tcPr>
            <w:tcW w:w="1846" w:type="dxa"/>
          </w:tcPr>
          <w:p>
            <w:pPr>
              <w:spacing w:before="0" w:after="0" w:line="312" w:lineRule="auto"/>
            </w:pPr>
            <w:r>
              <w:rPr>
                <w:rFonts w:ascii="Calibri" w:hAnsi="Calibri" w:cs="Calibri" w:eastAsia="PingFang SC"/>
                <w:color w:val="3D3A33"/>
                <w:sz w:val="22"/>
                <w:szCs w:val="22"/>
              </w:rPr>
              <w:t xml:space="preserve">Power and urgency</w:t>
            </w:r>
          </w:p>
        </w:tc>
        <w:tc>
          <w:tcPr>
            <w:tcW w:w="5458" w:type="dxa"/>
          </w:tcPr>
          <w:p>
            <w:pPr>
              <w:spacing w:before="0" w:after="0" w:line="312" w:lineRule="auto"/>
            </w:pPr>
            <w:r>
              <w:rPr>
                <w:rFonts w:ascii="Calibri" w:hAnsi="Calibri" w:cs="Calibri" w:eastAsia="PingFang SC"/>
                <w:color w:val="3D3A33"/>
                <w:sz w:val="22"/>
                <w:szCs w:val="22"/>
              </w:rPr>
              <w:t xml:space="preserve">Can exert pressure despite lacking legitimacy; requires careful engagement and risk management. A powerful political opponent illustrates the potential combination.</w:t>
            </w:r>
          </w:p>
        </w:tc>
      </w:tr>
      <w:tr>
        <w:tc>
          <w:tcPr>
            <w:tcW w:w="784" w:type="dxa"/>
          </w:tcPr>
          <w:p>
            <w:pPr>
              <w:spacing w:before="0" w:after="0" w:line="312" w:lineRule="auto"/>
            </w:pPr>
            <w:r>
              <w:rPr>
                <w:rFonts w:ascii="Calibri" w:hAnsi="Calibri" w:cs="Calibri" w:eastAsia="PingFang SC"/>
                <w:color w:val="3D3A33"/>
                <w:sz w:val="22"/>
                <w:szCs w:val="22"/>
              </w:rPr>
              <w:t xml:space="preserve">6</w:t>
            </w:r>
          </w:p>
        </w:tc>
        <w:tc>
          <w:tcPr>
            <w:tcW w:w="1273" w:type="dxa"/>
          </w:tcPr>
          <w:p>
            <w:pPr>
              <w:spacing w:before="0" w:after="0" w:line="312" w:lineRule="auto"/>
            </w:pPr>
            <w:r>
              <w:rPr>
                <w:rFonts w:ascii="Calibri" w:hAnsi="Calibri" w:cs="Calibri" w:eastAsia="PingFang SC"/>
                <w:b/>
                <w:color w:val="3D3A33"/>
                <w:sz w:val="22"/>
                <w:szCs w:val="22"/>
              </w:rPr>
              <w:t xml:space="preserve">Dependent</w:t>
            </w:r>
          </w:p>
        </w:tc>
        <w:tc>
          <w:tcPr>
            <w:tcW w:w="1846" w:type="dxa"/>
          </w:tcPr>
          <w:p>
            <w:pPr>
              <w:spacing w:before="0" w:after="0" w:line="312" w:lineRule="auto"/>
            </w:pPr>
            <w:r>
              <w:rPr>
                <w:rFonts w:ascii="Calibri" w:hAnsi="Calibri" w:cs="Calibri" w:eastAsia="PingFang SC"/>
                <w:color w:val="3D3A33"/>
                <w:sz w:val="22"/>
                <w:szCs w:val="22"/>
              </w:rPr>
              <w:t xml:space="preserve">Legitimacy and urgency</w:t>
            </w:r>
          </w:p>
        </w:tc>
        <w:tc>
          <w:tcPr>
            <w:tcW w:w="5458" w:type="dxa"/>
          </w:tcPr>
          <w:p>
            <w:pPr>
              <w:spacing w:before="0" w:after="0" w:line="312" w:lineRule="auto"/>
            </w:pPr>
            <w:r>
              <w:rPr>
                <w:rFonts w:ascii="Calibri" w:hAnsi="Calibri" w:cs="Calibri" w:eastAsia="PingFang SC"/>
                <w:color w:val="3D3A33"/>
                <w:sz w:val="22"/>
                <w:szCs w:val="22"/>
              </w:rPr>
              <w:t xml:space="preserve">Lacks direct power but may gain influence through others; consult and manage the legitimate urgent claim. Environmental or action groups may occupy this position.</w:t>
            </w:r>
          </w:p>
        </w:tc>
      </w:tr>
      <w:tr>
        <w:tc>
          <w:tcPr>
            <w:tcW w:w="784" w:type="dxa"/>
          </w:tcPr>
          <w:p>
            <w:pPr>
              <w:spacing w:before="0" w:after="0" w:line="312" w:lineRule="auto"/>
            </w:pPr>
            <w:r>
              <w:rPr>
                <w:rFonts w:ascii="Calibri" w:hAnsi="Calibri" w:cs="Calibri" w:eastAsia="PingFang SC"/>
                <w:color w:val="3D3A33"/>
                <w:sz w:val="22"/>
                <w:szCs w:val="22"/>
              </w:rPr>
              <w:t xml:space="preserve">7</w:t>
            </w:r>
          </w:p>
        </w:tc>
        <w:tc>
          <w:tcPr>
            <w:tcW w:w="1273" w:type="dxa"/>
          </w:tcPr>
          <w:p>
            <w:pPr>
              <w:spacing w:before="0" w:after="0" w:line="312" w:lineRule="auto"/>
            </w:pPr>
            <w:r>
              <w:rPr>
                <w:rFonts w:ascii="Calibri" w:hAnsi="Calibri" w:cs="Calibri" w:eastAsia="PingFang SC"/>
                <w:b/>
                <w:color w:val="3D3A33"/>
                <w:sz w:val="22"/>
                <w:szCs w:val="22"/>
              </w:rPr>
              <w:t xml:space="preserve">Definitive</w:t>
            </w:r>
          </w:p>
        </w:tc>
        <w:tc>
          <w:tcPr>
            <w:tcW w:w="1846" w:type="dxa"/>
          </w:tcPr>
          <w:p>
            <w:pPr>
              <w:spacing w:before="0" w:after="0" w:line="312" w:lineRule="auto"/>
            </w:pPr>
            <w:r>
              <w:rPr>
                <w:rFonts w:ascii="Calibri" w:hAnsi="Calibri" w:cs="Calibri" w:eastAsia="PingFang SC"/>
                <w:color w:val="3D3A33"/>
                <w:sz w:val="22"/>
                <w:szCs w:val="22"/>
              </w:rPr>
              <w:t xml:space="preserve">All three</w:t>
            </w:r>
          </w:p>
        </w:tc>
        <w:tc>
          <w:tcPr>
            <w:tcW w:w="5458" w:type="dxa"/>
          </w:tcPr>
          <w:p>
            <w:pPr>
              <w:spacing w:before="0" w:after="0" w:line="312" w:lineRule="auto"/>
            </w:pPr>
            <w:r>
              <w:rPr>
                <w:rFonts w:ascii="Calibri" w:hAnsi="Calibri" w:cs="Calibri" w:eastAsia="PingFang SC"/>
                <w:color w:val="3D3A33"/>
                <w:sz w:val="22"/>
                <w:szCs w:val="22"/>
              </w:rPr>
              <w:t xml:space="preserve">Requires priority attention. A team member can qualify when all three attributes are present.</w:t>
            </w:r>
          </w:p>
        </w:tc>
      </w:tr>
      <w:tr>
        <w:tc>
          <w:tcPr>
            <w:tcW w:w="784" w:type="dxa"/>
          </w:tcPr>
          <w:p>
            <w:pPr>
              <w:spacing w:before="0" w:after="0" w:line="312" w:lineRule="auto"/>
            </w:pPr>
            <w:r>
              <w:rPr>
                <w:rFonts w:ascii="Calibri" w:hAnsi="Calibri" w:cs="Calibri" w:eastAsia="PingFang SC"/>
                <w:color w:val="3D3A33"/>
                <w:sz w:val="22"/>
                <w:szCs w:val="22"/>
              </w:rPr>
              <w:t xml:space="preserve">8</w:t>
            </w:r>
          </w:p>
        </w:tc>
        <w:tc>
          <w:tcPr>
            <w:tcW w:w="1273" w:type="dxa"/>
          </w:tcPr>
          <w:p>
            <w:pPr>
              <w:spacing w:before="0" w:after="0" w:line="312" w:lineRule="auto"/>
            </w:pPr>
            <w:r>
              <w:rPr>
                <w:rFonts w:ascii="Calibri" w:hAnsi="Calibri" w:cs="Calibri" w:eastAsia="PingFang SC"/>
                <w:b/>
                <w:color w:val="3D3A33"/>
                <w:sz w:val="22"/>
                <w:szCs w:val="22"/>
              </w:rPr>
              <w:t xml:space="preserve">Non-stakeholder under this model</w:t>
            </w:r>
          </w:p>
        </w:tc>
        <w:tc>
          <w:tcPr>
            <w:tcW w:w="1846" w:type="dxa"/>
          </w:tcPr>
          <w:p>
            <w:pPr>
              <w:spacing w:before="0" w:after="0" w:line="312" w:lineRule="auto"/>
            </w:pPr>
            <w:r>
              <w:rPr>
                <w:rFonts w:ascii="Calibri" w:hAnsi="Calibri" w:cs="Calibri" w:eastAsia="PingFang SC"/>
                <w:color w:val="3D3A33"/>
                <w:sz w:val="22"/>
                <w:szCs w:val="22"/>
              </w:rPr>
              <w:t xml:space="preserve">None</w:t>
            </w:r>
          </w:p>
        </w:tc>
        <w:tc>
          <w:tcPr>
            <w:tcW w:w="5458" w:type="dxa"/>
          </w:tcPr>
          <w:p>
            <w:pPr>
              <w:spacing w:before="0" w:after="0" w:line="312" w:lineRule="auto"/>
            </w:pPr>
            <w:r>
              <w:rPr>
                <w:rFonts w:ascii="Calibri" w:hAnsi="Calibri" w:cs="Calibri" w:eastAsia="PingFang SC"/>
                <w:color w:val="3D3A33"/>
                <w:sz w:val="22"/>
                <w:szCs w:val="22"/>
              </w:rPr>
              <w:t xml:space="preserve">No current salience on these attributes; reassess if circumstances change.</w:t>
            </w:r>
          </w:p>
        </w:tc>
      </w:tr>
    </w:tbl>
    <w:p>
      <w:pPr>
        <w:spacing w:before="0" w:after="160" w:line="312" w:lineRule="auto"/>
      </w:pPr>
      <w:r>
        <w:rPr>
          <w:rFonts w:ascii="Calibri" w:hAnsi="Calibri" w:cs="Calibri" w:eastAsia="PingFang SC"/>
          <w:color w:val="3D3A33"/>
          <w:sz w:val="22"/>
          <w:szCs w:val="22"/>
        </w:rPr>
        <w:t xml:space="preserve">The first three are one-attribute, or </w:t>
      </w:r>
      <w:r>
        <w:rPr>
          <w:rFonts w:ascii="Calibri" w:hAnsi="Calibri" w:cs="Calibri" w:eastAsia="PingFang SC"/>
          <w:b/>
          <w:color w:val="3D3A33"/>
          <w:sz w:val="22"/>
          <w:szCs w:val="22"/>
        </w:rPr>
        <w:t xml:space="preserve">latent</w:t>
      </w:r>
      <w:r>
        <w:rPr>
          <w:rFonts w:ascii="Calibri" w:hAnsi="Calibri" w:cs="Calibri" w:eastAsia="PingFang SC"/>
          <w:color w:val="3D3A33"/>
          <w:sz w:val="22"/>
          <w:szCs w:val="22"/>
        </w:rPr>
        <w:t xml:space="preserve">, categories. An organisation's title alone does not establish its category: the attributes must be assessed in context.</w:t>
      </w:r>
    </w:p>
    <w:p>
      <w:pPr>
        <w:spacing w:before="240" w:after="80" w:line="312" w:lineRule="auto"/>
      </w:pPr>
      <w:r>
        <w:rPr>
          <w:rFonts w:ascii="Calibri" w:hAnsi="Calibri" w:cs="Calibri" w:eastAsia="PingFang SC"/>
          <w:b/>
          <w:color w:val="9E3D34"/>
          <w:sz w:val="26"/>
          <w:szCs w:val="26"/>
        </w:rPr>
        <w:t xml:space="preserve">Bourne's Stakeholder Circle</w:t>
      </w:r>
    </w:p>
    <w:p>
      <w:pPr>
        <w:spacing w:before="0" w:after="160" w:line="312" w:lineRule="auto"/>
      </w:pPr>
      <w:r>
        <w:rPr>
          <w:rFonts w:ascii="Calibri" w:hAnsi="Calibri" w:cs="Calibri" w:eastAsia="PingFang SC"/>
          <w:color w:val="3D3A33"/>
          <w:sz w:val="22"/>
          <w:szCs w:val="22"/>
        </w:rPr>
        <w:t xml:space="preserve">Bourne's Stakeholder Circle is a method for identifying, prioritising, visualising, engaging and monitoring stakeholders. Its community extends from the </w:t>
      </w:r>
      <w:r>
        <w:rPr>
          <w:rFonts w:ascii="Calibri" w:hAnsi="Calibri" w:cs="Calibri" w:eastAsia="PingFang SC"/>
          <w:b/>
          <w:color w:val="3D3A33"/>
          <w:sz w:val="22"/>
          <w:szCs w:val="22"/>
        </w:rPr>
        <w:t xml:space="preserve">activity</w:t>
      </w:r>
      <w:r>
        <w:rPr>
          <w:rFonts w:ascii="Calibri" w:hAnsi="Calibri" w:cs="Calibri" w:eastAsia="PingFang SC"/>
          <w:color w:val="3D3A33"/>
          <w:sz w:val="22"/>
          <w:szCs w:val="22"/>
        </w:rPr>
        <w:t xml:space="preserve">, through the </w:t>
      </w:r>
      <w:r>
        <w:rPr>
          <w:rFonts w:ascii="Calibri" w:hAnsi="Calibri" w:cs="Calibri" w:eastAsia="PingFang SC"/>
          <w:b/>
          <w:color w:val="3D3A33"/>
          <w:sz w:val="22"/>
          <w:szCs w:val="22"/>
        </w:rPr>
        <w:t xml:space="preserve">team</w:t>
      </w:r>
      <w:r>
        <w:rPr>
          <w:rFonts w:ascii="Calibri" w:hAnsi="Calibri" w:cs="Calibri" w:eastAsia="PingFang SC"/>
          <w:color w:val="3D3A33"/>
          <w:sz w:val="22"/>
          <w:szCs w:val="22"/>
        </w:rPr>
        <w:t xml:space="preserve"> and </w:t>
      </w:r>
      <w:r>
        <w:rPr>
          <w:rFonts w:ascii="Calibri" w:hAnsi="Calibri" w:cs="Calibri" w:eastAsia="PingFang SC"/>
          <w:b/>
          <w:color w:val="3D3A33"/>
          <w:sz w:val="22"/>
          <w:szCs w:val="22"/>
        </w:rPr>
        <w:t xml:space="preserve">current stakeholders</w:t>
      </w:r>
      <w:r>
        <w:rPr>
          <w:rFonts w:ascii="Calibri" w:hAnsi="Calibri" w:cs="Calibri" w:eastAsia="PingFang SC"/>
          <w:color w:val="3D3A33"/>
          <w:sz w:val="22"/>
          <w:szCs w:val="22"/>
        </w:rPr>
        <w:t xml:space="preserve">, to the wider </w:t>
      </w:r>
      <w:r>
        <w:rPr>
          <w:rFonts w:ascii="Calibri" w:hAnsi="Calibri" w:cs="Calibri" w:eastAsia="PingFang SC"/>
          <w:b/>
          <w:color w:val="3D3A33"/>
          <w:sz w:val="22"/>
          <w:szCs w:val="22"/>
        </w:rPr>
        <w:t xml:space="preserve">potential stakeholder community</w:t>
      </w:r>
      <w:r>
        <w:rPr>
          <w:rFonts w:ascii="Calibri" w:hAnsi="Calibri" w:cs="Calibri" w:eastAsia="PingFang SC"/>
          <w:color w:val="3D3A33"/>
          <w:sz w:val="22"/>
          <w:szCs w:val="22"/>
        </w:rPr>
        <w:t xml:space="preserve">.</w:t>
      </w:r>
    </w:p>
    <w:p>
      <w:pPr>
        <w:spacing w:before="240" w:after="80" w:line="312" w:lineRule="auto"/>
      </w:pPr>
      <w:r>
        <w:rPr>
          <w:rFonts w:ascii="Calibri" w:hAnsi="Calibri" w:cs="Calibri" w:eastAsia="PingFang SC"/>
          <w:b/>
          <w:color w:val="175244"/>
          <w:sz w:val="22"/>
          <w:szCs w:val="22"/>
        </w:rPr>
        <w:t xml:space="preserve">Five engagement steps</w:t>
      </w:r>
    </w:p>
    <w:p>
      <w:pPr>
        <w:numPr>
          <w:ilvl w:val="0"/>
          <w:numId w:val="101"/>
        </w:numPr>
        <w:spacing w:after="80" w:line="312" w:lineRule="auto"/>
      </w:pPr>
      <w:r>
        <w:rPr>
          <w:rFonts w:ascii="Calibri" w:hAnsi="Calibri" w:cs="Calibri" w:eastAsia="PingFang SC"/>
          <w:b/>
          <w:color w:val="3D3A33"/>
          <w:sz w:val="22"/>
          <w:szCs w:val="22"/>
        </w:rPr>
        <w:t xml:space="preserve">Identify:</w:t>
      </w:r>
      <w:r>
        <w:rPr>
          <w:rFonts w:ascii="Calibri" w:hAnsi="Calibri" w:cs="Calibri" w:eastAsia="PingFang SC"/>
          <w:color w:val="3D3A33"/>
          <w:sz w:val="22"/>
          <w:szCs w:val="22"/>
        </w:rPr>
        <w:t xml:space="preserve"> determine who is affected, who has influence, what that influence involves and whether stakeholders are internal or external.</w:t>
      </w:r>
    </w:p>
    <w:p>
      <w:pPr>
        <w:numPr>
          <w:ilvl w:val="0"/>
          <w:numId w:val="101"/>
        </w:numPr>
        <w:spacing w:after="80" w:line="312" w:lineRule="auto"/>
      </w:pPr>
      <w:r>
        <w:rPr>
          <w:rFonts w:ascii="Calibri" w:hAnsi="Calibri" w:cs="Calibri" w:eastAsia="PingFang SC"/>
          <w:b/>
          <w:color w:val="3D3A33"/>
          <w:sz w:val="22"/>
          <w:szCs w:val="22"/>
        </w:rPr>
        <w:t xml:space="preserve">Prioritise:</w:t>
      </w:r>
      <w:r>
        <w:rPr>
          <w:rFonts w:ascii="Calibri" w:hAnsi="Calibri" w:cs="Calibri" w:eastAsia="PingFang SC"/>
          <w:color w:val="3D3A33"/>
          <w:sz w:val="22"/>
          <w:szCs w:val="22"/>
        </w:rPr>
        <w:t xml:space="preserve"> assess relative importance using power, proximity and urgency. Rating ranges are power 1-4, proximity 1-4 and urgency 1-5. Proximity concerns closeness to the work and should not be assumed identical to legitimacy.</w:t>
      </w:r>
    </w:p>
    <w:p>
      <w:pPr>
        <w:numPr>
          <w:ilvl w:val="0"/>
          <w:numId w:val="101"/>
        </w:numPr>
        <w:spacing w:after="80" w:line="312" w:lineRule="auto"/>
      </w:pPr>
      <w:r>
        <w:rPr>
          <w:rFonts w:ascii="Calibri" w:hAnsi="Calibri" w:cs="Calibri" w:eastAsia="PingFang SC"/>
          <w:b/>
          <w:color w:val="3D3A33"/>
          <w:sz w:val="22"/>
          <w:szCs w:val="22"/>
        </w:rPr>
        <w:t xml:space="preserve">Visualise:</w:t>
      </w:r>
      <w:r>
        <w:rPr>
          <w:rFonts w:ascii="Calibri" w:hAnsi="Calibri" w:cs="Calibri" w:eastAsia="PingFang SC"/>
          <w:color w:val="3D3A33"/>
          <w:sz w:val="22"/>
          <w:szCs w:val="22"/>
        </w:rPr>
        <w:t xml:space="preserve"> represent the stakeholder community in a Stakeholder Circle.</w:t>
      </w:r>
    </w:p>
    <w:p>
      <w:pPr>
        <w:numPr>
          <w:ilvl w:val="0"/>
          <w:numId w:val="101"/>
        </w:numPr>
        <w:spacing w:after="80" w:line="312" w:lineRule="auto"/>
      </w:pPr>
      <w:r>
        <w:rPr>
          <w:rFonts w:ascii="Calibri" w:hAnsi="Calibri" w:cs="Calibri" w:eastAsia="PingFang SC"/>
          <w:b/>
          <w:color w:val="3D3A33"/>
          <w:sz w:val="22"/>
          <w:szCs w:val="22"/>
        </w:rPr>
        <w:t xml:space="preserve">Engage:</w:t>
      </w:r>
      <w:r>
        <w:rPr>
          <w:rFonts w:ascii="Calibri" w:hAnsi="Calibri" w:cs="Calibri" w:eastAsia="PingFang SC"/>
          <w:color w:val="3D3A33"/>
          <w:sz w:val="22"/>
          <w:szCs w:val="22"/>
        </w:rPr>
        <w:t xml:space="preserve"> use communication appropriate to the stakeholder and the required relationship.</w:t>
      </w:r>
    </w:p>
    <w:p>
      <w:pPr>
        <w:numPr>
          <w:ilvl w:val="0"/>
          <w:numId w:val="101"/>
        </w:numPr>
        <w:spacing w:after="80" w:line="312" w:lineRule="auto"/>
      </w:pPr>
      <w:r>
        <w:rPr>
          <w:rFonts w:ascii="Calibri" w:hAnsi="Calibri" w:cs="Calibri" w:eastAsia="PingFang SC"/>
          <w:b/>
          <w:color w:val="3D3A33"/>
          <w:sz w:val="22"/>
          <w:szCs w:val="22"/>
        </w:rPr>
        <w:t xml:space="preserve">Monitor:</w:t>
      </w:r>
      <w:r>
        <w:rPr>
          <w:rFonts w:ascii="Calibri" w:hAnsi="Calibri" w:cs="Calibri" w:eastAsia="PingFang SC"/>
          <w:color w:val="3D3A33"/>
          <w:sz w:val="22"/>
          <w:szCs w:val="22"/>
        </w:rPr>
        <w:t xml:space="preserve"> review engagement and update the assessment as circumstances change.</w:t>
      </w:r>
    </w:p>
    <w:p>
      <w:pPr>
        <w:spacing w:before="0" w:after="160" w:line="312" w:lineRule="auto"/>
      </w:pPr>
      <w:r>
        <w:rPr>
          <w:rFonts w:ascii="Calibri" w:hAnsi="Calibri" w:cs="Calibri" w:eastAsia="PingFang SC"/>
          <w:color w:val="3D3A33"/>
          <w:sz w:val="22"/>
          <w:szCs w:val="22"/>
        </w:rPr>
        <w:t xml:space="preserve">The different rating ranges are not a complete scoring algorithm. They do not establish how to calculate an overall priority score.</w:t>
      </w:r>
    </w:p>
    <w:p>
      <w:pPr>
        <w:spacing w:before="240" w:after="80" w:line="312" w:lineRule="auto"/>
      </w:pPr>
      <w:r>
        <w:rPr>
          <w:rFonts w:ascii="Calibri" w:hAnsi="Calibri" w:cs="Calibri" w:eastAsia="PingFang SC"/>
          <w:b/>
          <w:color w:val="175244"/>
          <w:sz w:val="22"/>
          <w:szCs w:val="22"/>
        </w:rPr>
        <w:t xml:space="preserve">Reading the visualisation</w:t>
      </w:r>
    </w:p>
    <w:p>
      <w:pPr>
        <w:spacing w:before="0" w:after="160" w:line="312" w:lineRule="auto"/>
      </w:pPr>
      <w:r>
        <w:rPr>
          <w:rFonts w:ascii="Calibri" w:hAnsi="Calibri" w:cs="Calibri" w:eastAsia="PingFang SC"/>
          <w:color w:val="3D3A33"/>
          <w:sz w:val="22"/>
          <w:szCs w:val="22"/>
        </w:rPr>
        <w:t xml:space="preserve">The activity leader or </w:t>
      </w:r>
      <w:r>
        <w:rPr>
          <w:rFonts w:ascii="Calibri" w:hAnsi="Calibri" w:cs="Calibri" w:eastAsia="PingFang SC"/>
          <w:b/>
          <w:color w:val="3D3A33"/>
          <w:sz w:val="22"/>
          <w:szCs w:val="22"/>
        </w:rPr>
        <w:t xml:space="preserve">project manager (PM)</w:t>
      </w:r>
      <w:r>
        <w:rPr>
          <w:rFonts w:ascii="Calibri" w:hAnsi="Calibri" w:cs="Calibri" w:eastAsia="PingFang SC"/>
          <w:color w:val="3D3A33"/>
          <w:sz w:val="22"/>
          <w:szCs w:val="22"/>
        </w:rPr>
        <w:t xml:space="preserve"> is the reference point at the centre. Directions describe relationships relative to that leader.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Concentric rings</w:t>
      </w:r>
      <w:r>
        <w:rPr>
          <w:rFonts w:ascii="Calibri" w:hAnsi="Calibri" w:cs="Calibri" w:eastAsia="PingFang SC"/>
          <w:color w:val="3D3A33"/>
          <w:sz w:val="22"/>
          <w:szCs w:val="22"/>
        </w:rPr>
        <w:t xml:space="preserve"> provide a reference for proximity to the work; stakeholders closer to the activity appear nearer its centre.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Each stakeholder occupies a </w:t>
      </w:r>
      <w:r>
        <w:rPr>
          <w:rFonts w:ascii="Calibri" w:hAnsi="Calibri" w:cs="Calibri" w:eastAsia="PingFang SC"/>
          <w:b/>
          <w:color w:val="3D3A33"/>
          <w:sz w:val="22"/>
          <w:szCs w:val="22"/>
        </w:rPr>
        <w:t xml:space="preserve">segment</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Radial depth represents power.</w:t>
      </w:r>
      <w:r>
        <w:rPr>
          <w:rFonts w:ascii="Calibri" w:hAnsi="Calibri" w:cs="Calibri" w:eastAsia="PingFang SC"/>
          <w:color w:val="3D3A33"/>
          <w:sz w:val="22"/>
          <w:szCs w:val="22"/>
        </w:rPr>
        <w:t xml:space="preserve"> A segment reaching the outside indicates power level 4, including the ability to stop the project. Power level 2 indicates a significant informal capacity to cause change.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Relative size along the outer circumference represents influence or importance.</w:t>
      </w:r>
      <w:r>
        <w:rPr>
          <w:rFonts w:ascii="Calibri" w:hAnsi="Calibri" w:cs="Calibri" w:eastAsia="PingFang SC"/>
          <w:color w:val="3D3A33"/>
          <w:sz w:val="22"/>
          <w:szCs w:val="22"/>
        </w:rPr>
        <w:t xml:space="preserve"> Larger segments represent greater influence.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most important stakeholder is placed first, beginning at the 12 o'clock position, followed by the next most important. A fifteen-stakeholder arrangement illustrates this ordering rather than defining a universal limit.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ring convention uses four concentric circles around the activity reference. The central activity area should not be used to infer a different stakeholder rating scale.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200"/>
        <w:gridCol w:w="1594"/>
        <w:gridCol w:w="6566"/>
      </w:tblGrid>
      <w:tr>
        <w:trPr>
          <w:tblHeader/>
        </w:trPr>
        <w:tc>
          <w:tcPr>
            <w:tcW w:w="1200" w:type="dxa"/>
            <w:shd w:val="clear" w:color="auto" w:fill="EAE7DD"/>
          </w:tcPr>
          <w:p>
            <w:pPr>
              <w:spacing w:before="0" w:after="0" w:line="312" w:lineRule="auto"/>
            </w:pPr>
            <w:r>
              <w:rPr>
                <w:rFonts w:ascii="Calibri" w:hAnsi="Calibri" w:cs="Calibri" w:eastAsia="PingFang SC"/>
                <w:b/>
                <w:color w:val="3D3A33"/>
                <w:sz w:val="22"/>
                <w:szCs w:val="22"/>
              </w:rPr>
              <w:t xml:space="preserve">Colour</w:t>
            </w:r>
          </w:p>
        </w:tc>
        <w:tc>
          <w:tcPr>
            <w:tcW w:w="1594" w:type="dxa"/>
            <w:shd w:val="clear" w:color="auto" w:fill="EAE7DD"/>
          </w:tcPr>
          <w:p>
            <w:pPr>
              <w:spacing w:before="0" w:after="0" w:line="312" w:lineRule="auto"/>
            </w:pPr>
            <w:r>
              <w:rPr>
                <w:rFonts w:ascii="Calibri" w:hAnsi="Calibri" w:cs="Calibri" w:eastAsia="PingFang SC"/>
                <w:b/>
                <w:color w:val="3D3A33"/>
                <w:sz w:val="22"/>
                <w:szCs w:val="22"/>
              </w:rPr>
              <w:t xml:space="preserve">Direction</w:t>
            </w:r>
          </w:p>
        </w:tc>
        <w:tc>
          <w:tcPr>
            <w:tcW w:w="6566" w:type="dxa"/>
            <w:shd w:val="clear" w:color="auto" w:fill="EAE7DD"/>
          </w:tcPr>
          <w:p>
            <w:pPr>
              <w:spacing w:before="0" w:after="0" w:line="312" w:lineRule="auto"/>
            </w:pPr>
            <w:r>
              <w:rPr>
                <w:rFonts w:ascii="Calibri" w:hAnsi="Calibri" w:cs="Calibri" w:eastAsia="PingFang SC"/>
                <w:b/>
                <w:color w:val="3D3A33"/>
                <w:sz w:val="22"/>
                <w:szCs w:val="22"/>
              </w:rPr>
              <w:t xml:space="preserve">Relationship to the activity leader</w:t>
            </w:r>
          </w:p>
        </w:tc>
      </w:tr>
      <w:tr>
        <w:tc>
          <w:tcPr>
            <w:tcW w:w="1200" w:type="dxa"/>
          </w:tcPr>
          <w:p>
            <w:pPr>
              <w:spacing w:before="0" w:after="0" w:line="312" w:lineRule="auto"/>
            </w:pPr>
            <w:r>
              <w:rPr>
                <w:rFonts w:ascii="Calibri" w:hAnsi="Calibri" w:cs="Calibri" w:eastAsia="PingFang SC"/>
                <w:color w:val="3D3A33"/>
                <w:sz w:val="22"/>
                <w:szCs w:val="22"/>
              </w:rPr>
              <w:t xml:space="preserve">Orange</w:t>
            </w:r>
          </w:p>
        </w:tc>
        <w:tc>
          <w:tcPr>
            <w:tcW w:w="1594" w:type="dxa"/>
          </w:tcPr>
          <w:p>
            <w:pPr>
              <w:spacing w:before="0" w:after="0" w:line="312" w:lineRule="auto"/>
            </w:pPr>
            <w:r>
              <w:rPr>
                <w:rFonts w:ascii="Calibri" w:hAnsi="Calibri" w:cs="Calibri" w:eastAsia="PingFang SC"/>
                <w:color w:val="3D3A33"/>
                <w:sz w:val="22"/>
                <w:szCs w:val="22"/>
              </w:rPr>
              <w:t xml:space="preserve">Upwards</w:t>
            </w:r>
          </w:p>
        </w:tc>
        <w:tc>
          <w:tcPr>
            <w:tcW w:w="6566" w:type="dxa"/>
          </w:tcPr>
          <w:p>
            <w:pPr>
              <w:spacing w:before="0" w:after="0" w:line="312" w:lineRule="auto"/>
            </w:pPr>
            <w:r>
              <w:rPr>
                <w:rFonts w:ascii="Calibri" w:hAnsi="Calibri" w:cs="Calibri" w:eastAsia="PingFang SC"/>
                <w:color w:val="3D3A33"/>
                <w:sz w:val="22"/>
                <w:szCs w:val="22"/>
              </w:rPr>
              <w:t xml:space="preserve">Senior managers whose continuing organisational commitment is needed</w:t>
            </w:r>
          </w:p>
        </w:tc>
      </w:tr>
      <w:tr>
        <w:tc>
          <w:tcPr>
            <w:tcW w:w="1200" w:type="dxa"/>
          </w:tcPr>
          <w:p>
            <w:pPr>
              <w:spacing w:before="0" w:after="0" w:line="312" w:lineRule="auto"/>
            </w:pPr>
            <w:r>
              <w:rPr>
                <w:rFonts w:ascii="Calibri" w:hAnsi="Calibri" w:cs="Calibri" w:eastAsia="PingFang SC"/>
                <w:color w:val="3D3A33"/>
                <w:sz w:val="22"/>
                <w:szCs w:val="22"/>
              </w:rPr>
              <w:t xml:space="preserve">Green</w:t>
            </w:r>
          </w:p>
        </w:tc>
        <w:tc>
          <w:tcPr>
            <w:tcW w:w="1594" w:type="dxa"/>
          </w:tcPr>
          <w:p>
            <w:pPr>
              <w:spacing w:before="0" w:after="0" w:line="312" w:lineRule="auto"/>
            </w:pPr>
            <w:r>
              <w:rPr>
                <w:rFonts w:ascii="Calibri" w:hAnsi="Calibri" w:cs="Calibri" w:eastAsia="PingFang SC"/>
                <w:color w:val="3D3A33"/>
                <w:sz w:val="22"/>
                <w:szCs w:val="22"/>
              </w:rPr>
              <w:t xml:space="preserve">Downwards</w:t>
            </w:r>
          </w:p>
        </w:tc>
        <w:tc>
          <w:tcPr>
            <w:tcW w:w="6566" w:type="dxa"/>
          </w:tcPr>
          <w:p>
            <w:pPr>
              <w:spacing w:before="0" w:after="0" w:line="312" w:lineRule="auto"/>
            </w:pPr>
            <w:r>
              <w:rPr>
                <w:rFonts w:ascii="Calibri" w:hAnsi="Calibri" w:cs="Calibri" w:eastAsia="PingFang SC"/>
                <w:color w:val="3D3A33"/>
                <w:sz w:val="22"/>
                <w:szCs w:val="22"/>
              </w:rPr>
              <w:t xml:space="preserve">Team members and providers of services needed by the activity</w:t>
            </w:r>
          </w:p>
        </w:tc>
      </w:tr>
      <w:tr>
        <w:tc>
          <w:tcPr>
            <w:tcW w:w="1200" w:type="dxa"/>
          </w:tcPr>
          <w:p>
            <w:pPr>
              <w:spacing w:before="0" w:after="0" w:line="312" w:lineRule="auto"/>
            </w:pPr>
            <w:r>
              <w:rPr>
                <w:rFonts w:ascii="Calibri" w:hAnsi="Calibri" w:cs="Calibri" w:eastAsia="PingFang SC"/>
                <w:color w:val="3D3A33"/>
                <w:sz w:val="22"/>
                <w:szCs w:val="22"/>
              </w:rPr>
              <w:t xml:space="preserve">Purple</w:t>
            </w:r>
          </w:p>
        </w:tc>
        <w:tc>
          <w:tcPr>
            <w:tcW w:w="1594" w:type="dxa"/>
          </w:tcPr>
          <w:p>
            <w:pPr>
              <w:spacing w:before="0" w:after="0" w:line="312" w:lineRule="auto"/>
            </w:pPr>
            <w:r>
              <w:rPr>
                <w:rFonts w:ascii="Calibri" w:hAnsi="Calibri" w:cs="Calibri" w:eastAsia="PingFang SC"/>
                <w:color w:val="3D3A33"/>
                <w:sz w:val="22"/>
                <w:szCs w:val="22"/>
              </w:rPr>
              <w:t xml:space="preserve">Sideward</w:t>
            </w:r>
          </w:p>
        </w:tc>
        <w:tc>
          <w:tcPr>
            <w:tcW w:w="6566" w:type="dxa"/>
          </w:tcPr>
          <w:p>
            <w:pPr>
              <w:spacing w:before="0" w:after="0" w:line="312" w:lineRule="auto"/>
            </w:pPr>
            <w:r>
              <w:rPr>
                <w:rFonts w:ascii="Calibri" w:hAnsi="Calibri" w:cs="Calibri" w:eastAsia="PingFang SC"/>
                <w:color w:val="3D3A33"/>
                <w:sz w:val="22"/>
                <w:szCs w:val="22"/>
              </w:rPr>
              <w:t xml:space="preserve">Peers who may collaborate or compete</w:t>
            </w:r>
          </w:p>
        </w:tc>
      </w:tr>
      <w:tr>
        <w:tc>
          <w:tcPr>
            <w:tcW w:w="1200" w:type="dxa"/>
          </w:tcPr>
          <w:p>
            <w:pPr>
              <w:spacing w:before="0" w:after="0" w:line="312" w:lineRule="auto"/>
            </w:pPr>
            <w:r>
              <w:rPr>
                <w:rFonts w:ascii="Calibri" w:hAnsi="Calibri" w:cs="Calibri" w:eastAsia="PingFang SC"/>
                <w:color w:val="3D3A33"/>
                <w:sz w:val="22"/>
                <w:szCs w:val="22"/>
              </w:rPr>
              <w:t xml:space="preserve">Blue</w:t>
            </w:r>
          </w:p>
        </w:tc>
        <w:tc>
          <w:tcPr>
            <w:tcW w:w="1594" w:type="dxa"/>
          </w:tcPr>
          <w:p>
            <w:pPr>
              <w:spacing w:before="0" w:after="0" w:line="312" w:lineRule="auto"/>
            </w:pPr>
            <w:r>
              <w:rPr>
                <w:rFonts w:ascii="Calibri" w:hAnsi="Calibri" w:cs="Calibri" w:eastAsia="PingFang SC"/>
                <w:color w:val="3D3A33"/>
                <w:sz w:val="22"/>
                <w:szCs w:val="22"/>
              </w:rPr>
              <w:t xml:space="preserve">Outwards</w:t>
            </w:r>
          </w:p>
        </w:tc>
        <w:tc>
          <w:tcPr>
            <w:tcW w:w="6566" w:type="dxa"/>
          </w:tcPr>
          <w:p>
            <w:pPr>
              <w:spacing w:before="0" w:after="0" w:line="312" w:lineRule="auto"/>
            </w:pPr>
            <w:r>
              <w:rPr>
                <w:rFonts w:ascii="Calibri" w:hAnsi="Calibri" w:cs="Calibri" w:eastAsia="PingFang SC"/>
                <w:color w:val="3D3A33"/>
                <w:sz w:val="22"/>
                <w:szCs w:val="22"/>
              </w:rPr>
              <w:t xml:space="preserve">External parties such as end users, government, the public and shareholders</w:t>
            </w:r>
          </w:p>
        </w:tc>
      </w:tr>
    </w:tbl>
    <w:p>
      <w:pPr>
        <w:spacing w:before="240" w:after="80" w:line="312" w:lineRule="auto"/>
      </w:pPr>
      <w:r>
        <w:rPr>
          <w:rFonts w:ascii="Calibri" w:hAnsi="Calibri" w:cs="Calibri" w:eastAsia="PingFang SC"/>
          <w:b/>
          <w:color w:val="9E3D34"/>
          <w:sz w:val="26"/>
          <w:szCs w:val="26"/>
        </w:rPr>
        <w:t xml:space="preserve">Social network concepts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social network</w:t>
      </w:r>
      <w:r>
        <w:rPr>
          <w:rFonts w:ascii="Calibri" w:hAnsi="Calibri" w:cs="Calibri" w:eastAsia="PingFang SC"/>
          <w:color w:val="3D3A33"/>
          <w:sz w:val="22"/>
          <w:szCs w:val="22"/>
        </w:rPr>
        <w:t xml:space="preserve"> consists of </w:t>
      </w:r>
      <w:r>
        <w:rPr>
          <w:rFonts w:ascii="Calibri" w:hAnsi="Calibri" w:cs="Calibri" w:eastAsia="PingFang SC"/>
          <w:b/>
          <w:color w:val="3D3A33"/>
          <w:sz w:val="22"/>
          <w:szCs w:val="22"/>
        </w:rPr>
        <w:t xml:space="preserve">actors</w:t>
      </w:r>
      <w:r>
        <w:rPr>
          <w:rFonts w:ascii="Calibri" w:hAnsi="Calibri" w:cs="Calibri" w:eastAsia="PingFang SC"/>
          <w:color w:val="3D3A33"/>
          <w:sz w:val="22"/>
          <w:szCs w:val="22"/>
        </w:rPr>
        <w:t xml:space="preserve">, such as people or organisations, and the </w:t>
      </w:r>
      <w:r>
        <w:rPr>
          <w:rFonts w:ascii="Calibri" w:hAnsi="Calibri" w:cs="Calibri" w:eastAsia="PingFang SC"/>
          <w:b/>
          <w:color w:val="3D3A33"/>
          <w:sz w:val="22"/>
          <w:szCs w:val="22"/>
        </w:rPr>
        <w:t xml:space="preserve">relations</w:t>
      </w:r>
      <w:r>
        <w:rPr>
          <w:rFonts w:ascii="Calibri" w:hAnsi="Calibri" w:cs="Calibri" w:eastAsia="PingFang SC"/>
          <w:color w:val="3D3A33"/>
          <w:sz w:val="22"/>
          <w:szCs w:val="22"/>
        </w:rPr>
        <w:t xml:space="preserve"> connecting them. A network exists through relationships, whether or not people use social media.</w:t>
      </w:r>
    </w:p>
    <w:p>
      <w:pPr>
        <w:spacing w:before="0" w:after="160" w:line="312" w:lineRule="auto"/>
      </w:pPr>
      <w:r>
        <w:rPr>
          <w:rFonts w:ascii="Calibri" w:hAnsi="Calibri" w:cs="Calibri" w:eastAsia="PingFang SC"/>
          <w:b/>
          <w:color w:val="3D3A33"/>
          <w:sz w:val="22"/>
          <w:szCs w:val="22"/>
        </w:rPr>
        <w:t xml:space="preserve">Social network analysis (SNA)</w:t>
      </w:r>
      <w:r>
        <w:rPr>
          <w:rFonts w:ascii="Calibri" w:hAnsi="Calibri" w:cs="Calibri" w:eastAsia="PingFang SC"/>
          <w:color w:val="3D3A33"/>
          <w:sz w:val="22"/>
          <w:szCs w:val="22"/>
        </w:rPr>
        <w:t xml:space="preserve"> systematically examines patterns of relations within and across levels such as individuals and groups. Its historical traditions include work associated with Harvard researchers and Manchester anthropologists from the 1930s onwards.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relation</w:t>
      </w:r>
      <w:r>
        <w:rPr>
          <w:rFonts w:ascii="Calibri" w:hAnsi="Calibri" w:cs="Calibri" w:eastAsia="PingFang SC"/>
          <w:color w:val="3D3A33"/>
          <w:sz w:val="22"/>
          <w:szCs w:val="22"/>
        </w:rPr>
        <w:t xml:space="preserve"> is a type of connection, such as friendship, working together or kinship.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tie</w:t>
      </w:r>
      <w:r>
        <w:rPr>
          <w:rFonts w:ascii="Calibri" w:hAnsi="Calibri" w:cs="Calibri" w:eastAsia="PingFang SC"/>
          <w:color w:val="3D3A33"/>
          <w:sz w:val="22"/>
          <w:szCs w:val="22"/>
        </w:rPr>
        <w:t xml:space="preserve"> is a connection between actors, for example through exchanging information or resources.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multiplex tie</w:t>
      </w:r>
      <w:r>
        <w:rPr>
          <w:rFonts w:ascii="Calibri" w:hAnsi="Calibri" w:cs="Calibri" w:eastAsia="PingFang SC"/>
          <w:color w:val="3D3A33"/>
          <w:sz w:val="22"/>
          <w:szCs w:val="22"/>
        </w:rPr>
        <w:t xml:space="preserve"> combines more than one relation, such as colleagues who are also friends.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Tie </w:t>
      </w:r>
      <w:r>
        <w:rPr>
          <w:rFonts w:ascii="Calibri" w:hAnsi="Calibri" w:cs="Calibri" w:eastAsia="PingFang SC"/>
          <w:b/>
          <w:color w:val="3D3A33"/>
          <w:sz w:val="22"/>
          <w:szCs w:val="22"/>
        </w:rPr>
        <w:t xml:space="preserve">content</w:t>
      </w:r>
      <w:r>
        <w:rPr>
          <w:rFonts w:ascii="Calibri" w:hAnsi="Calibri" w:cs="Calibri" w:eastAsia="PingFang SC"/>
          <w:color w:val="3D3A33"/>
          <w:sz w:val="22"/>
          <w:szCs w:val="22"/>
        </w:rPr>
        <w:t xml:space="preserve"> describes what flows or what the connection concerns.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Tie </w:t>
      </w:r>
      <w:r>
        <w:rPr>
          <w:rFonts w:ascii="Calibri" w:hAnsi="Calibri" w:cs="Calibri" w:eastAsia="PingFang SC"/>
          <w:b/>
          <w:color w:val="3D3A33"/>
          <w:sz w:val="22"/>
          <w:szCs w:val="22"/>
        </w:rPr>
        <w:t xml:space="preserve">direction</w:t>
      </w:r>
      <w:r>
        <w:rPr>
          <w:rFonts w:ascii="Calibri" w:hAnsi="Calibri" w:cs="Calibri" w:eastAsia="PingFang SC"/>
          <w:color w:val="3D3A33"/>
          <w:sz w:val="22"/>
          <w:szCs w:val="22"/>
        </w:rPr>
        <w:t xml:space="preserve"> distinguishes who sends, receives or initiates the relation.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Tie </w:t>
      </w:r>
      <w:r>
        <w:rPr>
          <w:rFonts w:ascii="Calibri" w:hAnsi="Calibri" w:cs="Calibri" w:eastAsia="PingFang SC"/>
          <w:b/>
          <w:color w:val="3D3A33"/>
          <w:sz w:val="22"/>
          <w:szCs w:val="22"/>
        </w:rPr>
        <w:t xml:space="preserve">strength</w:t>
      </w:r>
      <w:r>
        <w:rPr>
          <w:rFonts w:ascii="Calibri" w:hAnsi="Calibri" w:cs="Calibri" w:eastAsia="PingFang SC"/>
          <w:color w:val="3D3A33"/>
          <w:sz w:val="22"/>
          <w:szCs w:val="22"/>
        </w:rPr>
        <w:t xml:space="preserve"> describes its intensity or frequency under a defined measure.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sociogram</w:t>
      </w:r>
      <w:r>
        <w:rPr>
          <w:rFonts w:ascii="Calibri" w:hAnsi="Calibri" w:cs="Calibri" w:eastAsia="PingFang SC"/>
          <w:color w:val="3D3A33"/>
          <w:sz w:val="22"/>
          <w:szCs w:val="22"/>
        </w:rPr>
        <w:t xml:space="preserve"> is a diagram representing actors as nodes and ties as lines or arrows.</w:t>
      </w:r>
    </w:p>
    <w:p>
      <w:pPr>
        <w:spacing w:before="0" w:after="160" w:line="312" w:lineRule="auto"/>
      </w:pPr>
      <w:r>
        <w:rPr>
          <w:rFonts w:ascii="Calibri" w:hAnsi="Calibri" w:cs="Calibri" w:eastAsia="PingFang SC"/>
          <w:color w:val="3D3A33"/>
          <w:sz w:val="22"/>
          <w:szCs w:val="22"/>
        </w:rPr>
        <w:t xml:space="preserve">A useful structural vocabulary, associated with Dave Gray's account of network anatomy, includes: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76"/>
        <w:gridCol w:w="6984"/>
      </w:tblGrid>
      <w:tr>
        <w:trPr>
          <w:tblHeader/>
        </w:trPr>
        <w:tc>
          <w:tcPr>
            <w:tcW w:w="2376" w:type="dxa"/>
            <w:shd w:val="clear" w:color="auto" w:fill="EAE7DD"/>
          </w:tcPr>
          <w:p>
            <w:pPr>
              <w:spacing w:before="0" w:after="0" w:line="312" w:lineRule="auto"/>
            </w:pPr>
            <w:r>
              <w:rPr>
                <w:rFonts w:ascii="Calibri" w:hAnsi="Calibri" w:cs="Calibri" w:eastAsia="PingFang SC"/>
                <w:b/>
                <w:color w:val="3D3A33"/>
                <w:sz w:val="22"/>
                <w:szCs w:val="22"/>
              </w:rPr>
              <w:t xml:space="preserve">Concept</w:t>
            </w:r>
          </w:p>
        </w:tc>
        <w:tc>
          <w:tcPr>
            <w:tcW w:w="6984"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r>
      <w:tr>
        <w:tc>
          <w:tcPr>
            <w:tcW w:w="2376" w:type="dxa"/>
          </w:tcPr>
          <w:p>
            <w:pPr>
              <w:spacing w:before="0" w:after="0" w:line="312" w:lineRule="auto"/>
            </w:pPr>
            <w:r>
              <w:rPr>
                <w:rFonts w:ascii="Calibri" w:hAnsi="Calibri" w:cs="Calibri" w:eastAsia="PingFang SC"/>
                <w:color w:val="3D3A33"/>
                <w:sz w:val="22"/>
                <w:szCs w:val="22"/>
              </w:rPr>
              <w:t xml:space="preserve">Degree</w:t>
            </w:r>
          </w:p>
        </w:tc>
        <w:tc>
          <w:tcPr>
            <w:tcW w:w="6984" w:type="dxa"/>
          </w:tcPr>
          <w:p>
            <w:pPr>
              <w:spacing w:before="0" w:after="0" w:line="312" w:lineRule="auto"/>
            </w:pPr>
            <w:r>
              <w:rPr>
                <w:rFonts w:ascii="Calibri" w:hAnsi="Calibri" w:cs="Calibri" w:eastAsia="PingFang SC"/>
                <w:color w:val="3D3A33"/>
                <w:sz w:val="22"/>
                <w:szCs w:val="22"/>
              </w:rPr>
              <w:t xml:space="preserve">Number of direct connections</w:t>
            </w:r>
          </w:p>
        </w:tc>
      </w:tr>
      <w:tr>
        <w:tc>
          <w:tcPr>
            <w:tcW w:w="2376" w:type="dxa"/>
          </w:tcPr>
          <w:p>
            <w:pPr>
              <w:spacing w:before="0" w:after="0" w:line="312" w:lineRule="auto"/>
            </w:pPr>
            <w:r>
              <w:rPr>
                <w:rFonts w:ascii="Calibri" w:hAnsi="Calibri" w:cs="Calibri" w:eastAsia="PingFang SC"/>
                <w:color w:val="3D3A33"/>
                <w:sz w:val="22"/>
                <w:szCs w:val="22"/>
              </w:rPr>
              <w:t xml:space="preserve">Closeness</w:t>
            </w:r>
          </w:p>
        </w:tc>
        <w:tc>
          <w:tcPr>
            <w:tcW w:w="6984" w:type="dxa"/>
          </w:tcPr>
          <w:p>
            <w:pPr>
              <w:spacing w:before="0" w:after="0" w:line="312" w:lineRule="auto"/>
            </w:pPr>
            <w:r>
              <w:rPr>
                <w:rFonts w:ascii="Calibri" w:hAnsi="Calibri" w:cs="Calibri" w:eastAsia="PingFang SC"/>
                <w:color w:val="3D3A33"/>
                <w:sz w:val="22"/>
                <w:szCs w:val="22"/>
              </w:rPr>
              <w:t xml:space="preserve">Short-path access to others in the network</w:t>
            </w:r>
          </w:p>
        </w:tc>
      </w:tr>
      <w:tr>
        <w:tc>
          <w:tcPr>
            <w:tcW w:w="2376" w:type="dxa"/>
          </w:tcPr>
          <w:p>
            <w:pPr>
              <w:spacing w:before="0" w:after="0" w:line="312" w:lineRule="auto"/>
            </w:pPr>
            <w:r>
              <w:rPr>
                <w:rFonts w:ascii="Calibri" w:hAnsi="Calibri" w:cs="Calibri" w:eastAsia="PingFang SC"/>
                <w:color w:val="3D3A33"/>
                <w:sz w:val="22"/>
                <w:szCs w:val="22"/>
              </w:rPr>
              <w:t xml:space="preserve">Betweenness</w:t>
            </w:r>
          </w:p>
        </w:tc>
        <w:tc>
          <w:tcPr>
            <w:tcW w:w="6984" w:type="dxa"/>
          </w:tcPr>
          <w:p>
            <w:pPr>
              <w:spacing w:before="0" w:after="0" w:line="312" w:lineRule="auto"/>
            </w:pPr>
            <w:r>
              <w:rPr>
                <w:rFonts w:ascii="Calibri" w:hAnsi="Calibri" w:cs="Calibri" w:eastAsia="PingFang SC"/>
                <w:color w:val="3D3A33"/>
                <w:sz w:val="22"/>
                <w:szCs w:val="22"/>
              </w:rPr>
              <w:t xml:space="preserve">Position on paths connecting other actors</w:t>
            </w:r>
          </w:p>
        </w:tc>
      </w:tr>
      <w:tr>
        <w:tc>
          <w:tcPr>
            <w:tcW w:w="2376" w:type="dxa"/>
          </w:tcPr>
          <w:p>
            <w:pPr>
              <w:spacing w:before="0" w:after="0" w:line="312" w:lineRule="auto"/>
            </w:pPr>
            <w:r>
              <w:rPr>
                <w:rFonts w:ascii="Calibri" w:hAnsi="Calibri" w:cs="Calibri" w:eastAsia="PingFang SC"/>
                <w:color w:val="3D3A33"/>
                <w:sz w:val="22"/>
                <w:szCs w:val="22"/>
              </w:rPr>
              <w:t xml:space="preserve">Closure</w:t>
            </w:r>
          </w:p>
        </w:tc>
        <w:tc>
          <w:tcPr>
            <w:tcW w:w="6984" w:type="dxa"/>
          </w:tcPr>
          <w:p>
            <w:pPr>
              <w:spacing w:before="0" w:after="0" w:line="312" w:lineRule="auto"/>
            </w:pPr>
            <w:r>
              <w:rPr>
                <w:rFonts w:ascii="Calibri" w:hAnsi="Calibri" w:cs="Calibri" w:eastAsia="PingFang SC"/>
                <w:color w:val="3D3A33"/>
                <w:sz w:val="22"/>
                <w:szCs w:val="22"/>
              </w:rPr>
              <w:t xml:space="preserve">Connections within a cluster that can support trust</w:t>
            </w:r>
          </w:p>
        </w:tc>
      </w:tr>
      <w:tr>
        <w:tc>
          <w:tcPr>
            <w:tcW w:w="2376" w:type="dxa"/>
          </w:tcPr>
          <w:p>
            <w:pPr>
              <w:spacing w:before="0" w:after="0" w:line="312" w:lineRule="auto"/>
            </w:pPr>
            <w:r>
              <w:rPr>
                <w:rFonts w:ascii="Calibri" w:hAnsi="Calibri" w:cs="Calibri" w:eastAsia="PingFang SC"/>
                <w:color w:val="3D3A33"/>
                <w:sz w:val="22"/>
                <w:szCs w:val="22"/>
              </w:rPr>
              <w:t xml:space="preserve">Brokerage</w:t>
            </w:r>
          </w:p>
        </w:tc>
        <w:tc>
          <w:tcPr>
            <w:tcW w:w="6984" w:type="dxa"/>
          </w:tcPr>
          <w:p>
            <w:pPr>
              <w:spacing w:before="0" w:after="0" w:line="312" w:lineRule="auto"/>
            </w:pPr>
            <w:r>
              <w:rPr>
                <w:rFonts w:ascii="Calibri" w:hAnsi="Calibri" w:cs="Calibri" w:eastAsia="PingFang SC"/>
                <w:color w:val="3D3A33"/>
                <w:sz w:val="22"/>
                <w:szCs w:val="22"/>
              </w:rPr>
              <w:t xml:space="preserve">Connections that bridge different clusters</w:t>
            </w:r>
          </w:p>
        </w:tc>
      </w:tr>
    </w:tbl>
    <w:p>
      <w:pPr>
        <w:spacing w:before="240" w:after="80" w:line="312" w:lineRule="auto"/>
      </w:pPr>
      <w:r>
        <w:rPr>
          <w:rFonts w:ascii="Calibri" w:hAnsi="Calibri" w:cs="Calibri" w:eastAsia="PingFang SC"/>
          <w:b/>
          <w:color w:val="9E3D34"/>
          <w:sz w:val="26"/>
          <w:szCs w:val="26"/>
        </w:rPr>
        <w:t xml:space="preserve">Collecting network data</w:t>
      </w:r>
    </w:p>
    <w:p>
      <w:pPr>
        <w:spacing w:before="240" w:after="80" w:line="312" w:lineRule="auto"/>
      </w:pPr>
      <w:r>
        <w:rPr>
          <w:rFonts w:ascii="Calibri" w:hAnsi="Calibri" w:cs="Calibri" w:eastAsia="PingFang SC"/>
          <w:b/>
          <w:color w:val="175244"/>
          <w:sz w:val="22"/>
          <w:szCs w:val="22"/>
        </w:rPr>
        <w:t xml:space="preserve">Whole-network or sociocentric approach</w:t>
      </w:r>
    </w:p>
    <w:p>
      <w:pPr>
        <w:spacing w:before="0" w:after="160" w:line="312" w:lineRule="auto"/>
      </w:pPr>
      <w:r>
        <w:rPr>
          <w:rFonts w:ascii="Calibri" w:hAnsi="Calibri" w:cs="Calibri" w:eastAsia="PingFang SC"/>
          <w:color w:val="3D3A33"/>
          <w:sz w:val="22"/>
          <w:szCs w:val="22"/>
        </w:rPr>
        <w:t xml:space="preserve">Define the network boundary in advance and identify its members, usually through a </w:t>
      </w:r>
      <w:r>
        <w:rPr>
          <w:rFonts w:ascii="Calibri" w:hAnsi="Calibri" w:cs="Calibri" w:eastAsia="PingFang SC"/>
          <w:b/>
          <w:color w:val="3D3A33"/>
          <w:sz w:val="22"/>
          <w:szCs w:val="22"/>
        </w:rPr>
        <w:t xml:space="preserve">roster</w:t>
      </w:r>
      <w:r>
        <w:rPr>
          <w:rFonts w:ascii="Calibri" w:hAnsi="Calibri" w:cs="Calibri" w:eastAsia="PingFang SC"/>
          <w:color w:val="3D3A33"/>
          <w:sz w:val="22"/>
          <w:szCs w:val="22"/>
        </w:rPr>
        <w:t xml:space="preserve">, or list of actors. Collect data about relations within that boundary. This supports analysis of structural patterns such as concentration of power or resources.</w:t>
      </w:r>
    </w:p>
    <w:p>
      <w:pPr>
        <w:spacing w:before="0" w:after="160" w:line="312" w:lineRule="auto"/>
      </w:pPr>
      <w:r>
        <w:rPr>
          <w:rFonts w:ascii="Calibri" w:hAnsi="Calibri" w:cs="Calibri" w:eastAsia="PingFang SC"/>
          <w:color w:val="3D3A33"/>
          <w:sz w:val="22"/>
          <w:szCs w:val="22"/>
        </w:rPr>
        <w:t xml:space="preserve">An </w:t>
      </w:r>
      <w:r>
        <w:rPr>
          <w:rFonts w:ascii="Calibri" w:hAnsi="Calibri" w:cs="Calibri" w:eastAsia="PingFang SC"/>
          <w:b/>
          <w:color w:val="3D3A33"/>
          <w:sz w:val="22"/>
          <w:szCs w:val="22"/>
        </w:rPr>
        <w:t xml:space="preserve">adjacency matrix</w:t>
      </w:r>
      <w:r>
        <w:rPr>
          <w:rFonts w:ascii="Calibri" w:hAnsi="Calibri" w:cs="Calibri" w:eastAsia="PingFang SC"/>
          <w:color w:val="3D3A33"/>
          <w:sz w:val="22"/>
          <w:szCs w:val="22"/>
        </w:rPr>
        <w:t xml:space="preserve"> has actors in both rows and columns. Each cell records the tie from the row actor to the column actor. A binary matrix records presence or absence; a weighted matrix records strength according to a specified scale. An empty diagonal commonly means self-ties were not measured.</w:t>
      </w:r>
    </w:p>
    <w:p>
      <w:pPr>
        <w:spacing w:before="240" w:after="80" w:line="312" w:lineRule="auto"/>
      </w:pPr>
      <w:r>
        <w:rPr>
          <w:rFonts w:ascii="Calibri" w:hAnsi="Calibri" w:cs="Calibri" w:eastAsia="PingFang SC"/>
          <w:b/>
          <w:color w:val="175244"/>
          <w:sz w:val="22"/>
          <w:szCs w:val="22"/>
        </w:rPr>
        <w:t xml:space="preserve">Egocentric approach</w:t>
      </w:r>
    </w:p>
    <w:p>
      <w:pPr>
        <w:spacing w:before="0" w:after="160" w:line="312" w:lineRule="auto"/>
      </w:pPr>
      <w:r>
        <w:rPr>
          <w:rFonts w:ascii="Calibri" w:hAnsi="Calibri" w:cs="Calibri" w:eastAsia="PingFang SC"/>
          <w:color w:val="3D3A33"/>
          <w:sz w:val="22"/>
          <w:szCs w:val="22"/>
        </w:rPr>
        <w:t xml:space="preserve">Begin with an </w:t>
      </w:r>
      <w:r>
        <w:rPr>
          <w:rFonts w:ascii="Calibri" w:hAnsi="Calibri" w:cs="Calibri" w:eastAsia="PingFang SC"/>
          <w:b/>
          <w:color w:val="3D3A33"/>
          <w:sz w:val="22"/>
          <w:szCs w:val="22"/>
        </w:rPr>
        <w:t xml:space="preserve">ego</w:t>
      </w:r>
      <w:r>
        <w:rPr>
          <w:rFonts w:ascii="Calibri" w:hAnsi="Calibri" w:cs="Calibri" w:eastAsia="PingFang SC"/>
          <w:color w:val="3D3A33"/>
          <w:sz w:val="22"/>
          <w:szCs w:val="22"/>
        </w:rPr>
        <w:t xml:space="preserve">, the focal actor, and ask them to nominate </w:t>
      </w:r>
      <w:r>
        <w:rPr>
          <w:rFonts w:ascii="Calibri" w:hAnsi="Calibri" w:cs="Calibri" w:eastAsia="PingFang SC"/>
          <w:b/>
          <w:color w:val="3D3A33"/>
          <w:sz w:val="22"/>
          <w:szCs w:val="22"/>
        </w:rPr>
        <w:t xml:space="preserve">alters</w:t>
      </w:r>
      <w:r>
        <w:rPr>
          <w:rFonts w:ascii="Calibri" w:hAnsi="Calibri" w:cs="Calibri" w:eastAsia="PingFang SC"/>
          <w:color w:val="3D3A33"/>
          <w:sz w:val="22"/>
          <w:szCs w:val="22"/>
        </w:rPr>
        <w:t xml:space="preserve">, the people connected to them. This reveals a personal network without necessarily collecting the entire network's relations.</w:t>
      </w:r>
    </w:p>
    <w:p>
      <w:pPr>
        <w:spacing w:before="0" w:after="160" w:line="312" w:lineRule="auto"/>
      </w:pPr>
      <w:r>
        <w:rPr>
          <w:rFonts w:ascii="Calibri" w:hAnsi="Calibri" w:cs="Calibri" w:eastAsia="PingFang SC"/>
          <w:color w:val="3D3A33"/>
          <w:sz w:val="22"/>
          <w:szCs w:val="22"/>
        </w:rPr>
        <w:t xml:space="preserve">Coleman, Katz and colleagues' medical-innovation research used questions about who provided advice and information, who discussed cases during an ordinary week, and which colleagues were also social friends. These questions identify different relations, not interchangeable measurements of a single tie.</w:t>
      </w:r>
    </w:p>
    <w:p>
      <w:pPr>
        <w:spacing w:before="240" w:after="80" w:line="312" w:lineRule="auto"/>
      </w:pPr>
      <w:r>
        <w:rPr>
          <w:rFonts w:ascii="Calibri" w:hAnsi="Calibri" w:cs="Calibri" w:eastAsia="PingFang SC"/>
          <w:b/>
          <w:color w:val="175244"/>
          <w:sz w:val="22"/>
          <w:szCs w:val="22"/>
        </w:rPr>
        <w:t xml:space="preserve">The scale problem</w:t>
      </w:r>
    </w:p>
    <w:p>
      <w:pPr>
        <w:spacing w:before="0" w:after="160" w:line="312" w:lineRule="auto"/>
      </w:pPr>
      <w:r>
        <w:rPr>
          <w:rFonts w:ascii="Calibri" w:hAnsi="Calibri" w:cs="Calibri" w:eastAsia="PingFang SC"/>
          <w:color w:val="3D3A33"/>
          <w:sz w:val="22"/>
          <w:szCs w:val="22"/>
        </w:rPr>
        <w:t xml:space="preserve">The number of possible relationships grows rapidly with the number of actors. For </w:t>
      </w:r>
      <w:r>
        <w:rPr>
          <w:rFonts w:ascii="Calibri" w:hAnsi="Calibri" w:cs="Calibri" w:eastAsia="PingFang SC"/>
          <w:b/>
          <w:color w:val="3D3A33"/>
          <w:sz w:val="22"/>
          <w:szCs w:val="22"/>
        </w:rPr>
        <w:t xml:space="preserve">N</w:t>
      </w:r>
      <w:r>
        <w:rPr>
          <w:rFonts w:ascii="Calibri" w:hAnsi="Calibri" w:cs="Calibri" w:eastAsia="PingFang SC"/>
          <w:color w:val="3D3A33"/>
          <w:sz w:val="22"/>
          <w:szCs w:val="22"/>
        </w:rPr>
        <w:t xml:space="preserve"> actors, excluding self-ties: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Possible undirected ties = </w:t>
      </w:r>
      <w:r>
        <w:rPr>
          <w:rFonts w:ascii="Calibri" w:hAnsi="Calibri" w:cs="Calibri" w:eastAsia="PingFang SC"/>
          <w:b/>
          <w:color w:val="3D3A33"/>
          <w:sz w:val="22"/>
          <w:szCs w:val="22"/>
        </w:rPr>
        <w:t xml:space="preserve">N(N - 1) / 2</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Possible directed ties = </w:t>
      </w:r>
      <w:r>
        <w:rPr>
          <w:rFonts w:ascii="Calibri" w:hAnsi="Calibri" w:cs="Calibri" w:eastAsia="PingFang SC"/>
          <w:b/>
          <w:color w:val="3D3A33"/>
          <w:sz w:val="22"/>
          <w:szCs w:val="22"/>
        </w:rPr>
        <w:t xml:space="preserve">N(N - 1)</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An undirected pair is counted once. A directed pair has two possible directions, so the division by two is removed.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587"/>
        <w:gridCol w:w="4189"/>
        <w:gridCol w:w="3583"/>
      </w:tblGrid>
      <w:tr>
        <w:trPr>
          <w:tblHeader/>
        </w:trPr>
        <w:tc>
          <w:tcPr>
            <w:tcW w:w="1587" w:type="dxa"/>
            <w:shd w:val="clear" w:color="auto" w:fill="EAE7DD"/>
          </w:tcPr>
          <w:p>
            <w:pPr>
              <w:spacing w:before="0" w:after="0" w:line="312" w:lineRule="auto"/>
            </w:pPr>
            <w:r>
              <w:rPr>
                <w:rFonts w:ascii="Calibri" w:hAnsi="Calibri" w:cs="Calibri" w:eastAsia="PingFang SC"/>
                <w:b/>
                <w:color w:val="3D3A33"/>
                <w:sz w:val="22"/>
                <w:szCs w:val="22"/>
              </w:rPr>
              <w:t xml:space="preserve">Actors</w:t>
            </w:r>
          </w:p>
        </w:tc>
        <w:tc>
          <w:tcPr>
            <w:tcW w:w="4189" w:type="dxa"/>
            <w:shd w:val="clear" w:color="auto" w:fill="EAE7DD"/>
          </w:tcPr>
          <w:p>
            <w:pPr>
              <w:spacing w:before="0" w:after="0" w:line="312" w:lineRule="auto"/>
            </w:pPr>
            <w:r>
              <w:rPr>
                <w:rFonts w:ascii="Calibri" w:hAnsi="Calibri" w:cs="Calibri" w:eastAsia="PingFang SC"/>
                <w:b/>
                <w:color w:val="3D3A33"/>
                <w:sz w:val="22"/>
                <w:szCs w:val="22"/>
              </w:rPr>
              <w:t xml:space="preserve">Possible undirected ties</w:t>
            </w:r>
          </w:p>
        </w:tc>
        <w:tc>
          <w:tcPr>
            <w:tcW w:w="3583" w:type="dxa"/>
            <w:shd w:val="clear" w:color="auto" w:fill="EAE7DD"/>
          </w:tcPr>
          <w:p>
            <w:pPr>
              <w:spacing w:before="0" w:after="0" w:line="312" w:lineRule="auto"/>
            </w:pPr>
            <w:r>
              <w:rPr>
                <w:rFonts w:ascii="Calibri" w:hAnsi="Calibri" w:cs="Calibri" w:eastAsia="PingFang SC"/>
                <w:b/>
                <w:color w:val="3D3A33"/>
                <w:sz w:val="22"/>
                <w:szCs w:val="22"/>
              </w:rPr>
              <w:t xml:space="preserve">Possible directed ties</w:t>
            </w:r>
          </w:p>
        </w:tc>
      </w:tr>
      <w:tr>
        <w:tc>
          <w:tcPr>
            <w:tcW w:w="1587" w:type="dxa"/>
          </w:tcPr>
          <w:p>
            <w:pPr>
              <w:spacing w:before="0" w:after="0" w:line="312" w:lineRule="auto"/>
            </w:pPr>
            <w:r>
              <w:rPr>
                <w:rFonts w:ascii="Calibri" w:hAnsi="Calibri" w:cs="Calibri" w:eastAsia="PingFang SC"/>
                <w:color w:val="3D3A33"/>
                <w:sz w:val="22"/>
                <w:szCs w:val="22"/>
              </w:rPr>
              <w:t xml:space="preserve">30</w:t>
            </w:r>
          </w:p>
        </w:tc>
        <w:tc>
          <w:tcPr>
            <w:tcW w:w="4189" w:type="dxa"/>
          </w:tcPr>
          <w:p>
            <w:pPr>
              <w:spacing w:before="0" w:after="0" w:line="312" w:lineRule="auto"/>
            </w:pPr>
            <w:r>
              <w:rPr>
                <w:rFonts w:ascii="Calibri" w:hAnsi="Calibri" w:cs="Calibri" w:eastAsia="PingFang SC"/>
                <w:color w:val="3D3A33"/>
                <w:sz w:val="22"/>
                <w:szCs w:val="22"/>
              </w:rPr>
              <w:t xml:space="preserve">30 x 29 / 2 = 435</w:t>
            </w:r>
          </w:p>
        </w:tc>
        <w:tc>
          <w:tcPr>
            <w:tcW w:w="3583" w:type="dxa"/>
          </w:tcPr>
          <w:p>
            <w:pPr>
              <w:spacing w:before="0" w:after="0" w:line="312" w:lineRule="auto"/>
            </w:pPr>
            <w:r>
              <w:rPr>
                <w:rFonts w:ascii="Calibri" w:hAnsi="Calibri" w:cs="Calibri" w:eastAsia="PingFang SC"/>
                <w:color w:val="3D3A33"/>
                <w:sz w:val="22"/>
                <w:szCs w:val="22"/>
              </w:rPr>
              <w:t xml:space="preserve">30 x 29 = 870</w:t>
            </w:r>
          </w:p>
        </w:tc>
      </w:tr>
      <w:tr>
        <w:tc>
          <w:tcPr>
            <w:tcW w:w="1587" w:type="dxa"/>
          </w:tcPr>
          <w:p>
            <w:pPr>
              <w:spacing w:before="0" w:after="0" w:line="312" w:lineRule="auto"/>
            </w:pPr>
            <w:r>
              <w:rPr>
                <w:rFonts w:ascii="Calibri" w:hAnsi="Calibri" w:cs="Calibri" w:eastAsia="PingFang SC"/>
                <w:color w:val="3D3A33"/>
                <w:sz w:val="22"/>
                <w:szCs w:val="22"/>
              </w:rPr>
              <w:t xml:space="preserve">100</w:t>
            </w:r>
          </w:p>
        </w:tc>
        <w:tc>
          <w:tcPr>
            <w:tcW w:w="4189" w:type="dxa"/>
          </w:tcPr>
          <w:p>
            <w:pPr>
              <w:spacing w:before="0" w:after="0" w:line="312" w:lineRule="auto"/>
            </w:pPr>
            <w:r>
              <w:rPr>
                <w:rFonts w:ascii="Calibri" w:hAnsi="Calibri" w:cs="Calibri" w:eastAsia="PingFang SC"/>
                <w:color w:val="3D3A33"/>
                <w:sz w:val="22"/>
                <w:szCs w:val="22"/>
              </w:rPr>
              <w:t xml:space="preserve">100 x 99 / 2 = 4,950</w:t>
            </w:r>
          </w:p>
        </w:tc>
        <w:tc>
          <w:tcPr>
            <w:tcW w:w="3583" w:type="dxa"/>
          </w:tcPr>
          <w:p>
            <w:pPr>
              <w:spacing w:before="0" w:after="0" w:line="312" w:lineRule="auto"/>
            </w:pPr>
            <w:r>
              <w:rPr>
                <w:rFonts w:ascii="Calibri" w:hAnsi="Calibri" w:cs="Calibri" w:eastAsia="PingFang SC"/>
                <w:color w:val="3D3A33"/>
                <w:sz w:val="22"/>
                <w:szCs w:val="22"/>
              </w:rPr>
              <w:t xml:space="preserve">100 x 99 = 9,900</w:t>
            </w:r>
          </w:p>
        </w:tc>
      </w:tr>
    </w:tbl>
    <w:p>
      <w:pPr>
        <w:spacing w:before="0" w:after="160" w:line="312" w:lineRule="auto"/>
      </w:pPr>
      <w:r>
        <w:rPr>
          <w:rFonts w:ascii="Calibri" w:hAnsi="Calibri" w:cs="Calibri" w:eastAsia="PingFang SC"/>
          <w:color w:val="3D3A33"/>
          <w:sz w:val="22"/>
          <w:szCs w:val="22"/>
        </w:rPr>
        <w:t xml:space="preserve">Long rosters and requests to recall multiple relations can produce fatigue and recall problems. Define the boundary, relation and reference period carefully rather than treating a longer questionnaire as automatically better evidence.</w:t>
      </w:r>
    </w:p>
    <w:p>
      <w:pPr>
        <w:spacing w:before="240" w:after="80" w:line="312" w:lineRule="auto"/>
      </w:pPr>
      <w:r>
        <w:rPr>
          <w:rFonts w:ascii="Calibri" w:hAnsi="Calibri" w:cs="Calibri" w:eastAsia="PingFang SC"/>
          <w:b/>
          <w:color w:val="9E3D34"/>
          <w:sz w:val="26"/>
          <w:szCs w:val="26"/>
        </w:rPr>
        <w:t xml:space="preserve">Standard network measures</w:t>
      </w:r>
    </w:p>
    <w:p>
      <w:pPr>
        <w:spacing w:before="240" w:after="80" w:line="312" w:lineRule="auto"/>
      </w:pPr>
      <w:r>
        <w:rPr>
          <w:rFonts w:ascii="Calibri" w:hAnsi="Calibri" w:cs="Calibri" w:eastAsia="PingFang SC"/>
          <w:b/>
          <w:color w:val="175244"/>
          <w:sz w:val="22"/>
          <w:szCs w:val="22"/>
        </w:rPr>
        <w:t xml:space="preserve">Density</w:t>
      </w:r>
    </w:p>
    <w:p>
      <w:pPr>
        <w:spacing w:before="0" w:after="160" w:line="312" w:lineRule="auto"/>
      </w:pPr>
      <w:r>
        <w:rPr>
          <w:rFonts w:ascii="Calibri" w:hAnsi="Calibri" w:cs="Calibri" w:eastAsia="PingFang SC"/>
          <w:color w:val="3D3A33"/>
          <w:sz w:val="22"/>
          <w:szCs w:val="22"/>
        </w:rPr>
        <w:t xml:space="preserve">For a simple undirected network with no self-ties:</w:t>
      </w:r>
    </w:p>
    <w:p>
      <w:pPr>
        <w:spacing w:before="0" w:after="160" w:line="312" w:lineRule="auto"/>
      </w:pPr>
      <w:r>
        <w:rPr>
          <w:rFonts w:ascii="Calibri" w:hAnsi="Calibri" w:cs="Calibri" w:eastAsia="PingFang SC"/>
          <w:b/>
          <w:color w:val="3D3A33"/>
          <w:sz w:val="22"/>
          <w:szCs w:val="22"/>
        </w:rPr>
        <w:t xml:space="preserve">Density = t / [N(N - 1) / 2]</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t>
      </w:r>
      <w:r>
        <w:rPr>
          <w:rFonts w:ascii="Calibri" w:hAnsi="Calibri" w:cs="Calibri" w:eastAsia="PingFang SC"/>
          <w:color w:val="3D3A33"/>
          <w:sz w:val="22"/>
          <w:szCs w:val="22"/>
        </w:rPr>
        <w:t xml:space="preserve"> is the number of observed 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w:t>
      </w:r>
      <w:r>
        <w:rPr>
          <w:rFonts w:ascii="Calibri" w:hAnsi="Calibri" w:cs="Calibri" w:eastAsia="PingFang SC"/>
          <w:color w:val="3D3A33"/>
          <w:sz w:val="22"/>
          <w:szCs w:val="22"/>
        </w:rPr>
        <w:t xml:space="preserve"> is the number of actors.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denominator is the maximum possible number of distinct pairs.</w:t>
      </w:r>
    </w:p>
    <w:p>
      <w:pPr>
        <w:spacing w:before="0" w:after="160" w:line="312" w:lineRule="auto"/>
      </w:pPr>
      <w:r>
        <w:rPr>
          <w:rFonts w:ascii="Calibri" w:hAnsi="Calibri" w:cs="Calibri" w:eastAsia="PingFang SC"/>
          <w:color w:val="3D3A33"/>
          <w:sz w:val="22"/>
          <w:szCs w:val="22"/>
        </w:rPr>
        <w:t xml:space="preserve">Count observed ties, calculate possible ties, then divide observed by possible. Density ranges from 0 to 1 when N is at least 2. For a directed binary network, use N(N - 1) as the denominator. A sum of arbitrary tie weights is not a binary tie count.</w:t>
      </w:r>
    </w:p>
    <w:p>
      <w:pPr>
        <w:spacing w:before="240" w:after="80" w:line="312" w:lineRule="auto"/>
      </w:pPr>
      <w:r>
        <w:rPr>
          <w:rFonts w:ascii="Calibri" w:hAnsi="Calibri" w:cs="Calibri" w:eastAsia="PingFang SC"/>
          <w:b/>
          <w:color w:val="175244"/>
          <w:sz w:val="22"/>
          <w:szCs w:val="22"/>
        </w:rPr>
        <w:t xml:space="preserve">Degree centrality</w:t>
      </w:r>
    </w:p>
    <w:p>
      <w:pPr>
        <w:spacing w:before="0" w:after="160" w:line="312" w:lineRule="auto"/>
      </w:pPr>
      <w:r>
        <w:rPr>
          <w:rFonts w:ascii="Calibri" w:hAnsi="Calibri" w:cs="Calibri" w:eastAsia="PingFang SC"/>
          <w:b/>
          <w:color w:val="3D3A33"/>
          <w:sz w:val="22"/>
          <w:szCs w:val="22"/>
        </w:rPr>
        <w:t xml:space="preserve">d(i) = sum over j of m(i,j)</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w:t>
      </w:r>
      <w:r>
        <w:rPr>
          <w:rFonts w:ascii="Calibri" w:hAnsi="Calibri" w:cs="Calibri" w:eastAsia="PingFang SC"/>
          <w:color w:val="3D3A33"/>
          <w:sz w:val="22"/>
          <w:szCs w:val="22"/>
        </w:rPr>
        <w:t xml:space="preserve"> is the focal actor and </w:t>
      </w:r>
      <w:r>
        <w:rPr>
          <w:rFonts w:ascii="Calibri" w:hAnsi="Calibri" w:cs="Calibri" w:eastAsia="PingFang SC"/>
          <w:b/>
          <w:color w:val="3D3A33"/>
          <w:sz w:val="22"/>
          <w:szCs w:val="22"/>
        </w:rPr>
        <w:t xml:space="preserve">j</w:t>
      </w:r>
      <w:r>
        <w:rPr>
          <w:rFonts w:ascii="Calibri" w:hAnsi="Calibri" w:cs="Calibri" w:eastAsia="PingFang SC"/>
          <w:color w:val="3D3A33"/>
          <w:sz w:val="22"/>
          <w:szCs w:val="22"/>
        </w:rPr>
        <w:t xml:space="preserve"> ranges over the other actors.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m(i,j)</w:t>
      </w:r>
      <w:r>
        <w:rPr>
          <w:rFonts w:ascii="Calibri" w:hAnsi="Calibri" w:cs="Calibri" w:eastAsia="PingFang SC"/>
          <w:color w:val="3D3A33"/>
          <w:sz w:val="22"/>
          <w:szCs w:val="22"/>
        </w:rPr>
        <w:t xml:space="preserve"> equals 1 when a tie exists and 0 otherwise in a binary matrix.</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w:t>
      </w:r>
      <w:r>
        <w:rPr>
          <w:rFonts w:ascii="Calibri" w:hAnsi="Calibri" w:cs="Calibri" w:eastAsia="PingFang SC"/>
          <w:color w:val="3D3A33"/>
          <w:sz w:val="22"/>
          <w:szCs w:val="22"/>
        </w:rPr>
        <w:t xml:space="preserve"> is the number of direct connections.</w:t>
      </w:r>
    </w:p>
    <w:p>
      <w:pPr>
        <w:spacing w:before="0" w:after="160" w:line="312" w:lineRule="auto"/>
      </w:pPr>
      <w:r>
        <w:rPr>
          <w:rFonts w:ascii="Calibri" w:hAnsi="Calibri" w:cs="Calibri" w:eastAsia="PingFang SC"/>
          <w:color w:val="3D3A33"/>
          <w:sz w:val="22"/>
          <w:szCs w:val="22"/>
        </w:rPr>
        <w:t xml:space="preserve">Select actor i's row and sum its binary entries. In a directed matrix this gives outgoing degree; summing the column gives incoming degree. Summing weights instead measures connection strength rather than a count of distinct neighbours.</w:t>
      </w:r>
    </w:p>
    <w:p>
      <w:pPr>
        <w:spacing w:before="240" w:after="80" w:line="312" w:lineRule="auto"/>
      </w:pPr>
      <w:r>
        <w:rPr>
          <w:rFonts w:ascii="Calibri" w:hAnsi="Calibri" w:cs="Calibri" w:eastAsia="PingFang SC"/>
          <w:b/>
          <w:color w:val="175244"/>
          <w:sz w:val="22"/>
          <w:szCs w:val="22"/>
        </w:rPr>
        <w:t xml:space="preserve">Betweenness centrality</w:t>
      </w:r>
    </w:p>
    <w:p>
      <w:pPr>
        <w:spacing w:before="0" w:after="160" w:line="312" w:lineRule="auto"/>
      </w:pPr>
      <w:r>
        <w:rPr>
          <w:rFonts w:ascii="Calibri" w:hAnsi="Calibri" w:cs="Calibri" w:eastAsia="PingFang SC"/>
          <w:b/>
          <w:color w:val="3D3A33"/>
          <w:sz w:val="22"/>
          <w:szCs w:val="22"/>
        </w:rPr>
        <w:t xml:space="preserve">b(i) = sum over distinct pairs j,k of [g(j,i,k) / g(j,k)]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g(j,k)</w:t>
      </w:r>
      <w:r>
        <w:rPr>
          <w:rFonts w:ascii="Calibri" w:hAnsi="Calibri" w:cs="Calibri" w:eastAsia="PingFang SC"/>
          <w:color w:val="3D3A33"/>
          <w:sz w:val="22"/>
          <w:szCs w:val="22"/>
        </w:rPr>
        <w:t xml:space="preserve"> is the number of shortest paths from j to 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g(j,i,k)</w:t>
      </w:r>
      <w:r>
        <w:rPr>
          <w:rFonts w:ascii="Calibri" w:hAnsi="Calibri" w:cs="Calibri" w:eastAsia="PingFang SC"/>
          <w:color w:val="3D3A33"/>
          <w:sz w:val="22"/>
          <w:szCs w:val="22"/>
        </w:rPr>
        <w:t xml:space="preserve"> is the number of those paths that pass through i.</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Neither endpoint is i.</w:t>
      </w:r>
    </w:p>
    <w:p>
      <w:pPr>
        <w:spacing w:before="0" w:after="160" w:line="312" w:lineRule="auto"/>
      </w:pPr>
      <w:r>
        <w:rPr>
          <w:rFonts w:ascii="Calibri" w:hAnsi="Calibri" w:cs="Calibri" w:eastAsia="PingFang SC"/>
          <w:color w:val="3D3A33"/>
          <w:sz w:val="22"/>
          <w:szCs w:val="22"/>
        </w:rPr>
        <w:t xml:space="preserve">For each pair, find the shortest paths, calculate the proportion passing through i, then sum those proportions. For an undirected network, count each unordered pair once. Pairs with no connecting path contribute nothing. Directed and normalised versions require their own consistent conventions.</w:t>
      </w:r>
    </w:p>
    <w:p>
      <w:pPr>
        <w:spacing w:before="0" w:after="160" w:line="312" w:lineRule="auto"/>
      </w:pPr>
      <w:r>
        <w:rPr>
          <w:rFonts w:ascii="Calibri" w:hAnsi="Calibri" w:cs="Calibri" w:eastAsia="PingFang SC"/>
          <w:color w:val="3D3A33"/>
          <w:sz w:val="22"/>
          <w:szCs w:val="22"/>
        </w:rPr>
        <w:t xml:space="preserve">High betweenness suggests brokerage or gatekeeping potential: an actor lies on routes connecting others. It does not prove that the actor deliberately controls information.</w:t>
      </w:r>
    </w:p>
    <w:p>
      <w:pPr>
        <w:spacing w:before="240" w:after="80" w:line="312" w:lineRule="auto"/>
      </w:pPr>
      <w:r>
        <w:rPr>
          <w:rFonts w:ascii="Calibri" w:hAnsi="Calibri" w:cs="Calibri" w:eastAsia="PingFang SC"/>
          <w:b/>
          <w:color w:val="175244"/>
          <w:sz w:val="22"/>
          <w:szCs w:val="22"/>
        </w:rPr>
        <w:t xml:space="preserve">Degree centralisation</w:t>
      </w:r>
    </w:p>
    <w:p>
      <w:pPr>
        <w:spacing w:before="0" w:after="160" w:line="312" w:lineRule="auto"/>
      </w:pPr>
      <w:r>
        <w:rPr>
          <w:rFonts w:ascii="Calibri" w:hAnsi="Calibri" w:cs="Calibri" w:eastAsia="PingFang SC"/>
          <w:color w:val="3D3A33"/>
          <w:sz w:val="22"/>
          <w:szCs w:val="22"/>
        </w:rPr>
        <w:t xml:space="preserve">For a simple undirected network with g actors, where g is greater than 2:</w:t>
      </w:r>
    </w:p>
    <w:p>
      <w:pPr>
        <w:spacing w:before="0" w:after="160" w:line="312" w:lineRule="auto"/>
      </w:pPr>
      <w:r>
        <w:rPr>
          <w:rFonts w:ascii="Calibri" w:hAnsi="Calibri" w:cs="Calibri" w:eastAsia="PingFang SC"/>
          <w:b/>
          <w:color w:val="3D3A33"/>
          <w:sz w:val="22"/>
          <w:szCs w:val="22"/>
        </w:rPr>
        <w:t xml:space="preserve">r = sum over i of [Dmax - D(i)] / [(g - 1)(g - 2)]</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w:t>
      </w:r>
      <w:r>
        <w:rPr>
          <w:rFonts w:ascii="Calibri" w:hAnsi="Calibri" w:cs="Calibri" w:eastAsia="PingFang SC"/>
          <w:color w:val="3D3A33"/>
          <w:sz w:val="22"/>
          <w:szCs w:val="22"/>
        </w:rPr>
        <w:t xml:space="preserve"> is actor i's degree.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Dmax</w:t>
      </w:r>
      <w:r>
        <w:rPr>
          <w:rFonts w:ascii="Calibri" w:hAnsi="Calibri" w:cs="Calibri" w:eastAsia="PingFang SC"/>
          <w:color w:val="3D3A33"/>
          <w:sz w:val="22"/>
          <w:szCs w:val="22"/>
        </w:rPr>
        <w:t xml:space="preserve"> is the largest degree in the network.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w:t>
      </w:r>
      <w:r>
        <w:rPr>
          <w:rFonts w:ascii="Calibri" w:hAnsi="Calibri" w:cs="Calibri" w:eastAsia="PingFang SC"/>
          <w:color w:val="3D3A33"/>
          <w:sz w:val="22"/>
          <w:szCs w:val="22"/>
        </w:rPr>
        <w:t xml:space="preserve"> is the number of actors.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w:t>
      </w:r>
      <w:r>
        <w:rPr>
          <w:rFonts w:ascii="Calibri" w:hAnsi="Calibri" w:cs="Calibri" w:eastAsia="PingFang SC"/>
          <w:color w:val="3D3A33"/>
          <w:sz w:val="22"/>
          <w:szCs w:val="22"/>
        </w:rPr>
        <w:t xml:space="preserve"> is network degree centralisation.</w:t>
      </w:r>
    </w:p>
    <w:p>
      <w:pPr>
        <w:spacing w:before="0" w:after="160" w:line="312" w:lineRule="auto"/>
      </w:pPr>
      <w:r>
        <w:rPr>
          <w:rFonts w:ascii="Calibri" w:hAnsi="Calibri" w:cs="Calibri" w:eastAsia="PingFang SC"/>
          <w:color w:val="3D3A33"/>
          <w:sz w:val="22"/>
          <w:szCs w:val="22"/>
        </w:rPr>
        <w:t xml:space="preserve">Calculate every actor's degree, identify Dmax, subtract each degree from Dmax, sum the differences and divide by the denominator. The denominator is the maximum possible sum of differences for an undirected star of the same size. Centralisation measures inequality in the distribution of connections, whereas density measures overall connectedness.</w:t>
      </w:r>
    </w:p>
    <w:p>
      <w:pPr>
        <w:spacing w:before="240" w:after="80" w:line="312" w:lineRule="auto"/>
      </w:pPr>
      <w:r>
        <w:rPr>
          <w:rFonts w:ascii="Calibri" w:hAnsi="Calibri" w:cs="Calibri" w:eastAsia="PingFang SC"/>
          <w:b/>
          <w:color w:val="9E3D34"/>
          <w:sz w:val="26"/>
          <w:szCs w:val="26"/>
        </w:rPr>
        <w:t xml:space="preserve">Cases and applications</w:t>
      </w:r>
    </w:p>
    <w:p>
      <w:pPr>
        <w:spacing w:before="240" w:after="80" w:line="312" w:lineRule="auto"/>
      </w:pPr>
      <w:r>
        <w:rPr>
          <w:rFonts w:ascii="Calibri" w:hAnsi="Calibri" w:cs="Calibri" w:eastAsia="PingFang SC"/>
          <w:b/>
          <w:color w:val="175244"/>
          <w:sz w:val="22"/>
          <w:szCs w:val="22"/>
        </w:rPr>
        <w:t xml:space="preserve">Otte and Rousseau's collaboration network</w:t>
      </w:r>
    </w:p>
    <w:p>
      <w:pPr>
        <w:spacing w:before="0" w:after="160" w:line="312" w:lineRule="auto"/>
      </w:pPr>
      <w:r>
        <w:rPr>
          <w:rFonts w:ascii="Calibri" w:hAnsi="Calibri" w:cs="Calibri" w:eastAsia="PingFang SC"/>
          <w:color w:val="3D3A33"/>
          <w:sz w:val="22"/>
          <w:szCs w:val="22"/>
        </w:rPr>
        <w:t xml:space="preserve">A network of network-analysis researchers, including Brewer, Bienenstock, Borgatti and Freeman, shows a dense core alongside connectors bridging clusters. The key insight is that local density and cross-cluster brokerage can coexist: a tightly connected group may still depend on a few people to reach others.</w:t>
      </w:r>
    </w:p>
    <w:p>
      <w:pPr>
        <w:spacing w:before="240" w:after="80" w:line="312" w:lineRule="auto"/>
      </w:pPr>
      <w:r>
        <w:rPr>
          <w:rFonts w:ascii="Calibri" w:hAnsi="Calibri" w:cs="Calibri" w:eastAsia="PingFang SC"/>
          <w:b/>
          <w:color w:val="175244"/>
          <w:sz w:val="22"/>
          <w:szCs w:val="22"/>
        </w:rPr>
        <w:t xml:space="preserve">Cross, Borgatti and Parker: making invisible work visible</w:t>
      </w:r>
    </w:p>
    <w:p>
      <w:pPr>
        <w:spacing w:before="0" w:after="160" w:line="312" w:lineRule="auto"/>
      </w:pPr>
      <w:r>
        <w:rPr>
          <w:rFonts w:ascii="Calibri" w:hAnsi="Calibri" w:cs="Calibri" w:eastAsia="PingFang SC"/>
          <w:color w:val="3D3A33"/>
          <w:sz w:val="22"/>
          <w:szCs w:val="22"/>
        </w:rPr>
        <w:t xml:space="preserve">An information-sharing analysis examined a 20-member expert consulting team: Brown, Smith, Roberts, Ali, Wells, Andrews, Clemence, Bruce, Jones, Alam, Abrams, Wilson, O'Neil, Black, Cohen, Parks, Collins, Walsh, Powell and Kelly.</w:t>
      </w:r>
    </w:p>
    <w:p>
      <w:pPr>
        <w:spacing w:before="0" w:after="160" w:line="312" w:lineRule="auto"/>
      </w:pPr>
      <w:r>
        <w:rPr>
          <w:rFonts w:ascii="Calibri" w:hAnsi="Calibri" w:cs="Calibri" w:eastAsia="PingFang SC"/>
          <w:color w:val="3D3A33"/>
          <w:sz w:val="22"/>
          <w:szCs w:val="22"/>
        </w:rPr>
        <w:t xml:space="preserve">Initially the network was divided into two parts, mainly connected through </w:t>
      </w:r>
      <w:r>
        <w:rPr>
          <w:rFonts w:ascii="Calibri" w:hAnsi="Calibri" w:cs="Calibri" w:eastAsia="PingFang SC"/>
          <w:b/>
          <w:color w:val="3D3A33"/>
          <w:sz w:val="22"/>
          <w:szCs w:val="22"/>
        </w:rPr>
        <w:t xml:space="preserve">Alam</w:t>
      </w:r>
      <w:r>
        <w:rPr>
          <w:rFonts w:ascii="Calibri" w:hAnsi="Calibri" w:cs="Calibri" w:eastAsia="PingFang SC"/>
          <w:color w:val="3D3A33"/>
          <w:sz w:val="22"/>
          <w:szCs w:val="22"/>
        </w:rPr>
        <w:t xml:space="preserve">. Some expertise was underused, while other members became bottlenecks. Internal projects, including white papers and a project-tracking database, were then jointly assigned to one member from each group. This created opportunities to work together and recognise each other's skills. Nine months later, the network was denser and more balanced.</w:t>
      </w:r>
    </w:p>
    <w:p>
      <w:pPr>
        <w:spacing w:before="0" w:after="160" w:line="312" w:lineRule="auto"/>
      </w:pPr>
      <w:r>
        <w:rPr>
          <w:rFonts w:ascii="Calibri" w:hAnsi="Calibri" w:cs="Calibri" w:eastAsia="PingFang SC"/>
          <w:color w:val="3D3A33"/>
          <w:sz w:val="22"/>
          <w:szCs w:val="22"/>
        </w:rPr>
        <w:t xml:space="preserve">The intervention changed working relationships rather than merely instructing people to communicate more.</w:t>
      </w:r>
    </w:p>
    <w:p>
      <w:pPr>
        <w:spacing w:before="240" w:after="80" w:line="312" w:lineRule="auto"/>
      </w:pPr>
      <w:r>
        <w:rPr>
          <w:rFonts w:ascii="Calibri" w:hAnsi="Calibri" w:cs="Calibri" w:eastAsia="PingFang SC"/>
          <w:b/>
          <w:color w:val="175244"/>
          <w:sz w:val="22"/>
          <w:szCs w:val="22"/>
        </w:rPr>
        <w:t xml:space="preserve">Directed advice-seeking matrix</w:t>
      </w:r>
    </w:p>
    <w:p>
      <w:pPr>
        <w:spacing w:before="0" w:after="160" w:line="312" w:lineRule="auto"/>
      </w:pPr>
      <w:r>
        <w:rPr>
          <w:rFonts w:ascii="Calibri" w:hAnsi="Calibri" w:cs="Calibri" w:eastAsia="PingFang SC"/>
          <w:color w:val="3D3A33"/>
          <w:sz w:val="22"/>
          <w:szCs w:val="22"/>
        </w:rPr>
        <w:t xml:space="preserve">A ten-person advice network contains John, Ken, Smith, Jacky, Carl, Winnie, Will, Daren, Fiona and Fetch. Ties use weights from 0 to 3; the precise intermediate scale meanings are not established here.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291"/>
        <w:gridCol w:w="7069"/>
      </w:tblGrid>
      <w:tr>
        <w:trPr>
          <w:tblHeader/>
        </w:trPr>
        <w:tc>
          <w:tcPr>
            <w:tcW w:w="2291" w:type="dxa"/>
            <w:shd w:val="clear" w:color="auto" w:fill="EAE7DD"/>
          </w:tcPr>
          <w:p>
            <w:pPr>
              <w:spacing w:before="0" w:after="0" w:line="312" w:lineRule="auto"/>
            </w:pPr>
            <w:r>
              <w:rPr>
                <w:rFonts w:ascii="Calibri" w:hAnsi="Calibri" w:cs="Calibri" w:eastAsia="PingFang SC"/>
                <w:b/>
                <w:color w:val="3D3A33"/>
                <w:sz w:val="22"/>
                <w:szCs w:val="22"/>
              </w:rPr>
              <w:t xml:space="preserve">Advice seeker</w:t>
            </w:r>
          </w:p>
        </w:tc>
        <w:tc>
          <w:tcPr>
            <w:tcW w:w="7069" w:type="dxa"/>
            <w:shd w:val="clear" w:color="auto" w:fill="EAE7DD"/>
          </w:tcPr>
          <w:p>
            <w:pPr>
              <w:spacing w:before="0" w:after="0" w:line="312" w:lineRule="auto"/>
            </w:pPr>
            <w:r>
              <w:rPr>
                <w:rFonts w:ascii="Calibri" w:hAnsi="Calibri" w:cs="Calibri" w:eastAsia="PingFang SC"/>
                <w:b/>
                <w:color w:val="3D3A33"/>
                <w:sz w:val="22"/>
                <w:szCs w:val="22"/>
              </w:rPr>
              <w:t xml:space="preserve">Available outgoing tie values</w:t>
            </w:r>
          </w:p>
        </w:tc>
      </w:tr>
      <w:tr>
        <w:tc>
          <w:tcPr>
            <w:tcW w:w="2291" w:type="dxa"/>
          </w:tcPr>
          <w:p>
            <w:pPr>
              <w:spacing w:before="0" w:after="0" w:line="312" w:lineRule="auto"/>
            </w:pPr>
            <w:r>
              <w:rPr>
                <w:rFonts w:ascii="Calibri" w:hAnsi="Calibri" w:cs="Calibri" w:eastAsia="PingFang SC"/>
                <w:color w:val="3D3A33"/>
                <w:sz w:val="22"/>
                <w:szCs w:val="22"/>
              </w:rPr>
              <w:t xml:space="preserve">John</w:t>
            </w:r>
          </w:p>
        </w:tc>
        <w:tc>
          <w:tcPr>
            <w:tcW w:w="7069" w:type="dxa"/>
          </w:tcPr>
          <w:p>
            <w:pPr>
              <w:spacing w:before="0" w:after="0" w:line="312" w:lineRule="auto"/>
            </w:pPr>
            <w:r>
              <w:rPr>
                <w:rFonts w:ascii="Calibri" w:hAnsi="Calibri" w:cs="Calibri" w:eastAsia="PingFang SC"/>
                <w:color w:val="3D3A33"/>
                <w:sz w:val="22"/>
                <w:szCs w:val="22"/>
              </w:rPr>
              <w:t xml:space="preserve">Carl 3; Fiona 2; Fetch 3</w:t>
            </w:r>
          </w:p>
        </w:tc>
      </w:tr>
      <w:tr>
        <w:tc>
          <w:tcPr>
            <w:tcW w:w="2291" w:type="dxa"/>
          </w:tcPr>
          <w:p>
            <w:pPr>
              <w:spacing w:before="0" w:after="0" w:line="312" w:lineRule="auto"/>
            </w:pPr>
            <w:r>
              <w:rPr>
                <w:rFonts w:ascii="Calibri" w:hAnsi="Calibri" w:cs="Calibri" w:eastAsia="PingFang SC"/>
                <w:color w:val="3D3A33"/>
                <w:sz w:val="22"/>
                <w:szCs w:val="22"/>
              </w:rPr>
              <w:t xml:space="preserve">Ken</w:t>
            </w:r>
          </w:p>
        </w:tc>
        <w:tc>
          <w:tcPr>
            <w:tcW w:w="7069" w:type="dxa"/>
          </w:tcPr>
          <w:p>
            <w:pPr>
              <w:spacing w:before="0" w:after="0" w:line="312" w:lineRule="auto"/>
            </w:pPr>
            <w:r>
              <w:rPr>
                <w:rFonts w:ascii="Calibri" w:hAnsi="Calibri" w:cs="Calibri" w:eastAsia="PingFang SC"/>
                <w:color w:val="3D3A33"/>
                <w:sz w:val="22"/>
                <w:szCs w:val="22"/>
              </w:rPr>
              <w:t xml:space="preserve">Winnie 1; Will 1</w:t>
            </w:r>
          </w:p>
        </w:tc>
      </w:tr>
      <w:tr>
        <w:tc>
          <w:tcPr>
            <w:tcW w:w="2291" w:type="dxa"/>
          </w:tcPr>
          <w:p>
            <w:pPr>
              <w:spacing w:before="0" w:after="0" w:line="312" w:lineRule="auto"/>
            </w:pPr>
            <w:r>
              <w:rPr>
                <w:rFonts w:ascii="Calibri" w:hAnsi="Calibri" w:cs="Calibri" w:eastAsia="PingFang SC"/>
                <w:color w:val="3D3A33"/>
                <w:sz w:val="22"/>
                <w:szCs w:val="22"/>
              </w:rPr>
              <w:t xml:space="preserve">Smith</w:t>
            </w:r>
          </w:p>
        </w:tc>
        <w:tc>
          <w:tcPr>
            <w:tcW w:w="7069" w:type="dxa"/>
          </w:tcPr>
          <w:p>
            <w:pPr>
              <w:spacing w:before="0" w:after="0" w:line="312" w:lineRule="auto"/>
            </w:pPr>
            <w:r>
              <w:rPr>
                <w:rFonts w:ascii="Calibri" w:hAnsi="Calibri" w:cs="Calibri" w:eastAsia="PingFang SC"/>
                <w:color w:val="3D3A33"/>
                <w:sz w:val="22"/>
                <w:szCs w:val="22"/>
              </w:rPr>
              <w:t xml:space="preserve">John 1; Winnie 2; Daren 1</w:t>
            </w:r>
          </w:p>
        </w:tc>
      </w:tr>
      <w:tr>
        <w:tc>
          <w:tcPr>
            <w:tcW w:w="2291" w:type="dxa"/>
          </w:tcPr>
          <w:p>
            <w:pPr>
              <w:spacing w:before="0" w:after="0" w:line="312" w:lineRule="auto"/>
            </w:pPr>
            <w:r>
              <w:rPr>
                <w:rFonts w:ascii="Calibri" w:hAnsi="Calibri" w:cs="Calibri" w:eastAsia="PingFang SC"/>
                <w:color w:val="3D3A33"/>
                <w:sz w:val="22"/>
                <w:szCs w:val="22"/>
              </w:rPr>
              <w:t xml:space="preserve">Jacky</w:t>
            </w:r>
          </w:p>
        </w:tc>
        <w:tc>
          <w:tcPr>
            <w:tcW w:w="7069" w:type="dxa"/>
          </w:tcPr>
          <w:p>
            <w:pPr>
              <w:spacing w:before="0" w:after="0" w:line="312" w:lineRule="auto"/>
            </w:pPr>
            <w:r>
              <w:rPr>
                <w:rFonts w:ascii="Calibri" w:hAnsi="Calibri" w:cs="Calibri" w:eastAsia="PingFang SC"/>
                <w:color w:val="3D3A33"/>
                <w:sz w:val="22"/>
                <w:szCs w:val="22"/>
              </w:rPr>
              <w:t xml:space="preserve">Carl 3; Daren 3</w:t>
            </w:r>
          </w:p>
        </w:tc>
      </w:tr>
      <w:tr>
        <w:tc>
          <w:tcPr>
            <w:tcW w:w="2291" w:type="dxa"/>
          </w:tcPr>
          <w:p>
            <w:pPr>
              <w:spacing w:before="0" w:after="0" w:line="312" w:lineRule="auto"/>
            </w:pPr>
            <w:r>
              <w:rPr>
                <w:rFonts w:ascii="Calibri" w:hAnsi="Calibri" w:cs="Calibri" w:eastAsia="PingFang SC"/>
                <w:color w:val="3D3A33"/>
                <w:sz w:val="22"/>
                <w:szCs w:val="22"/>
              </w:rPr>
              <w:t xml:space="preserve">Winnie</w:t>
            </w:r>
          </w:p>
        </w:tc>
        <w:tc>
          <w:tcPr>
            <w:tcW w:w="7069" w:type="dxa"/>
          </w:tcPr>
          <w:p>
            <w:pPr>
              <w:spacing w:before="0" w:after="0" w:line="312" w:lineRule="auto"/>
            </w:pPr>
            <w:r>
              <w:rPr>
                <w:rFonts w:ascii="Calibri" w:hAnsi="Calibri" w:cs="Calibri" w:eastAsia="PingFang SC"/>
                <w:color w:val="3D3A33"/>
                <w:sz w:val="22"/>
                <w:szCs w:val="22"/>
              </w:rPr>
              <w:t xml:space="preserve">Jacky 3; Carl 3</w:t>
            </w:r>
          </w:p>
        </w:tc>
      </w:tr>
      <w:tr>
        <w:tc>
          <w:tcPr>
            <w:tcW w:w="2291" w:type="dxa"/>
          </w:tcPr>
          <w:p>
            <w:pPr>
              <w:spacing w:before="0" w:after="0" w:line="312" w:lineRule="auto"/>
            </w:pPr>
            <w:r>
              <w:rPr>
                <w:rFonts w:ascii="Calibri" w:hAnsi="Calibri" w:cs="Calibri" w:eastAsia="PingFang SC"/>
                <w:color w:val="3D3A33"/>
                <w:sz w:val="22"/>
                <w:szCs w:val="22"/>
              </w:rPr>
              <w:t xml:space="preserve">Will</w:t>
            </w:r>
          </w:p>
        </w:tc>
        <w:tc>
          <w:tcPr>
            <w:tcW w:w="7069" w:type="dxa"/>
          </w:tcPr>
          <w:p>
            <w:pPr>
              <w:spacing w:before="0" w:after="0" w:line="312" w:lineRule="auto"/>
            </w:pPr>
            <w:r>
              <w:rPr>
                <w:rFonts w:ascii="Calibri" w:hAnsi="Calibri" w:cs="Calibri" w:eastAsia="PingFang SC"/>
                <w:color w:val="3D3A33"/>
                <w:sz w:val="22"/>
                <w:szCs w:val="22"/>
              </w:rPr>
              <w:t xml:space="preserve">Ken 3; Smith 2; Carl 3; Fiona 2</w:t>
            </w:r>
          </w:p>
        </w:tc>
      </w:tr>
      <w:tr>
        <w:tc>
          <w:tcPr>
            <w:tcW w:w="2291" w:type="dxa"/>
          </w:tcPr>
          <w:p>
            <w:pPr>
              <w:spacing w:before="0" w:after="0" w:line="312" w:lineRule="auto"/>
            </w:pPr>
            <w:r>
              <w:rPr>
                <w:rFonts w:ascii="Calibri" w:hAnsi="Calibri" w:cs="Calibri" w:eastAsia="PingFang SC"/>
                <w:color w:val="3D3A33"/>
                <w:sz w:val="22"/>
                <w:szCs w:val="22"/>
              </w:rPr>
              <w:t xml:space="preserve">Fiona</w:t>
            </w:r>
          </w:p>
        </w:tc>
        <w:tc>
          <w:tcPr>
            <w:tcW w:w="7069" w:type="dxa"/>
          </w:tcPr>
          <w:p>
            <w:pPr>
              <w:spacing w:before="0" w:after="0" w:line="312" w:lineRule="auto"/>
            </w:pPr>
            <w:r>
              <w:rPr>
                <w:rFonts w:ascii="Calibri" w:hAnsi="Calibri" w:cs="Calibri" w:eastAsia="PingFang SC"/>
                <w:color w:val="3D3A33"/>
                <w:sz w:val="22"/>
                <w:szCs w:val="22"/>
              </w:rPr>
              <w:t xml:space="preserve">Smith 1; Carl 3</w:t>
            </w:r>
          </w:p>
        </w:tc>
      </w:tr>
    </w:tbl>
    <w:p>
      <w:pPr>
        <w:spacing w:before="0" w:after="160" w:line="312" w:lineRule="auto"/>
      </w:pPr>
      <w:r>
        <w:rPr>
          <w:rFonts w:ascii="Calibri" w:hAnsi="Calibri" w:cs="Calibri" w:eastAsia="PingFang SC"/>
          <w:color w:val="3D3A33"/>
          <w:sz w:val="22"/>
          <w:szCs w:val="22"/>
        </w:rPr>
        <w:t xml:space="preserve">The matrix is asymmetric: </w:t>
      </w:r>
      <w:r>
        <w:rPr>
          <w:rFonts w:ascii="Calibri" w:hAnsi="Calibri" w:cs="Calibri" w:eastAsia="PingFang SC"/>
          <w:b/>
          <w:color w:val="3D3A33"/>
          <w:sz w:val="22"/>
          <w:szCs w:val="22"/>
        </w:rPr>
        <w:t xml:space="preserve">Jacky -&gt; Carl = 3</w:t>
      </w:r>
      <w:r>
        <w:rPr>
          <w:rFonts w:ascii="Calibri" w:hAnsi="Calibri" w:cs="Calibri" w:eastAsia="PingFang SC"/>
          <w:color w:val="3D3A33"/>
          <w:sz w:val="22"/>
          <w:szCs w:val="22"/>
        </w:rPr>
        <w:t xml:space="preserve">, while </w:t>
      </w:r>
      <w:r>
        <w:rPr>
          <w:rFonts w:ascii="Calibri" w:hAnsi="Calibri" w:cs="Calibri" w:eastAsia="PingFang SC"/>
          <w:b/>
          <w:color w:val="3D3A33"/>
          <w:sz w:val="22"/>
          <w:szCs w:val="22"/>
        </w:rPr>
        <w:t xml:space="preserve">Carl -&gt; Jacky = 0</w:t>
      </w:r>
      <w:r>
        <w:rPr>
          <w:rFonts w:ascii="Calibri" w:hAnsi="Calibri" w:cs="Calibri" w:eastAsia="PingFang SC"/>
          <w:color w:val="3D3A33"/>
          <w:sz w:val="22"/>
          <w:szCs w:val="22"/>
        </w:rPr>
        <w:t xml:space="preserve">. Seeking advice from someone does not imply that they seek advice in return. The available entries are incomplete, so they cannot support a complete-network metric calculation; unlisted entries must not all be inferred to be zero.</w:t>
      </w:r>
    </w:p>
    <w:p>
      <w:pPr>
        <w:spacing w:before="240" w:after="80" w:line="312" w:lineRule="auto"/>
      </w:pPr>
      <w:r>
        <w:rPr>
          <w:rFonts w:ascii="Calibri" w:hAnsi="Calibri" w:cs="Calibri" w:eastAsia="PingFang SC"/>
          <w:b/>
          <w:color w:val="175244"/>
          <w:sz w:val="22"/>
          <w:szCs w:val="22"/>
        </w:rPr>
        <w:t xml:space="preserve">Student communication network</w:t>
      </w:r>
    </w:p>
    <w:p>
      <w:pPr>
        <w:spacing w:before="0" w:after="160" w:line="312" w:lineRule="auto"/>
      </w:pPr>
      <w:r>
        <w:rPr>
          <w:rFonts w:ascii="Calibri" w:hAnsi="Calibri" w:cs="Calibri" w:eastAsia="PingFang SC"/>
          <w:color w:val="3D3A33"/>
          <w:sz w:val="22"/>
          <w:szCs w:val="22"/>
        </w:rPr>
        <w:t xml:space="preserve">A learning-network application associated with Chung's 2012 research represents communication among 11 students. The matrix uses the row actor as the rater and the column actor as the person rated, with a blank diagonal.</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450"/>
        <w:gridCol w:w="6911"/>
      </w:tblGrid>
      <w:tr>
        <w:trPr>
          <w:tblHeader/>
        </w:trPr>
        <w:tc>
          <w:tcPr>
            <w:tcW w:w="2450" w:type="dxa"/>
            <w:shd w:val="clear" w:color="auto" w:fill="EAE7DD"/>
          </w:tcPr>
          <w:p>
            <w:pPr>
              <w:spacing w:before="0" w:after="0" w:line="312" w:lineRule="auto"/>
            </w:pPr>
            <w:r>
              <w:rPr>
                <w:rFonts w:ascii="Calibri" w:hAnsi="Calibri" w:cs="Calibri" w:eastAsia="PingFang SC"/>
                <w:b/>
                <w:color w:val="3D3A33"/>
                <w:sz w:val="22"/>
                <w:szCs w:val="22"/>
              </w:rPr>
              <w:t xml:space="preserve">Value</w:t>
            </w:r>
          </w:p>
        </w:tc>
        <w:tc>
          <w:tcPr>
            <w:tcW w:w="6911"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r>
      <w:tr>
        <w:tc>
          <w:tcPr>
            <w:tcW w:w="2450" w:type="dxa"/>
          </w:tcPr>
          <w:p>
            <w:pPr>
              <w:spacing w:before="0" w:after="0" w:line="312" w:lineRule="auto"/>
            </w:pPr>
            <w:r>
              <w:rPr>
                <w:rFonts w:ascii="Calibri" w:hAnsi="Calibri" w:cs="Calibri" w:eastAsia="PingFang SC"/>
                <w:color w:val="3D3A33"/>
                <w:sz w:val="22"/>
                <w:szCs w:val="22"/>
              </w:rPr>
              <w:t xml:space="preserve">0</w:t>
            </w:r>
          </w:p>
        </w:tc>
        <w:tc>
          <w:tcPr>
            <w:tcW w:w="6911" w:type="dxa"/>
          </w:tcPr>
          <w:p>
            <w:pPr>
              <w:spacing w:before="0" w:after="0" w:line="312" w:lineRule="auto"/>
            </w:pPr>
            <w:r>
              <w:rPr>
                <w:rFonts w:ascii="Calibri" w:hAnsi="Calibri" w:cs="Calibri" w:eastAsia="PingFang SC"/>
                <w:color w:val="3D3A33"/>
                <w:sz w:val="22"/>
                <w:szCs w:val="22"/>
              </w:rPr>
              <w:t xml:space="preserve">Do not know the person</w:t>
            </w:r>
          </w:p>
        </w:tc>
      </w:tr>
      <w:tr>
        <w:tc>
          <w:tcPr>
            <w:tcW w:w="2450" w:type="dxa"/>
          </w:tcPr>
          <w:p>
            <w:pPr>
              <w:spacing w:before="0" w:after="0" w:line="312" w:lineRule="auto"/>
            </w:pPr>
            <w:r>
              <w:rPr>
                <w:rFonts w:ascii="Calibri" w:hAnsi="Calibri" w:cs="Calibri" w:eastAsia="PingFang SC"/>
                <w:color w:val="3D3A33"/>
                <w:sz w:val="22"/>
                <w:szCs w:val="22"/>
              </w:rPr>
              <w:t xml:space="preserve">1</w:t>
            </w:r>
          </w:p>
        </w:tc>
        <w:tc>
          <w:tcPr>
            <w:tcW w:w="6911" w:type="dxa"/>
          </w:tcPr>
          <w:p>
            <w:pPr>
              <w:spacing w:before="0" w:after="0" w:line="312" w:lineRule="auto"/>
            </w:pPr>
            <w:r>
              <w:rPr>
                <w:rFonts w:ascii="Calibri" w:hAnsi="Calibri" w:cs="Calibri" w:eastAsia="PingFang SC"/>
                <w:color w:val="3D3A33"/>
                <w:sz w:val="22"/>
                <w:szCs w:val="22"/>
              </w:rPr>
              <w:t xml:space="preserve">No communication</w:t>
            </w:r>
          </w:p>
        </w:tc>
      </w:tr>
      <w:tr>
        <w:tc>
          <w:tcPr>
            <w:tcW w:w="2450" w:type="dxa"/>
          </w:tcPr>
          <w:p>
            <w:pPr>
              <w:spacing w:before="0" w:after="0" w:line="312" w:lineRule="auto"/>
            </w:pPr>
            <w:r>
              <w:rPr>
                <w:rFonts w:ascii="Calibri" w:hAnsi="Calibri" w:cs="Calibri" w:eastAsia="PingFang SC"/>
                <w:color w:val="3D3A33"/>
                <w:sz w:val="22"/>
                <w:szCs w:val="22"/>
              </w:rPr>
              <w:t xml:space="preserve">2</w:t>
            </w:r>
          </w:p>
        </w:tc>
        <w:tc>
          <w:tcPr>
            <w:tcW w:w="6911" w:type="dxa"/>
          </w:tcPr>
          <w:p>
            <w:pPr>
              <w:spacing w:before="0" w:after="0" w:line="312" w:lineRule="auto"/>
            </w:pPr>
            <w:r>
              <w:rPr>
                <w:rFonts w:ascii="Calibri" w:hAnsi="Calibri" w:cs="Calibri" w:eastAsia="PingFang SC"/>
                <w:color w:val="3D3A33"/>
                <w:sz w:val="22"/>
                <w:szCs w:val="22"/>
              </w:rPr>
              <w:t xml:space="preserve">Seldom communicate</w:t>
            </w:r>
          </w:p>
        </w:tc>
      </w:tr>
      <w:tr>
        <w:tc>
          <w:tcPr>
            <w:tcW w:w="2450" w:type="dxa"/>
          </w:tcPr>
          <w:p>
            <w:pPr>
              <w:spacing w:before="0" w:after="0" w:line="312" w:lineRule="auto"/>
            </w:pPr>
            <w:r>
              <w:rPr>
                <w:rFonts w:ascii="Calibri" w:hAnsi="Calibri" w:cs="Calibri" w:eastAsia="PingFang SC"/>
                <w:color w:val="3D3A33"/>
                <w:sz w:val="22"/>
                <w:szCs w:val="22"/>
              </w:rPr>
              <w:t xml:space="preserve">3</w:t>
            </w:r>
          </w:p>
        </w:tc>
        <w:tc>
          <w:tcPr>
            <w:tcW w:w="6911" w:type="dxa"/>
          </w:tcPr>
          <w:p>
            <w:pPr>
              <w:spacing w:before="0" w:after="0" w:line="312" w:lineRule="auto"/>
            </w:pPr>
            <w:r>
              <w:rPr>
                <w:rFonts w:ascii="Calibri" w:hAnsi="Calibri" w:cs="Calibri" w:eastAsia="PingFang SC"/>
                <w:color w:val="3D3A33"/>
                <w:sz w:val="22"/>
                <w:szCs w:val="22"/>
              </w:rPr>
              <w:t xml:space="preserve">Often communicate</w:t>
            </w:r>
          </w:p>
        </w:tc>
      </w:tr>
      <w:tr>
        <w:tc>
          <w:tcPr>
            <w:tcW w:w="2450" w:type="dxa"/>
          </w:tcPr>
          <w:p>
            <w:pPr>
              <w:spacing w:before="0" w:after="0" w:line="312" w:lineRule="auto"/>
            </w:pPr>
            <w:r>
              <w:rPr>
                <w:rFonts w:ascii="Calibri" w:hAnsi="Calibri" w:cs="Calibri" w:eastAsia="PingFang SC"/>
                <w:color w:val="3D3A33"/>
                <w:sz w:val="22"/>
                <w:szCs w:val="22"/>
              </w:rPr>
              <w:t xml:space="preserve">4</w:t>
            </w:r>
          </w:p>
        </w:tc>
        <w:tc>
          <w:tcPr>
            <w:tcW w:w="6911" w:type="dxa"/>
          </w:tcPr>
          <w:p>
            <w:pPr>
              <w:spacing w:before="0" w:after="0" w:line="312" w:lineRule="auto"/>
            </w:pPr>
            <w:r>
              <w:rPr>
                <w:rFonts w:ascii="Calibri" w:hAnsi="Calibri" w:cs="Calibri" w:eastAsia="PingFang SC"/>
                <w:color w:val="3D3A33"/>
                <w:sz w:val="22"/>
                <w:szCs w:val="22"/>
              </w:rPr>
              <w:t xml:space="preserve">Very often communicate</w:t>
            </w:r>
          </w:p>
        </w:tc>
      </w:tr>
    </w:tbl>
    <w:p>
      <w:pPr>
        <w:spacing w:before="0" w:after="160" w:line="312" w:lineRule="auto"/>
      </w:pPr>
      <w:r>
        <w:rPr>
          <w:rFonts w:ascii="Calibri" w:hAnsi="Calibri" w:cs="Calibri" w:eastAsia="PingFang SC"/>
          <w:color w:val="3D3A33"/>
          <w:sz w:val="22"/>
          <w:szCs w:val="22"/>
        </w:rPr>
        <w:t xml:space="preserve">Not knowing someone and knowing them without communicating are distinct responses. Coding 0 as ordinary low-frequency communication would erase that distinction.</w:t>
      </w:r>
    </w:p>
    <w:p>
      <w:pPr>
        <w:spacing w:before="0" w:after="160" w:line="312" w:lineRule="auto"/>
      </w:pPr>
      <w:r>
        <w:rPr>
          <w:rFonts w:ascii="Calibri" w:hAnsi="Calibri" w:cs="Calibri" w:eastAsia="PingFang SC"/>
          <w:color w:val="3D3A33"/>
          <w:sz w:val="22"/>
          <w:szCs w:val="22"/>
        </w:rPr>
        <w:t xml:space="preserve">NetDraw 2.120 visualised the directed network. Node shape distinguished university affiliation, colour distinguished four groups, and betweenness values were shown alongside actor attributes. Reported values included 0.444, 0.470, 0.644, 1.594, 1.867, 1.963, 2.000, 2.644 and 2.691; these are not a complete actor-by-actor result table. Inconsistent actor labels across representations prevent a reliable name-to-score mapping.</w:t>
      </w:r>
    </w:p>
    <w:p>
      <w:pPr>
        <w:spacing w:before="240" w:after="80" w:line="312" w:lineRule="auto"/>
      </w:pPr>
      <w:r>
        <w:rPr>
          <w:rFonts w:ascii="Calibri" w:hAnsi="Calibri" w:cs="Calibri" w:eastAsia="PingFang SC"/>
          <w:b/>
          <w:color w:val="9E3D34"/>
          <w:sz w:val="26"/>
          <w:szCs w:val="26"/>
        </w:rPr>
        <w:t xml:space="preserve">Using SNA for stakeholder engagement</w:t>
      </w:r>
    </w:p>
    <w:p>
      <w:pPr>
        <w:numPr>
          <w:ilvl w:val="0"/>
          <w:numId w:val="102"/>
        </w:numPr>
        <w:spacing w:after="80" w:line="312" w:lineRule="auto"/>
      </w:pPr>
      <w:r>
        <w:rPr>
          <w:rFonts w:ascii="Calibri" w:hAnsi="Calibri" w:cs="Calibri" w:eastAsia="PingFang SC"/>
          <w:color w:val="3D3A33"/>
          <w:sz w:val="22"/>
          <w:szCs w:val="22"/>
        </w:rPr>
        <w:t xml:space="preserve">Define the stakeholder boundary and the relation relevant to the engagement problem.</w:t>
      </w:r>
    </w:p>
    <w:p>
      <w:pPr>
        <w:numPr>
          <w:ilvl w:val="0"/>
          <w:numId w:val="102"/>
        </w:numPr>
        <w:spacing w:after="80" w:line="312" w:lineRule="auto"/>
      </w:pPr>
      <w:r>
        <w:rPr>
          <w:rFonts w:ascii="Calibri" w:hAnsi="Calibri" w:cs="Calibri" w:eastAsia="PingFang SC"/>
          <w:color w:val="3D3A33"/>
          <w:sz w:val="22"/>
          <w:szCs w:val="22"/>
        </w:rPr>
        <w:t xml:space="preserve">Collect actor attributes and relational data without confusing the two.</w:t>
      </w:r>
    </w:p>
    <w:p>
      <w:pPr>
        <w:numPr>
          <w:ilvl w:val="0"/>
          <w:numId w:val="102"/>
        </w:numPr>
        <w:spacing w:after="80" w:line="312" w:lineRule="auto"/>
      </w:pPr>
      <w:r>
        <w:rPr>
          <w:rFonts w:ascii="Calibri" w:hAnsi="Calibri" w:cs="Calibri" w:eastAsia="PingFang SC"/>
          <w:color w:val="3D3A33"/>
          <w:sz w:val="22"/>
          <w:szCs w:val="22"/>
        </w:rPr>
        <w:t xml:space="preserve">Build a matrix and sociogram using explicit direction and weighting conventions.</w:t>
      </w:r>
    </w:p>
    <w:p>
      <w:pPr>
        <w:numPr>
          <w:ilvl w:val="0"/>
          <w:numId w:val="102"/>
        </w:numPr>
        <w:spacing w:after="80" w:line="312" w:lineRule="auto"/>
      </w:pPr>
      <w:r>
        <w:rPr>
          <w:rFonts w:ascii="Calibri" w:hAnsi="Calibri" w:cs="Calibri" w:eastAsia="PingFang SC"/>
          <w:color w:val="3D3A33"/>
          <w:sz w:val="22"/>
          <w:szCs w:val="22"/>
        </w:rPr>
        <w:t xml:space="preserve">Calculate appropriate network-level, actor-level and tie-level properties.</w:t>
      </w:r>
    </w:p>
    <w:p>
      <w:pPr>
        <w:numPr>
          <w:ilvl w:val="0"/>
          <w:numId w:val="102"/>
        </w:numPr>
        <w:spacing w:after="80" w:line="312" w:lineRule="auto"/>
      </w:pPr>
      <w:r>
        <w:rPr>
          <w:rFonts w:ascii="Calibri" w:hAnsi="Calibri" w:cs="Calibri" w:eastAsia="PingFang SC"/>
          <w:color w:val="3D3A33"/>
          <w:sz w:val="22"/>
          <w:szCs w:val="22"/>
        </w:rPr>
        <w:t xml:space="preserve">Identify underused expertise, bottlenecks, isolated actors or fragile bridges.</w:t>
      </w:r>
    </w:p>
    <w:p>
      <w:pPr>
        <w:numPr>
          <w:ilvl w:val="0"/>
          <w:numId w:val="102"/>
        </w:numPr>
        <w:spacing w:after="80" w:line="312" w:lineRule="auto"/>
      </w:pPr>
      <w:r>
        <w:rPr>
          <w:rFonts w:ascii="Calibri" w:hAnsi="Calibri" w:cs="Calibri" w:eastAsia="PingFang SC"/>
          <w:color w:val="3D3A33"/>
          <w:sz w:val="22"/>
          <w:szCs w:val="22"/>
        </w:rPr>
        <w:t xml:space="preserve">Design an intervention and reassess relationships and outcomes afterwards.</w:t>
      </w:r>
    </w:p>
    <w:p>
      <w:pPr>
        <w:spacing w:before="0" w:after="160" w:line="312" w:lineRule="auto"/>
      </w:pPr>
      <w:r>
        <w:rPr>
          <w:rFonts w:ascii="Calibri" w:hAnsi="Calibri" w:cs="Calibri" w:eastAsia="PingFang SC"/>
          <w:color w:val="3D3A33"/>
          <w:sz w:val="22"/>
          <w:szCs w:val="22"/>
        </w:rPr>
        <w:t xml:space="preserve">A graph-layout algorithm changes the arrangement of a sociogram to make patterns visible; visual proximity alone does not establish a measured tie or stakeholder importance.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