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PMGT1852 Week 07</w:t>
      </w:r>
    </w:p>
    <w:p>
      <w:pPr>
        <w:spacing w:before="240" w:after="80" w:line="312" w:lineRule="auto"/>
      </w:pPr>
      <w:r>
        <w:rPr>
          <w:rFonts w:ascii="Calibri" w:hAnsi="Calibri" w:cs="Calibri" w:eastAsia="PingFang SC"/>
          <w:b/>
          <w:color w:val="33302A"/>
          <w:sz w:val="32"/>
          <w:szCs w:val="32"/>
        </w:rPr>
        <w:t xml:space="preserve">PMGT1852 Week 7 - Self-Awareness and Emotional Intelligence</w:t>
      </w:r>
    </w:p>
    <w:p>
      <w:pPr>
        <w:spacing w:before="240" w:after="80" w:line="312" w:lineRule="auto"/>
      </w:pPr>
      <w:r>
        <w:rPr>
          <w:rFonts w:ascii="Calibri" w:hAnsi="Calibri" w:cs="Calibri" w:eastAsia="PingFang SC"/>
          <w:b/>
          <w:color w:val="9E3D34"/>
          <w:sz w:val="26"/>
          <w:szCs w:val="26"/>
        </w:rPr>
        <w:t xml:space="preserve">Why self-awareness matters</w:t>
      </w:r>
    </w:p>
    <w:p>
      <w:pPr>
        <w:spacing w:before="0" w:after="160" w:line="312" w:lineRule="auto"/>
      </w:pPr>
      <w:r>
        <w:rPr>
          <w:rFonts w:ascii="Calibri" w:hAnsi="Calibri" w:cs="Calibri" w:eastAsia="PingFang SC"/>
          <w:b/>
          <w:color w:val="3D3A33"/>
          <w:sz w:val="22"/>
          <w:szCs w:val="22"/>
        </w:rPr>
        <w:t xml:space="preserve">Self-awareness</w:t>
      </w:r>
      <w:r>
        <w:rPr>
          <w:rFonts w:ascii="Calibri" w:hAnsi="Calibri" w:cs="Calibri" w:eastAsia="PingFang SC"/>
          <w:color w:val="3D3A33"/>
          <w:sz w:val="22"/>
          <w:szCs w:val="22"/>
        </w:rPr>
        <w:t xml:space="preserve"> is the capacity to recognise one's own emotions, assumptions, values and behaviour, including their effects on others. It is a working capability, not simply introspection. A facilitator or stakeholder manager uses their own judgement and communication as instruments of engagement, so understanding those instruments matters.</w:t>
      </w:r>
    </w:p>
    <w:p>
      <w:pPr>
        <w:spacing w:before="0" w:after="160" w:line="312" w:lineRule="auto"/>
      </w:pPr>
      <w:r>
        <w:rPr>
          <w:rFonts w:ascii="Calibri" w:hAnsi="Calibri" w:cs="Calibri" w:eastAsia="PingFang SC"/>
          <w:color w:val="3D3A33"/>
          <w:sz w:val="22"/>
          <w:szCs w:val="22"/>
        </w:rPr>
        <w:t xml:space="preserve">Confucius' emphasis on looking within oneself and Lao Tzu's distinction between conquering others and mastering oneself express the same practical orientation: improvement begins by examining one's own contribution to a situation.</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intent-impact gap</w:t>
      </w:r>
      <w:r>
        <w:rPr>
          <w:rFonts w:ascii="Calibri" w:hAnsi="Calibri" w:cs="Calibri" w:eastAsia="PingFang SC"/>
          <w:color w:val="3D3A33"/>
          <w:sz w:val="22"/>
          <w:szCs w:val="22"/>
        </w:rPr>
        <w:t xml:space="preserve"> is the difference between what someone intends to communicate and what others actually experience. A well-intended message can still sound dismissive or threatening. Self-examination and feedback help identify this gap; good intentions alone do not close it.</w:t>
      </w:r>
    </w:p>
    <w:p>
      <w:pPr>
        <w:spacing w:before="0" w:after="160" w:line="312" w:lineRule="auto"/>
      </w:pPr>
      <w:r>
        <w:rPr>
          <w:rFonts w:ascii="Calibri" w:hAnsi="Calibri" w:cs="Calibri" w:eastAsia="PingFang SC"/>
          <w:color w:val="3D3A33"/>
          <w:sz w:val="22"/>
          <w:szCs w:val="22"/>
        </w:rPr>
        <w:t xml:space="preserve">The navigation analogy makes the starting point concrete. When a person is lost on the way to a friend's house, useful guidance first requires an honest answer to "Where are you now?" Development similarly requires an accurate understanding of present behaviour before choosing how to change it.</w:t>
      </w:r>
    </w:p>
    <w:p>
      <w:pPr>
        <w:spacing w:before="240" w:after="80" w:line="312" w:lineRule="auto"/>
      </w:pPr>
      <w:r>
        <w:rPr>
          <w:rFonts w:ascii="Calibri" w:hAnsi="Calibri" w:cs="Calibri" w:eastAsia="PingFang SC"/>
          <w:b/>
          <w:color w:val="175244"/>
          <w:sz w:val="22"/>
          <w:szCs w:val="22"/>
        </w:rPr>
        <w:t xml:space="preserve">Brouwer's growth sequence</w:t>
      </w:r>
    </w:p>
    <w:p>
      <w:pPr>
        <w:spacing w:before="0" w:after="160" w:line="312" w:lineRule="auto"/>
      </w:pPr>
      <w:r>
        <w:rPr>
          <w:rFonts w:ascii="Calibri" w:hAnsi="Calibri" w:cs="Calibri" w:eastAsia="PingFang SC"/>
          <w:b/>
          <w:color w:val="3D3A33"/>
          <w:sz w:val="22"/>
          <w:szCs w:val="22"/>
        </w:rPr>
        <w:t xml:space="preserve">Self-examination -&gt; insight -&gt; self-understanding -&gt; changed behaviour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Self-examination:</w:t>
      </w:r>
      <w:r>
        <w:rPr>
          <w:rFonts w:ascii="Calibri" w:hAnsi="Calibri" w:cs="Calibri" w:eastAsia="PingFang SC"/>
          <w:color w:val="3D3A33"/>
          <w:sz w:val="22"/>
          <w:szCs w:val="22"/>
        </w:rPr>
        <w:t xml:space="preserve"> inspect one's actions, reactions and assumptions.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Insight:</w:t>
      </w:r>
      <w:r>
        <w:rPr>
          <w:rFonts w:ascii="Calibri" w:hAnsi="Calibri" w:cs="Calibri" w:eastAsia="PingFang SC"/>
          <w:color w:val="3D3A33"/>
          <w:sz w:val="22"/>
          <w:szCs w:val="22"/>
        </w:rPr>
        <w:t xml:space="preserve"> recognise something previously unnoticed.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Self-understanding:</w:t>
      </w:r>
      <w:r>
        <w:rPr>
          <w:rFonts w:ascii="Calibri" w:hAnsi="Calibri" w:cs="Calibri" w:eastAsia="PingFang SC"/>
          <w:color w:val="3D3A33"/>
          <w:sz w:val="22"/>
          <w:szCs w:val="22"/>
        </w:rPr>
        <w:t xml:space="preserve"> integrate that insight into an account of why one behaves as one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Changed behaviour:</w:t>
      </w:r>
      <w:r>
        <w:rPr>
          <w:rFonts w:ascii="Calibri" w:hAnsi="Calibri" w:cs="Calibri" w:eastAsia="PingFang SC"/>
          <w:color w:val="3D3A33"/>
          <w:sz w:val="22"/>
          <w:szCs w:val="22"/>
        </w:rPr>
        <w:t xml:space="preserve"> act differently in relevant situations.</w:t>
      </w:r>
    </w:p>
    <w:p>
      <w:pPr>
        <w:spacing w:before="0" w:after="160" w:line="312" w:lineRule="auto"/>
      </w:pPr>
      <w:r>
        <w:rPr>
          <w:rFonts w:ascii="Calibri" w:hAnsi="Calibri" w:cs="Calibri" w:eastAsia="PingFang SC"/>
          <w:color w:val="3D3A33"/>
          <w:sz w:val="22"/>
          <w:szCs w:val="22"/>
        </w:rPr>
        <w:t xml:space="preserve">Insight is a building block, not the final outcome. The practical value of reflection depends on what changes afterwards.</w:t>
      </w:r>
    </w:p>
    <w:p>
      <w:pPr>
        <w:spacing w:before="240" w:after="80" w:line="312" w:lineRule="auto"/>
      </w:pPr>
      <w:r>
        <w:rPr>
          <w:rFonts w:ascii="Calibri" w:hAnsi="Calibri" w:cs="Calibri" w:eastAsia="PingFang SC"/>
          <w:b/>
          <w:color w:val="9E3D34"/>
          <w:sz w:val="26"/>
          <w:szCs w:val="26"/>
        </w:rPr>
        <w:t xml:space="preserve">Three foundations of self-awareness</w:t>
      </w:r>
    </w:p>
    <w:p>
      <w:pPr>
        <w:spacing w:before="240" w:after="80" w:line="312" w:lineRule="auto"/>
      </w:pPr>
      <w:r>
        <w:rPr>
          <w:rFonts w:ascii="Calibri" w:hAnsi="Calibri" w:cs="Calibri" w:eastAsia="PingFang SC"/>
          <w:b/>
          <w:color w:val="175244"/>
          <w:sz w:val="22"/>
          <w:szCs w:val="22"/>
        </w:rPr>
        <w:t xml:space="preserve">Self-understanding and self-management</w:t>
      </w:r>
    </w:p>
    <w:p>
      <w:pPr>
        <w:spacing w:before="0" w:after="160" w:line="312" w:lineRule="auto"/>
      </w:pPr>
      <w:r>
        <w:rPr>
          <w:rFonts w:ascii="Calibri" w:hAnsi="Calibri" w:cs="Calibri" w:eastAsia="PingFang SC"/>
          <w:b/>
          <w:color w:val="3D3A33"/>
          <w:sz w:val="22"/>
          <w:szCs w:val="22"/>
        </w:rPr>
        <w:t xml:space="preserve">Self-concept</w:t>
      </w:r>
      <w:r>
        <w:rPr>
          <w:rFonts w:ascii="Calibri" w:hAnsi="Calibri" w:cs="Calibri" w:eastAsia="PingFang SC"/>
          <w:color w:val="3D3A33"/>
          <w:sz w:val="22"/>
          <w:szCs w:val="22"/>
        </w:rPr>
        <w:t xml:space="preserve"> is the way a person understands themselves. It affects how they interpret others and react to feedback. Self-awareness and self-acceptance support growth and the ability to understand and accept other people; acceptance does not mean treating every behaviour as desirable.</w:t>
      </w:r>
    </w:p>
    <w:p>
      <w:pPr>
        <w:spacing w:before="0" w:after="160" w:line="312" w:lineRule="auto"/>
      </w:pPr>
      <w:r>
        <w:rPr>
          <w:rFonts w:ascii="Calibri" w:hAnsi="Calibri" w:cs="Calibri" w:eastAsia="PingFang SC"/>
          <w:b/>
          <w:color w:val="3D3A33"/>
          <w:sz w:val="22"/>
          <w:szCs w:val="22"/>
        </w:rPr>
        <w:t xml:space="preserve">Core self-evaluation</w:t>
      </w:r>
      <w:r>
        <w:rPr>
          <w:rFonts w:ascii="Calibri" w:hAnsi="Calibri" w:cs="Calibri" w:eastAsia="PingFang SC"/>
          <w:color w:val="3D3A33"/>
          <w:sz w:val="22"/>
          <w:szCs w:val="22"/>
        </w:rPr>
        <w:t xml:space="preserve"> concerns a person's fundamental appraisal of themselves. Related components include: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802"/>
        <w:gridCol w:w="6558"/>
      </w:tblGrid>
      <w:tr>
        <w:trPr>
          <w:tblHeader/>
        </w:trPr>
        <w:tc>
          <w:tcPr>
            <w:tcW w:w="2802" w:type="dxa"/>
            <w:shd w:val="clear" w:color="auto" w:fill="EAE7DD"/>
          </w:tcPr>
          <w:p>
            <w:pPr>
              <w:spacing w:before="0" w:after="0" w:line="312" w:lineRule="auto"/>
            </w:pPr>
            <w:r>
              <w:rPr>
                <w:rFonts w:ascii="Calibri" w:hAnsi="Calibri" w:cs="Calibri" w:eastAsia="PingFang SC"/>
                <w:b/>
                <w:color w:val="3D3A33"/>
                <w:sz w:val="22"/>
                <w:szCs w:val="22"/>
              </w:rPr>
              <w:t xml:space="preserve">Component</w:t>
            </w:r>
          </w:p>
        </w:tc>
        <w:tc>
          <w:tcPr>
            <w:tcW w:w="6558"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2802" w:type="dxa"/>
          </w:tcPr>
          <w:p>
            <w:pPr>
              <w:spacing w:before="0" w:after="0" w:line="312" w:lineRule="auto"/>
            </w:pPr>
            <w:r>
              <w:rPr>
                <w:rFonts w:ascii="Calibri" w:hAnsi="Calibri" w:cs="Calibri" w:eastAsia="PingFang SC"/>
                <w:color w:val="3D3A33"/>
                <w:sz w:val="22"/>
                <w:szCs w:val="22"/>
              </w:rPr>
              <w:t xml:space="preserve">Positive self-regard</w:t>
            </w:r>
          </w:p>
        </w:tc>
        <w:tc>
          <w:tcPr>
            <w:tcW w:w="6558" w:type="dxa"/>
          </w:tcPr>
          <w:p>
            <w:pPr>
              <w:spacing w:before="0" w:after="0" w:line="312" w:lineRule="auto"/>
            </w:pPr>
            <w:r>
              <w:rPr>
                <w:rFonts w:ascii="Calibri" w:hAnsi="Calibri" w:cs="Calibri" w:eastAsia="PingFang SC"/>
                <w:color w:val="3D3A33"/>
                <w:sz w:val="22"/>
                <w:szCs w:val="22"/>
              </w:rPr>
              <w:t xml:space="preserve">A broadly accepting view of oneself</w:t>
            </w:r>
          </w:p>
        </w:tc>
      </w:tr>
      <w:tr>
        <w:tc>
          <w:tcPr>
            <w:tcW w:w="2802" w:type="dxa"/>
          </w:tcPr>
          <w:p>
            <w:pPr>
              <w:spacing w:before="0" w:after="0" w:line="312" w:lineRule="auto"/>
            </w:pPr>
            <w:r>
              <w:rPr>
                <w:rFonts w:ascii="Calibri" w:hAnsi="Calibri" w:cs="Calibri" w:eastAsia="PingFang SC"/>
                <w:color w:val="3D3A33"/>
                <w:sz w:val="22"/>
                <w:szCs w:val="22"/>
              </w:rPr>
              <w:t xml:space="preserve">Self-esteem</w:t>
            </w:r>
          </w:p>
        </w:tc>
        <w:tc>
          <w:tcPr>
            <w:tcW w:w="6558" w:type="dxa"/>
          </w:tcPr>
          <w:p>
            <w:pPr>
              <w:spacing w:before="0" w:after="0" w:line="312" w:lineRule="auto"/>
            </w:pPr>
            <w:r>
              <w:rPr>
                <w:rFonts w:ascii="Calibri" w:hAnsi="Calibri" w:cs="Calibri" w:eastAsia="PingFang SC"/>
                <w:color w:val="3D3A33"/>
                <w:sz w:val="22"/>
                <w:szCs w:val="22"/>
              </w:rPr>
              <w:t xml:space="preserve">A sense of personal worth</w:t>
            </w:r>
          </w:p>
        </w:tc>
      </w:tr>
      <w:tr>
        <w:tc>
          <w:tcPr>
            <w:tcW w:w="2802" w:type="dxa"/>
          </w:tcPr>
          <w:p>
            <w:pPr>
              <w:spacing w:before="0" w:after="0" w:line="312" w:lineRule="auto"/>
            </w:pPr>
            <w:r>
              <w:rPr>
                <w:rFonts w:ascii="Calibri" w:hAnsi="Calibri" w:cs="Calibri" w:eastAsia="PingFang SC"/>
                <w:color w:val="3D3A33"/>
                <w:sz w:val="22"/>
                <w:szCs w:val="22"/>
              </w:rPr>
              <w:t xml:space="preserve">Self-efficacy</w:t>
            </w:r>
          </w:p>
        </w:tc>
        <w:tc>
          <w:tcPr>
            <w:tcW w:w="6558" w:type="dxa"/>
          </w:tcPr>
          <w:p>
            <w:pPr>
              <w:spacing w:before="0" w:after="0" w:line="312" w:lineRule="auto"/>
            </w:pPr>
            <w:r>
              <w:rPr>
                <w:rFonts w:ascii="Calibri" w:hAnsi="Calibri" w:cs="Calibri" w:eastAsia="PingFang SC"/>
                <w:color w:val="3D3A33"/>
                <w:sz w:val="22"/>
                <w:szCs w:val="22"/>
              </w:rPr>
              <w:t xml:space="preserve">Belief in one's capacity to perform a task or handle a situation</w:t>
            </w:r>
          </w:p>
        </w:tc>
      </w:tr>
      <w:tr>
        <w:tc>
          <w:tcPr>
            <w:tcW w:w="2802" w:type="dxa"/>
          </w:tcPr>
          <w:p>
            <w:pPr>
              <w:spacing w:before="0" w:after="0" w:line="312" w:lineRule="auto"/>
            </w:pPr>
            <w:r>
              <w:rPr>
                <w:rFonts w:ascii="Calibri" w:hAnsi="Calibri" w:cs="Calibri" w:eastAsia="PingFang SC"/>
                <w:color w:val="3D3A33"/>
                <w:sz w:val="22"/>
                <w:szCs w:val="22"/>
              </w:rPr>
              <w:t xml:space="preserve">Emotional stability</w:t>
            </w:r>
          </w:p>
        </w:tc>
        <w:tc>
          <w:tcPr>
            <w:tcW w:w="6558" w:type="dxa"/>
          </w:tcPr>
          <w:p>
            <w:pPr>
              <w:spacing w:before="0" w:after="0" w:line="312" w:lineRule="auto"/>
            </w:pPr>
            <w:r>
              <w:rPr>
                <w:rFonts w:ascii="Calibri" w:hAnsi="Calibri" w:cs="Calibri" w:eastAsia="PingFang SC"/>
                <w:color w:val="3D3A33"/>
                <w:sz w:val="22"/>
                <w:szCs w:val="22"/>
              </w:rPr>
              <w:t xml:space="preserve">Relative steadiness in emotional responses</w:t>
            </w:r>
          </w:p>
        </w:tc>
      </w:tr>
      <w:tr>
        <w:tc>
          <w:tcPr>
            <w:tcW w:w="2802" w:type="dxa"/>
          </w:tcPr>
          <w:p>
            <w:pPr>
              <w:spacing w:before="0" w:after="0" w:line="312" w:lineRule="auto"/>
            </w:pPr>
            <w:r>
              <w:rPr>
                <w:rFonts w:ascii="Calibri" w:hAnsi="Calibri" w:cs="Calibri" w:eastAsia="PingFang SC"/>
                <w:color w:val="3D3A33"/>
                <w:sz w:val="22"/>
                <w:szCs w:val="22"/>
              </w:rPr>
              <w:t xml:space="preserve">Locus of control</w:t>
            </w:r>
          </w:p>
        </w:tc>
        <w:tc>
          <w:tcPr>
            <w:tcW w:w="6558" w:type="dxa"/>
          </w:tcPr>
          <w:p>
            <w:pPr>
              <w:spacing w:before="0" w:after="0" w:line="312" w:lineRule="auto"/>
            </w:pPr>
            <w:r>
              <w:rPr>
                <w:rFonts w:ascii="Calibri" w:hAnsi="Calibri" w:cs="Calibri" w:eastAsia="PingFang SC"/>
                <w:color w:val="3D3A33"/>
                <w:sz w:val="22"/>
                <w:szCs w:val="22"/>
              </w:rPr>
              <w:t xml:space="preserve">Beliefs about the extent to which outcomes depend on one's actions or external forces</w:t>
            </w:r>
          </w:p>
        </w:tc>
      </w:tr>
    </w:tbl>
    <w:p>
      <w:pPr>
        <w:spacing w:before="0" w:after="160" w:line="312" w:lineRule="auto"/>
      </w:pPr>
      <w:r>
        <w:rPr>
          <w:rFonts w:ascii="Calibri" w:hAnsi="Calibri" w:cs="Calibri" w:eastAsia="PingFang SC"/>
          <w:color w:val="3D3A33"/>
          <w:sz w:val="22"/>
          <w:szCs w:val="22"/>
        </w:rPr>
        <w:t xml:space="preserve">These appraisals are relevant to job satisfaction, performance and life satisfaction, but should not be treated as a deterministic causal formula.</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five-factor personality model</w:t>
      </w:r>
      <w:r>
        <w:rPr>
          <w:rFonts w:ascii="Calibri" w:hAnsi="Calibri" w:cs="Calibri" w:eastAsia="PingFang SC"/>
          <w:color w:val="3D3A33"/>
          <w:sz w:val="22"/>
          <w:szCs w:val="22"/>
        </w:rPr>
        <w:t xml:space="preserve"> offers a separate descriptive vocabulary: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Extraversion:</w:t>
      </w:r>
      <w:r>
        <w:rPr>
          <w:rFonts w:ascii="Calibri" w:hAnsi="Calibri" w:cs="Calibri" w:eastAsia="PingFang SC"/>
          <w:color w:val="3D3A33"/>
          <w:sz w:val="22"/>
          <w:szCs w:val="22"/>
        </w:rPr>
        <w:t xml:space="preserve"> sociability, assertiveness and excitability.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Openness:</w:t>
      </w:r>
      <w:r>
        <w:rPr>
          <w:rFonts w:ascii="Calibri" w:hAnsi="Calibri" w:cs="Calibri" w:eastAsia="PingFang SC"/>
          <w:color w:val="3D3A33"/>
          <w:sz w:val="22"/>
          <w:szCs w:val="22"/>
        </w:rPr>
        <w:t xml:space="preserve"> imagination, creativity, curiosity and receptiveness to new experiences.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Conscientiousness:</w:t>
      </w:r>
      <w:r>
        <w:rPr>
          <w:rFonts w:ascii="Calibri" w:hAnsi="Calibri" w:cs="Calibri" w:eastAsia="PingFang SC"/>
          <w:color w:val="3D3A33"/>
          <w:sz w:val="22"/>
          <w:szCs w:val="22"/>
        </w:rPr>
        <w:t xml:space="preserve"> thoughtfulness, impulse control and goal focus.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Agreeableness:</w:t>
      </w:r>
      <w:r>
        <w:rPr>
          <w:rFonts w:ascii="Calibri" w:hAnsi="Calibri" w:cs="Calibri" w:eastAsia="PingFang SC"/>
          <w:color w:val="3D3A33"/>
          <w:sz w:val="22"/>
          <w:szCs w:val="22"/>
        </w:rPr>
        <w:t xml:space="preserve"> trust, kindness, altruism and cooperation.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Neuroticism:</w:t>
      </w:r>
      <w:r>
        <w:rPr>
          <w:rFonts w:ascii="Calibri" w:hAnsi="Calibri" w:cs="Calibri" w:eastAsia="PingFang SC"/>
          <w:color w:val="3D3A33"/>
          <w:sz w:val="22"/>
          <w:szCs w:val="22"/>
        </w:rPr>
        <w:t xml:space="preserve"> susceptibility to sadness, moodiness and emotional instability.</w:t>
      </w:r>
    </w:p>
    <w:p>
      <w:pPr>
        <w:spacing w:before="0" w:after="160" w:line="312" w:lineRule="auto"/>
      </w:pPr>
      <w:r>
        <w:rPr>
          <w:rFonts w:ascii="Calibri" w:hAnsi="Calibri" w:cs="Calibri" w:eastAsia="PingFang SC"/>
          <w:color w:val="3D3A33"/>
          <w:sz w:val="22"/>
          <w:szCs w:val="22"/>
        </w:rPr>
        <w:t xml:space="preserve">Such descriptions support reflection; they are not verdicts on a person's value or a complete prediction of behaviour. Core self-evaluation and the five-factor model describe related but distinct aspects of the person.</w:t>
      </w:r>
    </w:p>
    <w:p>
      <w:pPr>
        <w:spacing w:before="0" w:after="160" w:line="312" w:lineRule="auto"/>
      </w:pPr>
      <w:r>
        <w:rPr>
          <w:rFonts w:ascii="Calibri" w:hAnsi="Calibri" w:cs="Calibri" w:eastAsia="PingFang SC"/>
          <w:color w:val="3D3A33"/>
          <w:sz w:val="22"/>
          <w:szCs w:val="22"/>
        </w:rPr>
        <w:t xml:space="preserve">Useful objects of self-evaluation include the sensitive line, personal values, attitude towards change, interpersonal style, emotional intelligence and communication-matching capabilities.</w:t>
      </w:r>
    </w:p>
    <w:p>
      <w:pPr>
        <w:spacing w:before="240" w:after="80" w:line="312" w:lineRule="auto"/>
      </w:pPr>
      <w:r>
        <w:rPr>
          <w:rFonts w:ascii="Calibri" w:hAnsi="Calibri" w:cs="Calibri" w:eastAsia="PingFang SC"/>
          <w:b/>
          <w:color w:val="175244"/>
          <w:sz w:val="22"/>
          <w:szCs w:val="22"/>
        </w:rPr>
        <w:t xml:space="preserve">The sensitive line</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sensitive line</w:t>
      </w:r>
      <w:r>
        <w:rPr>
          <w:rFonts w:ascii="Calibri" w:hAnsi="Calibri" w:cs="Calibri" w:eastAsia="PingFang SC"/>
          <w:color w:val="3D3A33"/>
          <w:sz w:val="22"/>
          <w:szCs w:val="22"/>
        </w:rPr>
        <w:t xml:space="preserve"> is the point at which information inconsistent with one's self-concept, or pressure to change behaviour, triggers defensiveness or self-protection. Crossing it can produce a </w:t>
      </w:r>
      <w:r>
        <w:rPr>
          <w:rFonts w:ascii="Calibri" w:hAnsi="Calibri" w:cs="Calibri" w:eastAsia="PingFang SC"/>
          <w:b/>
          <w:color w:val="3D3A33"/>
          <w:sz w:val="22"/>
          <w:szCs w:val="22"/>
        </w:rPr>
        <w:t xml:space="preserve">threat-rigidity response</w:t>
      </w:r>
      <w:r>
        <w:rPr>
          <w:rFonts w:ascii="Calibri" w:hAnsi="Calibri" w:cs="Calibri" w:eastAsia="PingFang SC"/>
          <w:color w:val="3D3A33"/>
          <w:sz w:val="22"/>
          <w:szCs w:val="22"/>
        </w:rPr>
        <w:t xml:space="preserve">: perceived threat narrows thinking and encourages rigid defence of the existing position.</w:t>
      </w:r>
    </w:p>
    <w:p>
      <w:pPr>
        <w:spacing w:before="0" w:after="160" w:line="312" w:lineRule="auto"/>
      </w:pPr>
      <w:r>
        <w:rPr>
          <w:rFonts w:ascii="Calibri" w:hAnsi="Calibri" w:cs="Calibri" w:eastAsia="PingFang SC"/>
          <w:color w:val="3D3A33"/>
          <w:sz w:val="22"/>
          <w:szCs w:val="22"/>
        </w:rPr>
        <w:t xml:space="preserve">Feedback can therefore be reasonable in content yet ineffective in delivery. The recipient may defend their identity instead of examining the information.</w:t>
      </w:r>
    </w:p>
    <w:p>
      <w:pPr>
        <w:spacing w:before="0" w:after="160" w:line="312" w:lineRule="auto"/>
      </w:pPr>
      <w:r>
        <w:rPr>
          <w:rFonts w:ascii="Calibri" w:hAnsi="Calibri" w:cs="Calibri" w:eastAsia="PingFang SC"/>
          <w:color w:val="3D3A33"/>
          <w:sz w:val="22"/>
          <w:szCs w:val="22"/>
        </w:rPr>
        <w:t xml:space="preserve">Information is less threatening when it 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Verifiable:</w:t>
      </w:r>
      <w:r>
        <w:rPr>
          <w:rFonts w:ascii="Calibri" w:hAnsi="Calibri" w:cs="Calibri" w:eastAsia="PingFang SC"/>
          <w:color w:val="3D3A33"/>
          <w:sz w:val="22"/>
          <w:szCs w:val="22"/>
        </w:rPr>
        <w:t xml:space="preserve"> grounded in observations that can be checked.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Predictable:</w:t>
      </w:r>
      <w:r>
        <w:rPr>
          <w:rFonts w:ascii="Calibri" w:hAnsi="Calibri" w:cs="Calibri" w:eastAsia="PingFang SC"/>
          <w:color w:val="3D3A33"/>
          <w:sz w:val="22"/>
          <w:szCs w:val="22"/>
        </w:rPr>
        <w:t xml:space="preserve"> not delivered as an unexplained surprise or ambush.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Controllable:</w:t>
      </w:r>
      <w:r>
        <w:rPr>
          <w:rFonts w:ascii="Calibri" w:hAnsi="Calibri" w:cs="Calibri" w:eastAsia="PingFang SC"/>
          <w:color w:val="3D3A33"/>
          <w:sz w:val="22"/>
          <w:szCs w:val="22"/>
        </w:rPr>
        <w:t xml:space="preserve"> connected to behaviour the recipient can influence.</w:t>
      </w:r>
    </w:p>
    <w:p>
      <w:pPr>
        <w:spacing w:before="0" w:after="160" w:line="312" w:lineRule="auto"/>
      </w:pPr>
      <w:r>
        <w:rPr>
          <w:rFonts w:ascii="Calibri" w:hAnsi="Calibri" w:cs="Calibri" w:eastAsia="PingFang SC"/>
          <w:color w:val="3D3A33"/>
          <w:sz w:val="22"/>
          <w:szCs w:val="22"/>
        </w:rPr>
        <w:t xml:space="preserve">Give observable, specific and repeatable examples rather than sweeping interpretations of character. Sharing experience with a trusted mentor can support insight because difficult information is easier to explore in a relationship of trust.</w:t>
      </w:r>
    </w:p>
    <w:p>
      <w:pPr>
        <w:spacing w:before="240" w:after="80" w:line="312" w:lineRule="auto"/>
      </w:pPr>
      <w:r>
        <w:rPr>
          <w:rFonts w:ascii="Calibri" w:hAnsi="Calibri" w:cs="Calibri" w:eastAsia="PingFang SC"/>
          <w:b/>
          <w:color w:val="175244"/>
          <w:sz w:val="22"/>
          <w:szCs w:val="22"/>
        </w:rPr>
        <w:t xml:space="preserve">Understanding and respecting individual differences</w:t>
      </w:r>
    </w:p>
    <w:p>
      <w:pPr>
        <w:spacing w:before="0" w:after="160" w:line="312" w:lineRule="auto"/>
      </w:pPr>
      <w:r>
        <w:rPr>
          <w:rFonts w:ascii="Calibri" w:hAnsi="Calibri" w:cs="Calibri" w:eastAsia="PingFang SC"/>
          <w:color w:val="3D3A33"/>
          <w:sz w:val="22"/>
          <w:szCs w:val="22"/>
        </w:rPr>
        <w:t xml:space="preserve">Self-awareness involves understanding one's own distinctive strengths and recognising differences in others, within and across cultures. Self-disclosure, sharing and trusting dialogue allow people to test their interpretations rather than relying on private assumptions.</w:t>
      </w:r>
    </w:p>
    <w:p>
      <w:pPr>
        <w:spacing w:before="0" w:after="160" w:line="312" w:lineRule="auto"/>
      </w:pPr>
      <w:r>
        <w:rPr>
          <w:rFonts w:ascii="Calibri" w:hAnsi="Calibri" w:cs="Calibri" w:eastAsia="PingFang SC"/>
          <w:color w:val="3D3A33"/>
          <w:sz w:val="22"/>
          <w:szCs w:val="22"/>
        </w:rPr>
        <w:t xml:space="preserve">Distinguish </w:t>
      </w:r>
      <w:r>
        <w:rPr>
          <w:rFonts w:ascii="Calibri" w:hAnsi="Calibri" w:cs="Calibri" w:eastAsia="PingFang SC"/>
          <w:b/>
          <w:color w:val="3D3A33"/>
          <w:sz w:val="22"/>
          <w:szCs w:val="22"/>
        </w:rPr>
        <w:t xml:space="preserve">describing differences</w:t>
      </w:r>
      <w:r>
        <w:rPr>
          <w:rFonts w:ascii="Calibri" w:hAnsi="Calibri" w:cs="Calibri" w:eastAsia="PingFang SC"/>
          <w:color w:val="3D3A33"/>
          <w:sz w:val="22"/>
          <w:szCs w:val="22"/>
        </w:rPr>
        <w:t xml:space="preserve"> from </w:t>
      </w:r>
      <w:r>
        <w:rPr>
          <w:rFonts w:ascii="Calibri" w:hAnsi="Calibri" w:cs="Calibri" w:eastAsia="PingFang SC"/>
          <w:b/>
          <w:color w:val="3D3A33"/>
          <w:sz w:val="22"/>
          <w:szCs w:val="22"/>
        </w:rPr>
        <w:t xml:space="preserve">ranking people through prejudicial distinctions</w:t>
      </w:r>
      <w:r>
        <w:rPr>
          <w:rFonts w:ascii="Calibri" w:hAnsi="Calibri" w:cs="Calibri" w:eastAsia="PingFang SC"/>
          <w:color w:val="3D3A33"/>
          <w:sz w:val="22"/>
          <w:szCs w:val="22"/>
        </w:rPr>
        <w:t xml:space="preserve">. An observed difference is information; it does not automatically establish that one person or culture is superior.</w:t>
      </w:r>
    </w:p>
    <w:p>
      <w:pPr>
        <w:spacing w:before="0" w:after="160" w:line="312" w:lineRule="auto"/>
      </w:pPr>
      <w:r>
        <w:rPr>
          <w:rFonts w:ascii="Calibri" w:hAnsi="Calibri" w:cs="Calibri" w:eastAsia="PingFang SC"/>
          <w:color w:val="3D3A33"/>
          <w:sz w:val="22"/>
          <w:szCs w:val="22"/>
        </w:rPr>
        <w:t xml:space="preserve">A homogeneous leadership group can develop structural blind spots when its members approach problems in similar ways. Diversity can introduce alternative perspectives, provided those perspectives influence decisions rather than merely being present.</w:t>
      </w:r>
    </w:p>
    <w:p>
      <w:pPr>
        <w:spacing w:before="240" w:after="80" w:line="312" w:lineRule="auto"/>
      </w:pPr>
      <w:r>
        <w:rPr>
          <w:rFonts w:ascii="Calibri" w:hAnsi="Calibri" w:cs="Calibri" w:eastAsia="PingFang SC"/>
          <w:b/>
          <w:color w:val="9E3D34"/>
          <w:sz w:val="26"/>
          <w:szCs w:val="26"/>
        </w:rPr>
        <w:t xml:space="preserve">Five dimensions of self-awareness</w:t>
      </w:r>
    </w:p>
    <w:p>
      <w:pPr>
        <w:spacing w:before="240" w:after="80" w:line="312" w:lineRule="auto"/>
      </w:pPr>
      <w:r>
        <w:rPr>
          <w:rFonts w:ascii="Calibri" w:hAnsi="Calibri" w:cs="Calibri" w:eastAsia="PingFang SC"/>
          <w:b/>
          <w:color w:val="175244"/>
          <w:sz w:val="22"/>
          <w:szCs w:val="22"/>
        </w:rPr>
        <w:t xml:space="preserve">1. Values</w:t>
      </w:r>
    </w:p>
    <w:p>
      <w:pPr>
        <w:spacing w:before="0" w:after="160" w:line="312" w:lineRule="auto"/>
      </w:pPr>
      <w:r>
        <w:rPr>
          <w:rFonts w:ascii="Calibri" w:hAnsi="Calibri" w:cs="Calibri" w:eastAsia="PingFang SC"/>
          <w:b/>
          <w:color w:val="3D3A33"/>
          <w:sz w:val="22"/>
          <w:szCs w:val="22"/>
        </w:rPr>
        <w:t xml:space="preserve">Values</w:t>
      </w:r>
      <w:r>
        <w:rPr>
          <w:rFonts w:ascii="Calibri" w:hAnsi="Calibri" w:cs="Calibri" w:eastAsia="PingFang SC"/>
          <w:color w:val="3D3A33"/>
          <w:sz w:val="22"/>
          <w:szCs w:val="22"/>
        </w:rPr>
        <w:t xml:space="preserve"> are enduring beliefs about what matters and what is desirable. They underpin attitudes and preferences and develop through experience, family, country, ethnicity and tradition. They are relatively stable, not necessarily unchangeable.</w:t>
      </w:r>
    </w:p>
    <w:p>
      <w:pPr>
        <w:spacing w:before="0" w:after="160" w:line="312" w:lineRule="auto"/>
      </w:pPr>
      <w:r>
        <w:rPr>
          <w:rFonts w:ascii="Calibri" w:hAnsi="Calibri" w:cs="Calibri" w:eastAsia="PingFang SC"/>
          <w:color w:val="3D3A33"/>
          <w:sz w:val="22"/>
          <w:szCs w:val="22"/>
        </w:rPr>
        <w:t xml:space="preserve">Seven cultural-value contrasts provide a vocabulary for examining assumptions: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3055"/>
        <w:gridCol w:w="6305"/>
      </w:tblGrid>
      <w:tr>
        <w:trPr>
          <w:tblHeader/>
        </w:trPr>
        <w:tc>
          <w:tcPr>
            <w:tcW w:w="3055" w:type="dxa"/>
            <w:shd w:val="clear" w:color="auto" w:fill="EAE7DD"/>
          </w:tcPr>
          <w:p>
            <w:pPr>
              <w:spacing w:before="0" w:after="0" w:line="312" w:lineRule="auto"/>
            </w:pPr>
            <w:r>
              <w:rPr>
                <w:rFonts w:ascii="Calibri" w:hAnsi="Calibri" w:cs="Calibri" w:eastAsia="PingFang SC"/>
                <w:b/>
                <w:color w:val="3D3A33"/>
                <w:sz w:val="22"/>
                <w:szCs w:val="22"/>
              </w:rPr>
              <w:t xml:space="preserve">Dimension</w:t>
            </w:r>
          </w:p>
        </w:tc>
        <w:tc>
          <w:tcPr>
            <w:tcW w:w="6305" w:type="dxa"/>
            <w:shd w:val="clear" w:color="auto" w:fill="EAE7DD"/>
          </w:tcPr>
          <w:p>
            <w:pPr>
              <w:spacing w:before="0" w:after="0" w:line="312" w:lineRule="auto"/>
            </w:pPr>
            <w:r>
              <w:rPr>
                <w:rFonts w:ascii="Calibri" w:hAnsi="Calibri" w:cs="Calibri" w:eastAsia="PingFang SC"/>
                <w:b/>
                <w:color w:val="3D3A33"/>
                <w:sz w:val="22"/>
                <w:szCs w:val="22"/>
              </w:rPr>
              <w:t xml:space="preserve">Contrast</w:t>
            </w:r>
          </w:p>
        </w:tc>
      </w:tr>
      <w:tr>
        <w:tc>
          <w:tcPr>
            <w:tcW w:w="3055" w:type="dxa"/>
          </w:tcPr>
          <w:p>
            <w:pPr>
              <w:spacing w:before="0" w:after="0" w:line="312" w:lineRule="auto"/>
            </w:pPr>
            <w:r>
              <w:rPr>
                <w:rFonts w:ascii="Calibri" w:hAnsi="Calibri" w:cs="Calibri" w:eastAsia="PingFang SC"/>
                <w:color w:val="3D3A33"/>
                <w:sz w:val="22"/>
                <w:szCs w:val="22"/>
              </w:rPr>
              <w:t xml:space="preserve">Universalism / particularism</w:t>
            </w:r>
          </w:p>
        </w:tc>
        <w:tc>
          <w:tcPr>
            <w:tcW w:w="6305" w:type="dxa"/>
          </w:tcPr>
          <w:p>
            <w:pPr>
              <w:spacing w:before="0" w:after="0" w:line="312" w:lineRule="auto"/>
            </w:pPr>
            <w:r>
              <w:rPr>
                <w:rFonts w:ascii="Calibri" w:hAnsi="Calibri" w:cs="Calibri" w:eastAsia="PingFang SC"/>
                <w:color w:val="3D3A33"/>
                <w:sz w:val="22"/>
                <w:szCs w:val="22"/>
              </w:rPr>
              <w:t xml:space="preserve">General rules versus attention to particular relationships and circumstances</w:t>
            </w:r>
          </w:p>
        </w:tc>
      </w:tr>
      <w:tr>
        <w:tc>
          <w:tcPr>
            <w:tcW w:w="3055" w:type="dxa"/>
          </w:tcPr>
          <w:p>
            <w:pPr>
              <w:spacing w:before="0" w:after="0" w:line="312" w:lineRule="auto"/>
            </w:pPr>
            <w:r>
              <w:rPr>
                <w:rFonts w:ascii="Calibri" w:hAnsi="Calibri" w:cs="Calibri" w:eastAsia="PingFang SC"/>
                <w:color w:val="3D3A33"/>
                <w:sz w:val="22"/>
                <w:szCs w:val="22"/>
              </w:rPr>
              <w:t xml:space="preserve">Individualism / collectivism</w:t>
            </w:r>
          </w:p>
        </w:tc>
        <w:tc>
          <w:tcPr>
            <w:tcW w:w="6305" w:type="dxa"/>
          </w:tcPr>
          <w:p>
            <w:pPr>
              <w:spacing w:before="0" w:after="0" w:line="312" w:lineRule="auto"/>
            </w:pPr>
            <w:r>
              <w:rPr>
                <w:rFonts w:ascii="Calibri" w:hAnsi="Calibri" w:cs="Calibri" w:eastAsia="PingFang SC"/>
                <w:color w:val="3D3A33"/>
                <w:sz w:val="22"/>
                <w:szCs w:val="22"/>
              </w:rPr>
              <w:t xml:space="preserve">Individual autonomy versus group obligations and identity</w:t>
            </w:r>
          </w:p>
        </w:tc>
      </w:tr>
      <w:tr>
        <w:tc>
          <w:tcPr>
            <w:tcW w:w="3055" w:type="dxa"/>
          </w:tcPr>
          <w:p>
            <w:pPr>
              <w:spacing w:before="0" w:after="0" w:line="312" w:lineRule="auto"/>
            </w:pPr>
            <w:r>
              <w:rPr>
                <w:rFonts w:ascii="Calibri" w:hAnsi="Calibri" w:cs="Calibri" w:eastAsia="PingFang SC"/>
                <w:color w:val="3D3A33"/>
                <w:sz w:val="22"/>
                <w:szCs w:val="22"/>
              </w:rPr>
              <w:t xml:space="preserve">Affective / neutral</w:t>
            </w:r>
          </w:p>
        </w:tc>
        <w:tc>
          <w:tcPr>
            <w:tcW w:w="6305" w:type="dxa"/>
          </w:tcPr>
          <w:p>
            <w:pPr>
              <w:spacing w:before="0" w:after="0" w:line="312" w:lineRule="auto"/>
            </w:pPr>
            <w:r>
              <w:rPr>
                <w:rFonts w:ascii="Calibri" w:hAnsi="Calibri" w:cs="Calibri" w:eastAsia="PingFang SC"/>
                <w:color w:val="3D3A33"/>
                <w:sz w:val="22"/>
                <w:szCs w:val="22"/>
              </w:rPr>
              <w:t xml:space="preserve">More open versus more restrained emotional expression</w:t>
            </w:r>
          </w:p>
        </w:tc>
      </w:tr>
      <w:tr>
        <w:tc>
          <w:tcPr>
            <w:tcW w:w="3055" w:type="dxa"/>
          </w:tcPr>
          <w:p>
            <w:pPr>
              <w:spacing w:before="0" w:after="0" w:line="312" w:lineRule="auto"/>
            </w:pPr>
            <w:r>
              <w:rPr>
                <w:rFonts w:ascii="Calibri" w:hAnsi="Calibri" w:cs="Calibri" w:eastAsia="PingFang SC"/>
                <w:color w:val="3D3A33"/>
                <w:sz w:val="22"/>
                <w:szCs w:val="22"/>
              </w:rPr>
              <w:t xml:space="preserve">Specific / diffuse</w:t>
            </w:r>
          </w:p>
        </w:tc>
        <w:tc>
          <w:tcPr>
            <w:tcW w:w="6305" w:type="dxa"/>
          </w:tcPr>
          <w:p>
            <w:pPr>
              <w:spacing w:before="0" w:after="0" w:line="312" w:lineRule="auto"/>
            </w:pPr>
            <w:r>
              <w:rPr>
                <w:rFonts w:ascii="Calibri" w:hAnsi="Calibri" w:cs="Calibri" w:eastAsia="PingFang SC"/>
                <w:color w:val="3D3A33"/>
                <w:sz w:val="22"/>
                <w:szCs w:val="22"/>
              </w:rPr>
              <w:t xml:space="preserve">More separate versus more overlapping personal and work relationships</w:t>
            </w:r>
          </w:p>
        </w:tc>
      </w:tr>
      <w:tr>
        <w:tc>
          <w:tcPr>
            <w:tcW w:w="3055" w:type="dxa"/>
          </w:tcPr>
          <w:p>
            <w:pPr>
              <w:spacing w:before="0" w:after="0" w:line="312" w:lineRule="auto"/>
            </w:pPr>
            <w:r>
              <w:rPr>
                <w:rFonts w:ascii="Calibri" w:hAnsi="Calibri" w:cs="Calibri" w:eastAsia="PingFang SC"/>
                <w:color w:val="3D3A33"/>
                <w:sz w:val="22"/>
                <w:szCs w:val="22"/>
              </w:rPr>
              <w:t xml:space="preserve">Achievement / ascription</w:t>
            </w:r>
          </w:p>
        </w:tc>
        <w:tc>
          <w:tcPr>
            <w:tcW w:w="6305" w:type="dxa"/>
          </w:tcPr>
          <w:p>
            <w:pPr>
              <w:spacing w:before="0" w:after="0" w:line="312" w:lineRule="auto"/>
            </w:pPr>
            <w:r>
              <w:rPr>
                <w:rFonts w:ascii="Calibri" w:hAnsi="Calibri" w:cs="Calibri" w:eastAsia="PingFang SC"/>
                <w:color w:val="3D3A33"/>
                <w:sz w:val="22"/>
                <w:szCs w:val="22"/>
              </w:rPr>
              <w:t xml:space="preserve">Status associated with accomplishments versus attributed position or identity</w:t>
            </w:r>
          </w:p>
        </w:tc>
      </w:tr>
      <w:tr>
        <w:tc>
          <w:tcPr>
            <w:tcW w:w="3055" w:type="dxa"/>
          </w:tcPr>
          <w:p>
            <w:pPr>
              <w:spacing w:before="0" w:after="0" w:line="312" w:lineRule="auto"/>
            </w:pPr>
            <w:r>
              <w:rPr>
                <w:rFonts w:ascii="Calibri" w:hAnsi="Calibri" w:cs="Calibri" w:eastAsia="PingFang SC"/>
                <w:color w:val="3D3A33"/>
                <w:sz w:val="22"/>
                <w:szCs w:val="22"/>
              </w:rPr>
              <w:t xml:space="preserve">Past / present / future</w:t>
            </w:r>
          </w:p>
        </w:tc>
        <w:tc>
          <w:tcPr>
            <w:tcW w:w="6305" w:type="dxa"/>
          </w:tcPr>
          <w:p>
            <w:pPr>
              <w:spacing w:before="0" w:after="0" w:line="312" w:lineRule="auto"/>
            </w:pPr>
            <w:r>
              <w:rPr>
                <w:rFonts w:ascii="Calibri" w:hAnsi="Calibri" w:cs="Calibri" w:eastAsia="PingFang SC"/>
                <w:color w:val="3D3A33"/>
                <w:sz w:val="22"/>
                <w:szCs w:val="22"/>
              </w:rPr>
              <w:t xml:space="preserve">Relative emphasis on tradition, present circumstances or future possibilities</w:t>
            </w:r>
          </w:p>
        </w:tc>
      </w:tr>
      <w:tr>
        <w:tc>
          <w:tcPr>
            <w:tcW w:w="3055" w:type="dxa"/>
          </w:tcPr>
          <w:p>
            <w:pPr>
              <w:spacing w:before="0" w:after="0" w:line="312" w:lineRule="auto"/>
            </w:pPr>
            <w:r>
              <w:rPr>
                <w:rFonts w:ascii="Calibri" w:hAnsi="Calibri" w:cs="Calibri" w:eastAsia="PingFang SC"/>
                <w:color w:val="3D3A33"/>
                <w:sz w:val="22"/>
                <w:szCs w:val="22"/>
              </w:rPr>
              <w:t xml:space="preserve">Internal / external control</w:t>
            </w:r>
          </w:p>
        </w:tc>
        <w:tc>
          <w:tcPr>
            <w:tcW w:w="6305" w:type="dxa"/>
          </w:tcPr>
          <w:p>
            <w:pPr>
              <w:spacing w:before="0" w:after="0" w:line="312" w:lineRule="auto"/>
            </w:pPr>
            <w:r>
              <w:rPr>
                <w:rFonts w:ascii="Calibri" w:hAnsi="Calibri" w:cs="Calibri" w:eastAsia="PingFang SC"/>
                <w:color w:val="3D3A33"/>
                <w:sz w:val="22"/>
                <w:szCs w:val="22"/>
              </w:rPr>
              <w:t xml:space="preserve">Emphasis on shaping circumstances versus adapting to external conditions</w:t>
            </w:r>
          </w:p>
        </w:tc>
      </w:tr>
    </w:tbl>
    <w:p>
      <w:pPr>
        <w:spacing w:before="0" w:after="160" w:line="312" w:lineRule="auto"/>
      </w:pPr>
      <w:r>
        <w:rPr>
          <w:rFonts w:ascii="Calibri" w:hAnsi="Calibri" w:cs="Calibri" w:eastAsia="PingFang SC"/>
          <w:color w:val="3D3A33"/>
          <w:sz w:val="22"/>
          <w:szCs w:val="22"/>
        </w:rPr>
        <w:t xml:space="preserve">These contrasts invite enquiry; they do not justify predicting an individual's behaviour from nationality.</w:t>
      </w:r>
    </w:p>
    <w:p>
      <w:pPr>
        <w:spacing w:before="0" w:after="160" w:line="312" w:lineRule="auto"/>
      </w:pPr>
      <w:r>
        <w:rPr>
          <w:rFonts w:ascii="Calibri" w:hAnsi="Calibri" w:cs="Calibri" w:eastAsia="PingFang SC"/>
          <w:color w:val="3D3A33"/>
          <w:sz w:val="22"/>
          <w:szCs w:val="22"/>
        </w:rPr>
        <w:t xml:space="preserve">Management can emphasise </w:t>
      </w:r>
      <w:r>
        <w:rPr>
          <w:rFonts w:ascii="Calibri" w:hAnsi="Calibri" w:cs="Calibri" w:eastAsia="PingFang SC"/>
          <w:b/>
          <w:color w:val="3D3A33"/>
          <w:sz w:val="22"/>
          <w:szCs w:val="22"/>
        </w:rPr>
        <w:t xml:space="preserve">instruction</w:t>
      </w:r>
      <w:r>
        <w:rPr>
          <w:rFonts w:ascii="Calibri" w:hAnsi="Calibri" w:cs="Calibri" w:eastAsia="PingFang SC"/>
          <w:color w:val="3D3A33"/>
          <w:sz w:val="22"/>
          <w:szCs w:val="22"/>
        </w:rPr>
        <w:t xml:space="preserve"> through prescribed actions, </w:t>
      </w:r>
      <w:r>
        <w:rPr>
          <w:rFonts w:ascii="Calibri" w:hAnsi="Calibri" w:cs="Calibri" w:eastAsia="PingFang SC"/>
          <w:b/>
          <w:color w:val="3D3A33"/>
          <w:sz w:val="22"/>
          <w:szCs w:val="22"/>
        </w:rPr>
        <w:t xml:space="preserve">objectives</w:t>
      </w:r>
      <w:r>
        <w:rPr>
          <w:rFonts w:ascii="Calibri" w:hAnsi="Calibri" w:cs="Calibri" w:eastAsia="PingFang SC"/>
          <w:color w:val="3D3A33"/>
          <w:sz w:val="22"/>
          <w:szCs w:val="22"/>
        </w:rPr>
        <w:t xml:space="preserve"> through desired results, or </w:t>
      </w:r>
      <w:r>
        <w:rPr>
          <w:rFonts w:ascii="Calibri" w:hAnsi="Calibri" w:cs="Calibri" w:eastAsia="PingFang SC"/>
          <w:b/>
          <w:color w:val="3D3A33"/>
          <w:sz w:val="22"/>
          <w:szCs w:val="22"/>
        </w:rPr>
        <w:t xml:space="preserve">values</w:t>
      </w:r>
      <w:r>
        <w:rPr>
          <w:rFonts w:ascii="Calibri" w:hAnsi="Calibri" w:cs="Calibri" w:eastAsia="PingFang SC"/>
          <w:color w:val="3D3A33"/>
          <w:sz w:val="22"/>
          <w:szCs w:val="22"/>
        </w:rPr>
        <w:t xml:space="preserve"> through shared principles. Managers face value conflicts between economic performance, such as costs and profit, and social performance, such as employee and customer satisfaction.</w:t>
      </w:r>
    </w:p>
    <w:p>
      <w:pPr>
        <w:spacing w:before="0" w:after="160" w:line="312" w:lineRule="auto"/>
      </w:pPr>
      <w:r>
        <w:rPr>
          <w:rFonts w:ascii="Calibri" w:hAnsi="Calibri" w:cs="Calibri" w:eastAsia="PingFang SC"/>
          <w:b/>
          <w:color w:val="3D3A33"/>
          <w:sz w:val="22"/>
          <w:szCs w:val="22"/>
        </w:rPr>
        <w:t xml:space="preserve">Instrumental values</w:t>
      </w:r>
      <w:r>
        <w:rPr>
          <w:rFonts w:ascii="Calibri" w:hAnsi="Calibri" w:cs="Calibri" w:eastAsia="PingFang SC"/>
          <w:color w:val="3D3A33"/>
          <w:sz w:val="22"/>
          <w:szCs w:val="22"/>
        </w:rPr>
        <w:t xml:space="preserve"> concern preferred means of acting; </w:t>
      </w:r>
      <w:r>
        <w:rPr>
          <w:rFonts w:ascii="Calibri" w:hAnsi="Calibri" w:cs="Calibri" w:eastAsia="PingFang SC"/>
          <w:b/>
          <w:color w:val="3D3A33"/>
          <w:sz w:val="22"/>
          <w:szCs w:val="22"/>
        </w:rPr>
        <w:t xml:space="preserve">terminal values</w:t>
      </w:r>
      <w:r>
        <w:rPr>
          <w:rFonts w:ascii="Calibri" w:hAnsi="Calibri" w:cs="Calibri" w:eastAsia="PingFang SC"/>
          <w:color w:val="3D3A33"/>
          <w:sz w:val="22"/>
          <w:szCs w:val="22"/>
        </w:rPr>
        <w:t xml:space="preserve"> concern desired end states. A project disagreement may concern how to deliver, what to deliver, or both.</w:t>
      </w:r>
    </w:p>
    <w:p>
      <w:pPr>
        <w:spacing w:before="240" w:after="80" w:line="312" w:lineRule="auto"/>
      </w:pPr>
      <w:r>
        <w:rPr>
          <w:rFonts w:ascii="Calibri" w:hAnsi="Calibri" w:cs="Calibri" w:eastAsia="PingFang SC"/>
          <w:b/>
          <w:color w:val="175244"/>
          <w:sz w:val="22"/>
          <w:szCs w:val="22"/>
        </w:rPr>
        <w:t xml:space="preserve">2. Interpersonal style</w:t>
      </w:r>
    </w:p>
    <w:p>
      <w:pPr>
        <w:spacing w:before="0" w:after="160" w:line="312" w:lineRule="auto"/>
      </w:pPr>
      <w:r>
        <w:rPr>
          <w:rFonts w:ascii="Calibri" w:hAnsi="Calibri" w:cs="Calibri" w:eastAsia="PingFang SC"/>
          <w:b/>
          <w:color w:val="3D3A33"/>
          <w:sz w:val="22"/>
          <w:szCs w:val="22"/>
        </w:rPr>
        <w:t xml:space="preserve">Interpersonal style</w:t>
      </w:r>
      <w:r>
        <w:rPr>
          <w:rFonts w:ascii="Calibri" w:hAnsi="Calibri" w:cs="Calibri" w:eastAsia="PingFang SC"/>
          <w:color w:val="3D3A33"/>
          <w:sz w:val="22"/>
          <w:szCs w:val="22"/>
        </w:rPr>
        <w:t xml:space="preserve"> is a recurring way of influencing and communicating with other people. Recognising one's cultural values and communication behaviour helps build effective working relationships.</w:t>
      </w:r>
    </w:p>
    <w:p>
      <w:pPr>
        <w:spacing w:before="0" w:after="160" w:line="312" w:lineRule="auto"/>
      </w:pP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Leadership Enhancement Team Style (LETS)</w:t>
      </w:r>
      <w:r>
        <w:rPr>
          <w:rFonts w:ascii="Calibri" w:hAnsi="Calibri" w:cs="Calibri" w:eastAsia="PingFang SC"/>
          <w:color w:val="3D3A33"/>
          <w:sz w:val="22"/>
          <w:szCs w:val="22"/>
        </w:rPr>
        <w:t xml:space="preserve"> framework emphasises the importance of non-verbal behaviour. Matching aspects of another person's non-verbal communication can increase a sense of similarity and support communication. This does not establish a fixed percentage of meaning carried by non-verbal signals.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190"/>
        <w:gridCol w:w="7170"/>
      </w:tblGrid>
      <w:tr>
        <w:trPr>
          <w:tblHeader/>
        </w:trPr>
        <w:tc>
          <w:tcPr>
            <w:tcW w:w="2190" w:type="dxa"/>
            <w:shd w:val="clear" w:color="auto" w:fill="EAE7DD"/>
          </w:tcPr>
          <w:p>
            <w:pPr>
              <w:spacing w:before="0" w:after="0" w:line="312" w:lineRule="auto"/>
            </w:pPr>
            <w:r>
              <w:rPr>
                <w:rFonts w:ascii="Calibri" w:hAnsi="Calibri" w:cs="Calibri" w:eastAsia="PingFang SC"/>
                <w:b/>
                <w:color w:val="3D3A33"/>
                <w:sz w:val="22"/>
                <w:szCs w:val="22"/>
              </w:rPr>
              <w:t xml:space="preserve">Team leadership role</w:t>
            </w:r>
          </w:p>
        </w:tc>
        <w:tc>
          <w:tcPr>
            <w:tcW w:w="7170" w:type="dxa"/>
            <w:shd w:val="clear" w:color="auto" w:fill="EAE7DD"/>
          </w:tcPr>
          <w:p>
            <w:pPr>
              <w:spacing w:before="0" w:after="0" w:line="312" w:lineRule="auto"/>
            </w:pPr>
            <w:r>
              <w:rPr>
                <w:rFonts w:ascii="Calibri" w:hAnsi="Calibri" w:cs="Calibri" w:eastAsia="PingFang SC"/>
                <w:b/>
                <w:color w:val="3D3A33"/>
                <w:sz w:val="22"/>
                <w:szCs w:val="22"/>
              </w:rPr>
              <w:t xml:space="preserve">Typical emphasis</w:t>
            </w:r>
          </w:p>
        </w:tc>
      </w:tr>
      <w:tr>
        <w:tc>
          <w:tcPr>
            <w:tcW w:w="2190" w:type="dxa"/>
          </w:tcPr>
          <w:p>
            <w:pPr>
              <w:spacing w:before="0" w:after="0" w:line="312" w:lineRule="auto"/>
            </w:pPr>
            <w:r>
              <w:rPr>
                <w:rFonts w:ascii="Calibri" w:hAnsi="Calibri" w:cs="Calibri" w:eastAsia="PingFang SC"/>
                <w:color w:val="3D3A33"/>
                <w:sz w:val="22"/>
                <w:szCs w:val="22"/>
              </w:rPr>
              <w:t xml:space="preserve">Planner</w:t>
            </w:r>
          </w:p>
        </w:tc>
        <w:tc>
          <w:tcPr>
            <w:tcW w:w="7170" w:type="dxa"/>
          </w:tcPr>
          <w:p>
            <w:pPr>
              <w:spacing w:before="0" w:after="0" w:line="312" w:lineRule="auto"/>
            </w:pPr>
            <w:r>
              <w:rPr>
                <w:rFonts w:ascii="Calibri" w:hAnsi="Calibri" w:cs="Calibri" w:eastAsia="PingFang SC"/>
                <w:color w:val="3D3A33"/>
                <w:sz w:val="22"/>
                <w:szCs w:val="22"/>
              </w:rPr>
              <w:t xml:space="preserve">Planning, monitoring and coordinating to make things happen</w:t>
            </w:r>
          </w:p>
        </w:tc>
      </w:tr>
      <w:tr>
        <w:tc>
          <w:tcPr>
            <w:tcW w:w="2190" w:type="dxa"/>
          </w:tcPr>
          <w:p>
            <w:pPr>
              <w:spacing w:before="0" w:after="0" w:line="312" w:lineRule="auto"/>
            </w:pPr>
            <w:r>
              <w:rPr>
                <w:rFonts w:ascii="Calibri" w:hAnsi="Calibri" w:cs="Calibri" w:eastAsia="PingFang SC"/>
                <w:color w:val="3D3A33"/>
                <w:sz w:val="22"/>
                <w:szCs w:val="22"/>
              </w:rPr>
              <w:t xml:space="preserve">Analyser</w:t>
            </w:r>
          </w:p>
        </w:tc>
        <w:tc>
          <w:tcPr>
            <w:tcW w:w="7170" w:type="dxa"/>
          </w:tcPr>
          <w:p>
            <w:pPr>
              <w:spacing w:before="0" w:after="0" w:line="312" w:lineRule="auto"/>
            </w:pPr>
            <w:r>
              <w:rPr>
                <w:rFonts w:ascii="Calibri" w:hAnsi="Calibri" w:cs="Calibri" w:eastAsia="PingFang SC"/>
                <w:color w:val="3D3A33"/>
                <w:sz w:val="22"/>
                <w:szCs w:val="22"/>
              </w:rPr>
              <w:t xml:space="preserve">Methods, procedures, rules and quality</w:t>
            </w:r>
          </w:p>
        </w:tc>
      </w:tr>
      <w:tr>
        <w:tc>
          <w:tcPr>
            <w:tcW w:w="2190" w:type="dxa"/>
          </w:tcPr>
          <w:p>
            <w:pPr>
              <w:spacing w:before="0" w:after="0" w:line="312" w:lineRule="auto"/>
            </w:pPr>
            <w:r>
              <w:rPr>
                <w:rFonts w:ascii="Calibri" w:hAnsi="Calibri" w:cs="Calibri" w:eastAsia="PingFang SC"/>
                <w:color w:val="3D3A33"/>
                <w:sz w:val="22"/>
                <w:szCs w:val="22"/>
              </w:rPr>
              <w:t xml:space="preserve">Developer</w:t>
            </w:r>
          </w:p>
        </w:tc>
        <w:tc>
          <w:tcPr>
            <w:tcW w:w="7170" w:type="dxa"/>
          </w:tcPr>
          <w:p>
            <w:pPr>
              <w:spacing w:before="0" w:after="0" w:line="312" w:lineRule="auto"/>
            </w:pPr>
            <w:r>
              <w:rPr>
                <w:rFonts w:ascii="Calibri" w:hAnsi="Calibri" w:cs="Calibri" w:eastAsia="PingFang SC"/>
                <w:color w:val="3D3A33"/>
                <w:sz w:val="22"/>
                <w:szCs w:val="22"/>
              </w:rPr>
              <w:t xml:space="preserve">Pursuing opportunities and expanding the project</w:t>
            </w:r>
          </w:p>
        </w:tc>
      </w:tr>
      <w:tr>
        <w:tc>
          <w:tcPr>
            <w:tcW w:w="2190" w:type="dxa"/>
          </w:tcPr>
          <w:p>
            <w:pPr>
              <w:spacing w:before="0" w:after="0" w:line="312" w:lineRule="auto"/>
            </w:pPr>
            <w:r>
              <w:rPr>
                <w:rFonts w:ascii="Calibri" w:hAnsi="Calibri" w:cs="Calibri" w:eastAsia="PingFang SC"/>
                <w:color w:val="3D3A33"/>
                <w:sz w:val="22"/>
                <w:szCs w:val="22"/>
              </w:rPr>
              <w:t xml:space="preserve">Creator</w:t>
            </w:r>
          </w:p>
        </w:tc>
        <w:tc>
          <w:tcPr>
            <w:tcW w:w="7170" w:type="dxa"/>
          </w:tcPr>
          <w:p>
            <w:pPr>
              <w:spacing w:before="0" w:after="0" w:line="312" w:lineRule="auto"/>
            </w:pPr>
            <w:r>
              <w:rPr>
                <w:rFonts w:ascii="Calibri" w:hAnsi="Calibri" w:cs="Calibri" w:eastAsia="PingFang SC"/>
                <w:color w:val="3D3A33"/>
                <w:sz w:val="22"/>
                <w:szCs w:val="22"/>
              </w:rPr>
              <w:t xml:space="preserve">Innovative problem-solving, energy and enthusiasm</w:t>
            </w:r>
          </w:p>
        </w:tc>
      </w:tr>
    </w:tbl>
    <w:p>
      <w:pPr>
        <w:spacing w:before="0" w:after="160" w:line="312" w:lineRule="auto"/>
      </w:pPr>
      <w:r>
        <w:rPr>
          <w:rFonts w:ascii="Calibri" w:hAnsi="Calibri" w:cs="Calibri" w:eastAsia="PingFang SC"/>
          <w:color w:val="3D3A33"/>
          <w:sz w:val="22"/>
          <w:szCs w:val="22"/>
        </w:rPr>
        <w:t xml:space="preserve">These are roles and tendencies, not fixed personality identities.</w:t>
      </w:r>
    </w:p>
    <w:p>
      <w:pPr>
        <w:spacing w:before="0" w:after="160" w:line="312" w:lineRule="auto"/>
      </w:pPr>
      <w:r>
        <w:rPr>
          <w:rFonts w:ascii="Calibri" w:hAnsi="Calibri" w:cs="Calibri" w:eastAsia="PingFang SC"/>
          <w:color w:val="3D3A33"/>
          <w:sz w:val="22"/>
          <w:szCs w:val="22"/>
        </w:rPr>
        <w:t xml:space="preserve">Communication differences can be described along six continua: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Rapid / gradual.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Exaggerated / understated.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Linear / lateral.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Detail / concept.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Self-evaluation / evaluation by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Initiating / responding.</w:t>
      </w:r>
    </w:p>
    <w:p>
      <w:pPr>
        <w:spacing w:before="0" w:after="160" w:line="312" w:lineRule="auto"/>
      </w:pPr>
      <w:r>
        <w:rPr>
          <w:rFonts w:ascii="Calibri" w:hAnsi="Calibri" w:cs="Calibri" w:eastAsia="PingFang SC"/>
          <w:color w:val="3D3A33"/>
          <w:sz w:val="22"/>
          <w:szCs w:val="22"/>
        </w:rPr>
        <w:t xml:space="preserve">A related perceptual vocabulary distinguishes visual, auditory and experiential ways of representing experience. Such labels describe preferences and should not become judgements about ability.</w:t>
      </w:r>
    </w:p>
    <w:p>
      <w:pPr>
        <w:spacing w:before="0" w:after="160" w:line="312" w:lineRule="auto"/>
      </w:pPr>
      <w:r>
        <w:rPr>
          <w:rFonts w:ascii="Calibri" w:hAnsi="Calibri" w:cs="Calibri" w:eastAsia="PingFang SC"/>
          <w:color w:val="3D3A33"/>
          <w:sz w:val="22"/>
          <w:szCs w:val="22"/>
        </w:rPr>
        <w:t xml:space="preserve">Named comparison instruments include the Herrmann Brain Dominance Instrument; DISC, a behavioural-style framework commonly described through dominance, influence, steadiness and conscientiousness; the Strong Interest Inventory; the Sixteen Personality Factor Questionnaire (16PF); the Kolb Learning Style Inventory (LSI); the Myers-Briggs Type Indicator (MBTI); and the Honey and Mumford Learning Styles Questionnaire (LSQ). Naming an instrument does not establish its validity for every personnel or development decision.</w:t>
      </w:r>
    </w:p>
    <w:p>
      <w:pPr>
        <w:spacing w:before="240" w:after="80" w:line="312" w:lineRule="auto"/>
      </w:pPr>
      <w:r>
        <w:rPr>
          <w:rFonts w:ascii="Calibri" w:hAnsi="Calibri" w:cs="Calibri" w:eastAsia="PingFang SC"/>
          <w:b/>
          <w:color w:val="175244"/>
          <w:sz w:val="22"/>
          <w:szCs w:val="22"/>
        </w:rPr>
        <w:t xml:space="preserve">3. Emotional intelligence</w:t>
      </w:r>
    </w:p>
    <w:p>
      <w:pPr>
        <w:spacing w:before="0" w:after="160" w:line="312" w:lineRule="auto"/>
      </w:pPr>
      <w:r>
        <w:rPr>
          <w:rFonts w:ascii="Calibri" w:hAnsi="Calibri" w:cs="Calibri" w:eastAsia="PingFang SC"/>
          <w:b/>
          <w:color w:val="3D3A33"/>
          <w:sz w:val="22"/>
          <w:szCs w:val="22"/>
        </w:rPr>
        <w:t xml:space="preserve">Emotional intelligence (EI)</w:t>
      </w:r>
      <w:r>
        <w:rPr>
          <w:rFonts w:ascii="Calibri" w:hAnsi="Calibri" w:cs="Calibri" w:eastAsia="PingFang SC"/>
          <w:color w:val="3D3A33"/>
          <w:sz w:val="22"/>
          <w:szCs w:val="22"/>
        </w:rPr>
        <w:t xml:space="preserve"> concerns recognising and managing emotions in oneself and in relationships. </w:t>
      </w:r>
      <w:r>
        <w:rPr>
          <w:rFonts w:ascii="Calibri" w:hAnsi="Calibri" w:cs="Calibri" w:eastAsia="PingFang SC"/>
          <w:b/>
          <w:color w:val="3D3A33"/>
          <w:sz w:val="22"/>
          <w:szCs w:val="22"/>
        </w:rPr>
        <w:t xml:space="preserve">Emotional quotient (EQ)</w:t>
      </w:r>
      <w:r>
        <w:rPr>
          <w:rFonts w:ascii="Calibri" w:hAnsi="Calibri" w:cs="Calibri" w:eastAsia="PingFang SC"/>
          <w:color w:val="3D3A33"/>
          <w:sz w:val="22"/>
          <w:szCs w:val="22"/>
        </w:rPr>
        <w:t xml:space="preserve"> is often used as a related measurement label. Emotions affect decision-making, problem-solving and conflict; they are part of work rather than irrelevant noise around it.</w:t>
      </w:r>
    </w:p>
    <w:p>
      <w:pPr>
        <w:spacing w:before="0" w:after="160" w:line="312" w:lineRule="auto"/>
      </w:pPr>
      <w:r>
        <w:rPr>
          <w:rFonts w:ascii="Calibri" w:hAnsi="Calibri" w:cs="Calibri" w:eastAsia="PingFang SC"/>
          <w:color w:val="3D3A33"/>
          <w:sz w:val="22"/>
          <w:szCs w:val="22"/>
        </w:rPr>
        <w:t xml:space="preserve">A practical four-capability account is:</w:t>
      </w:r>
    </w:p>
    <w:p>
      <w:pPr>
        <w:numPr>
          <w:ilvl w:val="0"/>
          <w:numId w:val="101"/>
        </w:numPr>
        <w:spacing w:after="80" w:line="312" w:lineRule="auto"/>
      </w:pPr>
      <w:r>
        <w:rPr>
          <w:rFonts w:ascii="Calibri" w:hAnsi="Calibri" w:cs="Calibri" w:eastAsia="PingFang SC"/>
          <w:color w:val="3D3A33"/>
          <w:sz w:val="22"/>
          <w:szCs w:val="22"/>
        </w:rPr>
        <w:t xml:space="preserve">Identify and diagnose one's own emotions.</w:t>
      </w:r>
    </w:p>
    <w:p>
      <w:pPr>
        <w:numPr>
          <w:ilvl w:val="0"/>
          <w:numId w:val="101"/>
        </w:numPr>
        <w:spacing w:after="80" w:line="312" w:lineRule="auto"/>
      </w:pPr>
      <w:r>
        <w:rPr>
          <w:rFonts w:ascii="Calibri" w:hAnsi="Calibri" w:cs="Calibri" w:eastAsia="PingFang SC"/>
          <w:color w:val="3D3A33"/>
          <w:sz w:val="22"/>
          <w:szCs w:val="22"/>
        </w:rPr>
        <w:t xml:space="preserve">Regulate one's own emotions.</w:t>
      </w:r>
    </w:p>
    <w:p>
      <w:pPr>
        <w:numPr>
          <w:ilvl w:val="0"/>
          <w:numId w:val="101"/>
        </w:numPr>
        <w:spacing w:after="80" w:line="312" w:lineRule="auto"/>
      </w:pPr>
      <w:r>
        <w:rPr>
          <w:rFonts w:ascii="Calibri" w:hAnsi="Calibri" w:cs="Calibri" w:eastAsia="PingFang SC"/>
          <w:color w:val="3D3A33"/>
          <w:sz w:val="22"/>
          <w:szCs w:val="22"/>
        </w:rPr>
        <w:t xml:space="preserve">Recognise emotional signals in others.</w:t>
      </w:r>
    </w:p>
    <w:p>
      <w:pPr>
        <w:numPr>
          <w:ilvl w:val="0"/>
          <w:numId w:val="101"/>
        </w:numPr>
        <w:spacing w:after="80" w:line="312" w:lineRule="auto"/>
      </w:pPr>
      <w:r>
        <w:rPr>
          <w:rFonts w:ascii="Calibri" w:hAnsi="Calibri" w:cs="Calibri" w:eastAsia="PingFang SC"/>
          <w:color w:val="3D3A33"/>
          <w:sz w:val="22"/>
          <w:szCs w:val="22"/>
        </w:rPr>
        <w:t xml:space="preserve">Respond appropriately to those signals.</w:t>
      </w:r>
    </w:p>
    <w:p>
      <w:pPr>
        <w:spacing w:before="0" w:after="160" w:line="312" w:lineRule="auto"/>
      </w:pPr>
      <w:r>
        <w:rPr>
          <w:rFonts w:ascii="Calibri" w:hAnsi="Calibri" w:cs="Calibri" w:eastAsia="PingFang SC"/>
          <w:color w:val="3D3A33"/>
          <w:sz w:val="22"/>
          <w:szCs w:val="22"/>
        </w:rPr>
        <w:t xml:space="preserve">These capabilities can develop through learning and practice. They should not be treated as wholly fixed at birth, nor should development be taken to mean that biological and individual differences have no role.</w:t>
      </w:r>
    </w:p>
    <w:p>
      <w:pPr>
        <w:spacing w:before="0" w:after="160" w:line="312" w:lineRule="auto"/>
      </w:pPr>
      <w:r>
        <w:rPr>
          <w:rFonts w:ascii="Calibri" w:hAnsi="Calibri" w:cs="Calibri" w:eastAsia="PingFang SC"/>
          <w:b/>
          <w:color w:val="3D3A33"/>
          <w:sz w:val="22"/>
          <w:szCs w:val="22"/>
        </w:rPr>
        <w:t xml:space="preserve">Intelligence quotient (IQ)</w:t>
      </w:r>
      <w:r>
        <w:rPr>
          <w:rFonts w:ascii="Calibri" w:hAnsi="Calibri" w:cs="Calibri" w:eastAsia="PingFang SC"/>
          <w:color w:val="3D3A33"/>
          <w:sz w:val="22"/>
          <w:szCs w:val="22"/>
        </w:rPr>
        <w:t xml:space="preserve"> concerns measured cognitive ability and is distinct from EI. High cognitive ability alone does not guarantee effective relationships, happiness or leadership. Conversely, that distinction does not establish that cognitive ability is irrelevant to performance.</w:t>
      </w:r>
    </w:p>
    <w:p>
      <w:pPr>
        <w:spacing w:before="0" w:after="160" w:line="312" w:lineRule="auto"/>
      </w:pPr>
      <w:r>
        <w:rPr>
          <w:rFonts w:ascii="Calibri" w:hAnsi="Calibri" w:cs="Calibri" w:eastAsia="PingFang SC"/>
          <w:color w:val="3D3A33"/>
          <w:sz w:val="22"/>
          <w:szCs w:val="22"/>
        </w:rPr>
        <w:t xml:space="preserve">Strong emotional capabilities can support accurate recognition of feelings, more appropriate emotional expression, empathy and stress management. Associations with positive outcomes do not mean that EI prevents anxiety or depression or substitutes for mental-health care.</w:t>
      </w:r>
    </w:p>
    <w:p>
      <w:pPr>
        <w:spacing w:before="240" w:after="80" w:line="312" w:lineRule="auto"/>
      </w:pPr>
      <w:r>
        <w:rPr>
          <w:rFonts w:ascii="Calibri" w:hAnsi="Calibri" w:cs="Calibri" w:eastAsia="PingFang SC"/>
          <w:b/>
          <w:color w:val="175244"/>
          <w:sz w:val="22"/>
          <w:szCs w:val="22"/>
        </w:rPr>
        <w:t xml:space="preserve">4. Attitude towards change</w:t>
      </w:r>
    </w:p>
    <w:p>
      <w:pPr>
        <w:spacing w:before="0" w:after="160" w:line="312" w:lineRule="auto"/>
      </w:pPr>
      <w:r>
        <w:rPr>
          <w:rFonts w:ascii="Calibri" w:hAnsi="Calibri" w:cs="Calibri" w:eastAsia="PingFang SC"/>
          <w:color w:val="3D3A33"/>
          <w:sz w:val="22"/>
          <w:szCs w:val="22"/>
        </w:rPr>
        <w:t xml:space="preserve">Change is a continuing feature of organisational life. Openness or defensiveness towards change affects how people receive information and communicate it to others.</w:t>
      </w:r>
    </w:p>
    <w:p>
      <w:pPr>
        <w:spacing w:before="0" w:after="160" w:line="312" w:lineRule="auto"/>
      </w:pPr>
      <w:r>
        <w:rPr>
          <w:rFonts w:ascii="Calibri" w:hAnsi="Calibri" w:cs="Calibri" w:eastAsia="PingFang SC"/>
          <w:b/>
          <w:color w:val="3D3A33"/>
          <w:sz w:val="22"/>
          <w:szCs w:val="22"/>
        </w:rPr>
        <w:t xml:space="preserve">Locus of control</w:t>
      </w:r>
      <w:r>
        <w:rPr>
          <w:rFonts w:ascii="Calibri" w:hAnsi="Calibri" w:cs="Calibri" w:eastAsia="PingFang SC"/>
          <w:color w:val="3D3A33"/>
          <w:sz w:val="22"/>
          <w:szCs w:val="22"/>
        </w:rPr>
        <w:t xml:space="preserve"> describes beliefs about the causes of outcomes or reinforcement: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Internal:</w:t>
      </w:r>
      <w:r>
        <w:rPr>
          <w:rFonts w:ascii="Calibri" w:hAnsi="Calibri" w:cs="Calibri" w:eastAsia="PingFang SC"/>
          <w:color w:val="3D3A33"/>
          <w:sz w:val="22"/>
          <w:szCs w:val="22"/>
        </w:rPr>
        <w:t xml:space="preserve"> outcomes are interpreted as depending substantially on one's actions.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External:</w:t>
      </w:r>
      <w:r>
        <w:rPr>
          <w:rFonts w:ascii="Calibri" w:hAnsi="Calibri" w:cs="Calibri" w:eastAsia="PingFang SC"/>
          <w:color w:val="3D3A33"/>
          <w:sz w:val="22"/>
          <w:szCs w:val="22"/>
        </w:rPr>
        <w:t xml:space="preserve"> outcomes are interpreted as depending substantially on outside forces.</w:t>
      </w:r>
    </w:p>
    <w:p>
      <w:pPr>
        <w:spacing w:before="0" w:after="160" w:line="312" w:lineRule="auto"/>
      </w:pPr>
      <w:r>
        <w:rPr>
          <w:rFonts w:ascii="Calibri" w:hAnsi="Calibri" w:cs="Calibri" w:eastAsia="PingFang SC"/>
          <w:color w:val="3D3A33"/>
          <w:sz w:val="22"/>
          <w:szCs w:val="22"/>
        </w:rPr>
        <w:t xml:space="preserve">These beliefs can influence willingness to take ownership of a problem. They are not proof that a particular outcome is actually controllable, or that someone with an external orientation will always remain passive.</w:t>
      </w:r>
    </w:p>
    <w:p>
      <w:pPr>
        <w:spacing w:before="240" w:after="80" w:line="312" w:lineRule="auto"/>
      </w:pPr>
      <w:r>
        <w:rPr>
          <w:rFonts w:ascii="Calibri" w:hAnsi="Calibri" w:cs="Calibri" w:eastAsia="PingFang SC"/>
          <w:b/>
          <w:color w:val="175244"/>
          <w:sz w:val="22"/>
          <w:szCs w:val="22"/>
        </w:rPr>
        <w:t xml:space="preserve">5. Cognitive style</w:t>
      </w:r>
    </w:p>
    <w:p>
      <w:pPr>
        <w:spacing w:before="0" w:after="160" w:line="312" w:lineRule="auto"/>
      </w:pPr>
      <w:r>
        <w:rPr>
          <w:rFonts w:ascii="Calibri" w:hAnsi="Calibri" w:cs="Calibri" w:eastAsia="PingFang SC"/>
          <w:b/>
          <w:color w:val="3D3A33"/>
          <w:sz w:val="22"/>
          <w:szCs w:val="22"/>
        </w:rPr>
        <w:t xml:space="preserve">Cognitive style</w:t>
      </w:r>
      <w:r>
        <w:rPr>
          <w:rFonts w:ascii="Calibri" w:hAnsi="Calibri" w:cs="Calibri" w:eastAsia="PingFang SC"/>
          <w:color w:val="3D3A33"/>
          <w:sz w:val="22"/>
          <w:szCs w:val="22"/>
        </w:rPr>
        <w:t xml:space="preserve"> concerns how a person gathers, interprets, evaluates and responds to information. Two relevant preference dimensions are: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17"/>
        <w:gridCol w:w="3481"/>
        <w:gridCol w:w="3662"/>
      </w:tblGrid>
      <w:tr>
        <w:trPr>
          <w:tblHeader/>
        </w:trPr>
        <w:tc>
          <w:tcPr>
            <w:tcW w:w="2217" w:type="dxa"/>
            <w:shd w:val="clear" w:color="auto" w:fill="EAE7DD"/>
          </w:tcPr>
          <w:p>
            <w:pPr>
              <w:spacing w:before="0" w:after="0" w:line="312" w:lineRule="auto"/>
            </w:pPr>
            <w:r>
              <w:rPr>
                <w:rFonts w:ascii="Calibri" w:hAnsi="Calibri" w:cs="Calibri" w:eastAsia="PingFang SC"/>
                <w:b/>
                <w:color w:val="3D3A33"/>
                <w:sz w:val="22"/>
                <w:szCs w:val="22"/>
              </w:rPr>
              <w:t xml:space="preserve">Dimension</w:t>
            </w:r>
          </w:p>
        </w:tc>
        <w:tc>
          <w:tcPr>
            <w:tcW w:w="3481" w:type="dxa"/>
            <w:shd w:val="clear" w:color="auto" w:fill="EAE7DD"/>
          </w:tcPr>
          <w:p>
            <w:pPr>
              <w:spacing w:before="0" w:after="0" w:line="312" w:lineRule="auto"/>
            </w:pPr>
            <w:r>
              <w:rPr>
                <w:rFonts w:ascii="Calibri" w:hAnsi="Calibri" w:cs="Calibri" w:eastAsia="PingFang SC"/>
                <w:b/>
                <w:color w:val="3D3A33"/>
                <w:sz w:val="22"/>
                <w:szCs w:val="22"/>
              </w:rPr>
              <w:t xml:space="preserve">One preference</w:t>
            </w:r>
          </w:p>
        </w:tc>
        <w:tc>
          <w:tcPr>
            <w:tcW w:w="3662" w:type="dxa"/>
            <w:shd w:val="clear" w:color="auto" w:fill="EAE7DD"/>
          </w:tcPr>
          <w:p>
            <w:pPr>
              <w:spacing w:before="0" w:after="0" w:line="312" w:lineRule="auto"/>
            </w:pPr>
            <w:r>
              <w:rPr>
                <w:rFonts w:ascii="Calibri" w:hAnsi="Calibri" w:cs="Calibri" w:eastAsia="PingFang SC"/>
                <w:b/>
                <w:color w:val="3D3A33"/>
                <w:sz w:val="22"/>
                <w:szCs w:val="22"/>
              </w:rPr>
              <w:t xml:space="preserve">Contrasting preference</w:t>
            </w:r>
          </w:p>
        </w:tc>
      </w:tr>
      <w:tr>
        <w:tc>
          <w:tcPr>
            <w:tcW w:w="2217" w:type="dxa"/>
          </w:tcPr>
          <w:p>
            <w:pPr>
              <w:spacing w:before="0" w:after="0" w:line="312" w:lineRule="auto"/>
            </w:pPr>
            <w:r>
              <w:rPr>
                <w:rFonts w:ascii="Calibri" w:hAnsi="Calibri" w:cs="Calibri" w:eastAsia="PingFang SC"/>
                <w:color w:val="3D3A33"/>
                <w:sz w:val="22"/>
                <w:szCs w:val="22"/>
              </w:rPr>
              <w:t xml:space="preserve">Gathering information</w:t>
            </w:r>
          </w:p>
        </w:tc>
        <w:tc>
          <w:tcPr>
            <w:tcW w:w="3481" w:type="dxa"/>
          </w:tcPr>
          <w:p>
            <w:pPr>
              <w:spacing w:before="0" w:after="0" w:line="312" w:lineRule="auto"/>
            </w:pPr>
            <w:r>
              <w:rPr>
                <w:rFonts w:ascii="Calibri" w:hAnsi="Calibri" w:cs="Calibri" w:eastAsia="PingFang SC"/>
                <w:color w:val="3D3A33"/>
                <w:sz w:val="22"/>
                <w:szCs w:val="22"/>
              </w:rPr>
              <w:t xml:space="preserve">Intuition: overall patterns, possibilities and the whole</w:t>
            </w:r>
          </w:p>
        </w:tc>
        <w:tc>
          <w:tcPr>
            <w:tcW w:w="3662" w:type="dxa"/>
          </w:tcPr>
          <w:p>
            <w:pPr>
              <w:spacing w:before="0" w:after="0" w:line="312" w:lineRule="auto"/>
            </w:pPr>
            <w:r>
              <w:rPr>
                <w:rFonts w:ascii="Calibri" w:hAnsi="Calibri" w:cs="Calibri" w:eastAsia="PingFang SC"/>
                <w:color w:val="3D3A33"/>
                <w:sz w:val="22"/>
                <w:szCs w:val="22"/>
              </w:rPr>
              <w:t xml:space="preserve">Sensing: concrete observations, details and parts</w:t>
            </w:r>
          </w:p>
        </w:tc>
      </w:tr>
      <w:tr>
        <w:tc>
          <w:tcPr>
            <w:tcW w:w="2217" w:type="dxa"/>
          </w:tcPr>
          <w:p>
            <w:pPr>
              <w:spacing w:before="0" w:after="0" w:line="312" w:lineRule="auto"/>
            </w:pPr>
            <w:r>
              <w:rPr>
                <w:rFonts w:ascii="Calibri" w:hAnsi="Calibri" w:cs="Calibri" w:eastAsia="PingFang SC"/>
                <w:color w:val="3D3A33"/>
                <w:sz w:val="22"/>
                <w:szCs w:val="22"/>
              </w:rPr>
              <w:t xml:space="preserve">Evaluating information</w:t>
            </w:r>
          </w:p>
        </w:tc>
        <w:tc>
          <w:tcPr>
            <w:tcW w:w="3481" w:type="dxa"/>
          </w:tcPr>
          <w:p>
            <w:pPr>
              <w:spacing w:before="0" w:after="0" w:line="312" w:lineRule="auto"/>
            </w:pPr>
            <w:r>
              <w:rPr>
                <w:rFonts w:ascii="Calibri" w:hAnsi="Calibri" w:cs="Calibri" w:eastAsia="PingFang SC"/>
                <w:color w:val="3D3A33"/>
                <w:sz w:val="22"/>
                <w:szCs w:val="22"/>
              </w:rPr>
              <w:t xml:space="preserve">Thinking: explicit logic and consistency</w:t>
            </w:r>
          </w:p>
        </w:tc>
        <w:tc>
          <w:tcPr>
            <w:tcW w:w="3662" w:type="dxa"/>
          </w:tcPr>
          <w:p>
            <w:pPr>
              <w:spacing w:before="0" w:after="0" w:line="312" w:lineRule="auto"/>
            </w:pPr>
            <w:r>
              <w:rPr>
                <w:rFonts w:ascii="Calibri" w:hAnsi="Calibri" w:cs="Calibri" w:eastAsia="PingFang SC"/>
                <w:color w:val="3D3A33"/>
                <w:sz w:val="22"/>
                <w:szCs w:val="22"/>
              </w:rPr>
              <w:t xml:space="preserve">Feeling: values and implications for people</w:t>
            </w:r>
          </w:p>
        </w:tc>
      </w:tr>
    </w:tbl>
    <w:p>
      <w:pPr>
        <w:spacing w:before="0" w:after="160" w:line="312" w:lineRule="auto"/>
      </w:pPr>
      <w:r>
        <w:rPr>
          <w:rFonts w:ascii="Calibri" w:hAnsi="Calibri" w:cs="Calibri" w:eastAsia="PingFang SC"/>
          <w:color w:val="3D3A33"/>
          <w:sz w:val="22"/>
          <w:szCs w:val="22"/>
        </w:rPr>
        <w:t xml:space="preserve">These information-gathering and evaluation dimensions are associated with the MBTI framework. Their combinations produce four preference pairings, not a complete account of its full type system. A feeling preference should not simply be equated with irrationality, and neither preference excludes logic or emotion. </w:t>
      </w:r>
      <w:r>
        <w:rPr>
          <w:rFonts w:ascii="Calibri" w:hAnsi="Calibri" w:cs="Calibri" w:eastAsia="PingFang SC"/>
          <w:b/>
          <w:color w:val="3D3A33"/>
          <w:sz w:val="22"/>
          <w:szCs w:val="22"/>
        </w:rPr>
        <w:t xml:space="preserve">Preference is not competence.</w:t>
      </w:r>
    </w:p>
    <w:p>
      <w:pPr>
        <w:spacing w:before="240" w:after="80" w:line="312" w:lineRule="auto"/>
      </w:pPr>
      <w:r>
        <w:rPr>
          <w:rFonts w:ascii="Calibri" w:hAnsi="Calibri" w:cs="Calibri" w:eastAsia="PingFang SC"/>
          <w:b/>
          <w:color w:val="9E3D34"/>
          <w:sz w:val="26"/>
          <w:szCs w:val="26"/>
        </w:rPr>
        <w:t xml:space="preserve">The ladder of inference</w:t>
      </w:r>
    </w:p>
    <w:p>
      <w:pPr>
        <w:spacing w:before="0" w:after="160" w:line="312" w:lineRule="auto"/>
      </w:pPr>
      <w:r>
        <w:rPr>
          <w:rFonts w:ascii="Calibri" w:hAnsi="Calibri" w:cs="Calibri" w:eastAsia="PingFang SC"/>
          <w:b/>
          <w:color w:val="3D3A33"/>
          <w:sz w:val="22"/>
          <w:szCs w:val="22"/>
        </w:rPr>
        <w:t xml:space="preserve">Raw observations -&gt; selected data -&gt; added meanings -&gt; assumptions -&gt; conclusions -&gt; beliefs -&gt; action</w:t>
      </w:r>
    </w:p>
    <w:p>
      <w:pPr>
        <w:spacing w:before="0" w:after="160" w:line="312" w:lineRule="auto"/>
      </w:pPr>
      <w:r>
        <w:rPr>
          <w:rFonts w:ascii="Calibri" w:hAnsi="Calibri" w:cs="Calibri" w:eastAsia="PingFang SC"/>
          <w:color w:val="3D3A33"/>
          <w:sz w:val="22"/>
          <w:szCs w:val="22"/>
        </w:rPr>
        <w:t xml:space="preserve">People do not act on an unfiltered copy of reality. They select some observations, interpret them, make assumptions and develop conclusions. Existing beliefs can then influence what they notice next.</w:t>
      </w:r>
    </w:p>
    <w:p>
      <w:pPr>
        <w:spacing w:before="0" w:after="160" w:line="312" w:lineRule="auto"/>
      </w:pPr>
      <w:r>
        <w:rPr>
          <w:rFonts w:ascii="Calibri" w:hAnsi="Calibri" w:cs="Calibri" w:eastAsia="PingFang SC"/>
          <w:color w:val="3D3A33"/>
          <w:sz w:val="22"/>
          <w:szCs w:val="22"/>
        </w:rPr>
        <w:t xml:space="preserve">Two people may disagree about an action because their earlier selection or interpretation of information differs. To investigate a disagreement, ask what each observed, what meaning they attached to it and what assumptions connect that meaning to their conclusion. Arguing only about the final conclusion may leave the underlying difference untouched.</w:t>
      </w:r>
    </w:p>
    <w:p>
      <w:pPr>
        <w:spacing w:before="240" w:after="80" w:line="312" w:lineRule="auto"/>
      </w:pPr>
      <w:r>
        <w:rPr>
          <w:rFonts w:ascii="Calibri" w:hAnsi="Calibri" w:cs="Calibri" w:eastAsia="PingFang SC"/>
          <w:b/>
          <w:color w:val="9E3D34"/>
          <w:sz w:val="26"/>
          <w:szCs w:val="26"/>
        </w:rPr>
        <w:t xml:space="preserve">Goleman's four EI domains</w:t>
      </w:r>
    </w:p>
    <w:p>
      <w:pPr>
        <w:spacing w:before="0" w:after="160" w:line="312" w:lineRule="auto"/>
      </w:pPr>
      <w:r>
        <w:rPr>
          <w:rFonts w:ascii="Calibri" w:hAnsi="Calibri" w:cs="Calibri" w:eastAsia="PingFang SC"/>
          <w:color w:val="3D3A33"/>
          <w:sz w:val="22"/>
          <w:szCs w:val="22"/>
        </w:rPr>
        <w:t xml:space="preserve">Goleman describes EI as how well people handle themselves and their relationships.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214"/>
        <w:gridCol w:w="7146"/>
      </w:tblGrid>
      <w:tr>
        <w:trPr>
          <w:tblHeader/>
        </w:trPr>
        <w:tc>
          <w:tcPr>
            <w:tcW w:w="2214" w:type="dxa"/>
            <w:shd w:val="clear" w:color="auto" w:fill="EAE7DD"/>
          </w:tcPr>
          <w:p>
            <w:pPr>
              <w:spacing w:before="0" w:after="0" w:line="312" w:lineRule="auto"/>
            </w:pPr>
            <w:r>
              <w:rPr>
                <w:rFonts w:ascii="Calibri" w:hAnsi="Calibri" w:cs="Calibri" w:eastAsia="PingFang SC"/>
                <w:b/>
                <w:color w:val="3D3A33"/>
                <w:sz w:val="22"/>
                <w:szCs w:val="22"/>
              </w:rPr>
              <w:t xml:space="preserve">Domain</w:t>
            </w:r>
          </w:p>
        </w:tc>
        <w:tc>
          <w:tcPr>
            <w:tcW w:w="7146" w:type="dxa"/>
            <w:shd w:val="clear" w:color="auto" w:fill="EAE7DD"/>
          </w:tcPr>
          <w:p>
            <w:pPr>
              <w:spacing w:before="0" w:after="0" w:line="312" w:lineRule="auto"/>
            </w:pPr>
            <w:r>
              <w:rPr>
                <w:rFonts w:ascii="Calibri" w:hAnsi="Calibri" w:cs="Calibri" w:eastAsia="PingFang SC"/>
                <w:b/>
                <w:color w:val="3D3A33"/>
                <w:sz w:val="22"/>
                <w:szCs w:val="22"/>
              </w:rPr>
              <w:t xml:space="preserve">Meaning</w:t>
            </w:r>
          </w:p>
        </w:tc>
      </w:tr>
      <w:tr>
        <w:tc>
          <w:tcPr>
            <w:tcW w:w="2214" w:type="dxa"/>
          </w:tcPr>
          <w:p>
            <w:pPr>
              <w:spacing w:before="0" w:after="0" w:line="312" w:lineRule="auto"/>
            </w:pPr>
            <w:r>
              <w:rPr>
                <w:rFonts w:ascii="Calibri" w:hAnsi="Calibri" w:cs="Calibri" w:eastAsia="PingFang SC"/>
                <w:color w:val="3D3A33"/>
                <w:sz w:val="22"/>
                <w:szCs w:val="22"/>
              </w:rPr>
              <w:t xml:space="preserve">Self-awareness</w:t>
            </w:r>
          </w:p>
        </w:tc>
        <w:tc>
          <w:tcPr>
            <w:tcW w:w="7146" w:type="dxa"/>
          </w:tcPr>
          <w:p>
            <w:pPr>
              <w:spacing w:before="0" w:after="0" w:line="312" w:lineRule="auto"/>
            </w:pPr>
            <w:r>
              <w:rPr>
                <w:rFonts w:ascii="Calibri" w:hAnsi="Calibri" w:cs="Calibri" w:eastAsia="PingFang SC"/>
                <w:color w:val="3D3A33"/>
                <w:sz w:val="22"/>
                <w:szCs w:val="22"/>
              </w:rPr>
              <w:t xml:space="preserve">Recognising what one feels and why; understanding emotional and value signals relevant to judgement</w:t>
            </w:r>
          </w:p>
        </w:tc>
      </w:tr>
      <w:tr>
        <w:tc>
          <w:tcPr>
            <w:tcW w:w="2214" w:type="dxa"/>
          </w:tcPr>
          <w:p>
            <w:pPr>
              <w:spacing w:before="0" w:after="0" w:line="312" w:lineRule="auto"/>
            </w:pPr>
            <w:r>
              <w:rPr>
                <w:rFonts w:ascii="Calibri" w:hAnsi="Calibri" w:cs="Calibri" w:eastAsia="PingFang SC"/>
                <w:color w:val="3D3A33"/>
                <w:sz w:val="22"/>
                <w:szCs w:val="22"/>
              </w:rPr>
              <w:t xml:space="preserve">Self-management</w:t>
            </w:r>
          </w:p>
        </w:tc>
        <w:tc>
          <w:tcPr>
            <w:tcW w:w="7146" w:type="dxa"/>
          </w:tcPr>
          <w:p>
            <w:pPr>
              <w:spacing w:before="0" w:after="0" w:line="312" w:lineRule="auto"/>
            </w:pPr>
            <w:r>
              <w:rPr>
                <w:rFonts w:ascii="Calibri" w:hAnsi="Calibri" w:cs="Calibri" w:eastAsia="PingFang SC"/>
                <w:color w:val="3D3A33"/>
                <w:sz w:val="22"/>
                <w:szCs w:val="22"/>
              </w:rPr>
              <w:t xml:space="preserve">Handling distressing emotions without being overwhelmed, learning from them and mobilising positive emotions such as enthusiasm</w:t>
            </w:r>
          </w:p>
        </w:tc>
      </w:tr>
      <w:tr>
        <w:tc>
          <w:tcPr>
            <w:tcW w:w="2214" w:type="dxa"/>
          </w:tcPr>
          <w:p>
            <w:pPr>
              <w:spacing w:before="0" w:after="0" w:line="312" w:lineRule="auto"/>
            </w:pPr>
            <w:r>
              <w:rPr>
                <w:rFonts w:ascii="Calibri" w:hAnsi="Calibri" w:cs="Calibri" w:eastAsia="PingFang SC"/>
                <w:color w:val="3D3A33"/>
                <w:sz w:val="22"/>
                <w:szCs w:val="22"/>
              </w:rPr>
              <w:t xml:space="preserve">Empathy</w:t>
            </w:r>
          </w:p>
        </w:tc>
        <w:tc>
          <w:tcPr>
            <w:tcW w:w="7146" w:type="dxa"/>
          </w:tcPr>
          <w:p>
            <w:pPr>
              <w:spacing w:before="0" w:after="0" w:line="312" w:lineRule="auto"/>
            </w:pPr>
            <w:r>
              <w:rPr>
                <w:rFonts w:ascii="Calibri" w:hAnsi="Calibri" w:cs="Calibri" w:eastAsia="PingFang SC"/>
                <w:color w:val="3D3A33"/>
                <w:sz w:val="22"/>
                <w:szCs w:val="22"/>
              </w:rPr>
              <w:t xml:space="preserve">Understanding what others feel</w:t>
            </w:r>
          </w:p>
        </w:tc>
      </w:tr>
      <w:tr>
        <w:tc>
          <w:tcPr>
            <w:tcW w:w="2214" w:type="dxa"/>
          </w:tcPr>
          <w:p>
            <w:pPr>
              <w:spacing w:before="0" w:after="0" w:line="312" w:lineRule="auto"/>
            </w:pPr>
            <w:r>
              <w:rPr>
                <w:rFonts w:ascii="Calibri" w:hAnsi="Calibri" w:cs="Calibri" w:eastAsia="PingFang SC"/>
                <w:color w:val="3D3A33"/>
                <w:sz w:val="22"/>
                <w:szCs w:val="22"/>
              </w:rPr>
              <w:t xml:space="preserve">Relationship capability</w:t>
            </w:r>
          </w:p>
        </w:tc>
        <w:tc>
          <w:tcPr>
            <w:tcW w:w="7146" w:type="dxa"/>
          </w:tcPr>
          <w:p>
            <w:pPr>
              <w:spacing w:before="0" w:after="0" w:line="312" w:lineRule="auto"/>
            </w:pPr>
            <w:r>
              <w:rPr>
                <w:rFonts w:ascii="Calibri" w:hAnsi="Calibri" w:cs="Calibri" w:eastAsia="PingFang SC"/>
                <w:color w:val="3D3A33"/>
                <w:sz w:val="22"/>
                <w:szCs w:val="22"/>
              </w:rPr>
              <w:t xml:space="preserve">Integrating the other capabilities into effective interactions</w:t>
            </w:r>
          </w:p>
        </w:tc>
      </w:tr>
    </w:tbl>
    <w:p>
      <w:pPr>
        <w:spacing w:before="0" w:after="160" w:line="312" w:lineRule="auto"/>
      </w:pPr>
      <w:r>
        <w:rPr>
          <w:rFonts w:ascii="Calibri" w:hAnsi="Calibri" w:cs="Calibri" w:eastAsia="PingFang SC"/>
          <w:color w:val="3D3A33"/>
          <w:sz w:val="22"/>
          <w:szCs w:val="22"/>
        </w:rPr>
        <w:t xml:space="preserve">Every emotion can have a function. Self-management is not emotional suppression: it involves responding constructively to emotional information.</w:t>
      </w:r>
    </w:p>
    <w:p>
      <w:pPr>
        <w:spacing w:before="240" w:after="80" w:line="312" w:lineRule="auto"/>
      </w:pPr>
      <w:r>
        <w:rPr>
          <w:rFonts w:ascii="Calibri" w:hAnsi="Calibri" w:cs="Calibri" w:eastAsia="PingFang SC"/>
          <w:b/>
          <w:color w:val="175244"/>
          <w:sz w:val="22"/>
          <w:szCs w:val="22"/>
        </w:rPr>
        <w:t xml:space="preserve">Development and neurological reasoning</w:t>
      </w:r>
    </w:p>
    <w:p>
      <w:pPr>
        <w:spacing w:before="0" w:after="160" w:line="312" w:lineRule="auto"/>
      </w:pPr>
      <w:r>
        <w:rPr>
          <w:rFonts w:ascii="Calibri" w:hAnsi="Calibri" w:cs="Calibri" w:eastAsia="PingFang SC"/>
          <w:b/>
          <w:color w:val="3D3A33"/>
          <w:sz w:val="22"/>
          <w:szCs w:val="22"/>
        </w:rPr>
        <w:t xml:space="preserve">Neuroplasticity</w:t>
      </w:r>
      <w:r>
        <w:rPr>
          <w:rFonts w:ascii="Calibri" w:hAnsi="Calibri" w:cs="Calibri" w:eastAsia="PingFang SC"/>
          <w:color w:val="3D3A33"/>
          <w:sz w:val="22"/>
          <w:szCs w:val="22"/>
        </w:rPr>
        <w:t xml:space="preserve"> is the brain's capacity to change with experience. Emotional and social capabilities develop over time, and repeated practice can strengthen relevant patterns of behaviour. The neurological argument for sustained social-emotional learning is therefore stronger than the idea of a single isolated training event.</w:t>
      </w:r>
    </w:p>
    <w:p>
      <w:pPr>
        <w:spacing w:before="0" w:after="160" w:line="312" w:lineRule="auto"/>
      </w:pPr>
      <w:r>
        <w:rPr>
          <w:rFonts w:ascii="Calibri" w:hAnsi="Calibri" w:cs="Calibri" w:eastAsia="PingFang SC"/>
          <w:b/>
          <w:color w:val="3D3A33"/>
          <w:sz w:val="22"/>
          <w:szCs w:val="22"/>
        </w:rPr>
        <w:t xml:space="preserve">Executive functions</w:t>
      </w:r>
      <w:r>
        <w:rPr>
          <w:rFonts w:ascii="Calibri" w:hAnsi="Calibri" w:cs="Calibri" w:eastAsia="PingFang SC"/>
          <w:color w:val="3D3A33"/>
          <w:sz w:val="22"/>
          <w:szCs w:val="22"/>
        </w:rPr>
        <w:t xml:space="preserve"> are capacities involved in directing attention and regulating behaviour. Prefrontal brain systems contribute to these functions as well as aspects of emotional regulation. This provides a mechanism through which social-emotional learning may also support learning more generally; it is not proof of a single simple pathway for every outcome.</w:t>
      </w:r>
    </w:p>
    <w:p>
      <w:pPr>
        <w:spacing w:before="240" w:after="80" w:line="312" w:lineRule="auto"/>
      </w:pPr>
      <w:r>
        <w:rPr>
          <w:rFonts w:ascii="Calibri" w:hAnsi="Calibri" w:cs="Calibri" w:eastAsia="PingFang SC"/>
          <w:b/>
          <w:color w:val="175244"/>
          <w:sz w:val="22"/>
          <w:szCs w:val="22"/>
        </w:rPr>
        <w:t xml:space="preserve">Reported educational findings</w:t>
      </w:r>
    </w:p>
    <w:p>
      <w:pPr>
        <w:spacing w:before="0" w:after="160" w:line="312" w:lineRule="auto"/>
      </w:pPr>
      <w:r>
        <w:rPr>
          <w:rFonts w:ascii="Calibri" w:hAnsi="Calibri" w:cs="Calibri" w:eastAsia="PingFang SC"/>
          <w:color w:val="3D3A33"/>
          <w:sz w:val="22"/>
          <w:szCs w:val="22"/>
        </w:rPr>
        <w:t xml:space="preserve">A </w:t>
      </w:r>
      <w:r>
        <w:rPr>
          <w:rFonts w:ascii="Calibri" w:hAnsi="Calibri" w:cs="Calibri" w:eastAsia="PingFang SC"/>
          <w:b/>
          <w:color w:val="3D3A33"/>
          <w:sz w:val="22"/>
          <w:szCs w:val="22"/>
        </w:rPr>
        <w:t xml:space="preserve">meta-analysis</w:t>
      </w:r>
      <w:r>
        <w:rPr>
          <w:rFonts w:ascii="Calibri" w:hAnsi="Calibri" w:cs="Calibri" w:eastAsia="PingFang SC"/>
          <w:color w:val="3D3A33"/>
          <w:sz w:val="22"/>
          <w:szCs w:val="22"/>
        </w:rPr>
        <w:t xml:space="preserve"> combines findings from multiple studies. Goleman's account of school social-emotional learning comparisons describes reduced antisocial behaviour and classroom disruption, increased prosocial behaviour, and improved academic achievement. </w:t>
      </w:r>
      <w:r>
        <w:rPr>
          <w:rFonts w:ascii="Calibri" w:hAnsi="Calibri" w:cs="Calibri" w:eastAsia="PingFang SC"/>
          <w:b/>
          <w:color w:val="3D3A33"/>
          <w:sz w:val="22"/>
          <w:szCs w:val="22"/>
        </w:rPr>
        <w:t xml:space="preserve">Prosocial behaviour</w:t>
      </w:r>
      <w:r>
        <w:rPr>
          <w:rFonts w:ascii="Calibri" w:hAnsi="Calibri" w:cs="Calibri" w:eastAsia="PingFang SC"/>
          <w:color w:val="3D3A33"/>
          <w:sz w:val="22"/>
          <w:szCs w:val="22"/>
        </w:rPr>
        <w:t xml:space="preserve"> means behaviour that benefits others.</w:t>
      </w:r>
    </w:p>
    <w:p>
      <w:pPr>
        <w:spacing w:before="0" w:after="160" w:line="312" w:lineRule="auto"/>
      </w:pPr>
      <w:r>
        <w:rPr>
          <w:rFonts w:ascii="Calibri" w:hAnsi="Calibri" w:cs="Calibri" w:eastAsia="PingFang SC"/>
          <w:color w:val="3D3A33"/>
          <w:sz w:val="22"/>
          <w:szCs w:val="22"/>
        </w:rPr>
        <w:t xml:space="preserve">These findings support the possibility that emotional and social development can benefit both relationships and learning. Benefits vary with the programme, participants and context; a combined research finding is not a guaranteed outcome for an individual school or project.</w:t>
      </w:r>
    </w:p>
    <w:p>
      <w:pPr>
        <w:spacing w:before="240" w:after="80" w:line="312" w:lineRule="auto"/>
      </w:pPr>
      <w:r>
        <w:rPr>
          <w:rFonts w:ascii="Calibri" w:hAnsi="Calibri" w:cs="Calibri" w:eastAsia="PingFang SC"/>
          <w:b/>
          <w:color w:val="175244"/>
          <w:sz w:val="22"/>
          <w:szCs w:val="22"/>
        </w:rPr>
        <w:t xml:space="preserve">Leadership, gender and culture</w:t>
      </w:r>
    </w:p>
    <w:p>
      <w:pPr>
        <w:spacing w:before="0" w:after="160" w:line="312" w:lineRule="auto"/>
      </w:pPr>
      <w:r>
        <w:rPr>
          <w:rFonts w:ascii="Calibri" w:hAnsi="Calibri" w:cs="Calibri" w:eastAsia="PingFang SC"/>
          <w:color w:val="3D3A33"/>
          <w:sz w:val="22"/>
          <w:szCs w:val="22"/>
        </w:rPr>
        <w:t xml:space="preserve">Emotionally destructive management can undermine an organisation's own mission. The practical implication of managing with care is to recognise that the quality of relationships affects what the organisation can accomplish.</w:t>
      </w:r>
    </w:p>
    <w:p>
      <w:pPr>
        <w:spacing w:before="0" w:after="160" w:line="312" w:lineRule="auto"/>
      </w:pPr>
      <w:r>
        <w:rPr>
          <w:rFonts w:ascii="Calibri" w:hAnsi="Calibri" w:cs="Calibri" w:eastAsia="PingFang SC"/>
          <w:color w:val="3D3A33"/>
          <w:sz w:val="22"/>
          <w:szCs w:val="22"/>
        </w:rPr>
        <w:t xml:space="preserve">A long-term rise in measured IQ does not establish a corresponding rise in EI. Conflict, hatred and domestic abuse illustrate concern about emotional regulation, but they do not by themselves constitute a valid time series proving that population EI has declined.</w:t>
      </w:r>
    </w:p>
    <w:p>
      <w:pPr>
        <w:spacing w:before="0" w:after="160" w:line="312" w:lineRule="auto"/>
      </w:pPr>
      <w:r>
        <w:rPr>
          <w:rFonts w:ascii="Calibri" w:hAnsi="Calibri" w:cs="Calibri" w:eastAsia="PingFang SC"/>
          <w:color w:val="3D3A33"/>
          <w:sz w:val="22"/>
          <w:szCs w:val="22"/>
        </w:rPr>
        <w:t xml:space="preserve">Goleman's account describes average differences in particular capabilities: women showing stronger emotional empathy and social capabilities on average, and men showing greater group self-confidence and management of distressing emotions on average. The same account reports no differences on these variables among the top 10% of leaders. These observations do not determine an individual's ability and should not become gender-based selection rules.</w:t>
      </w:r>
    </w:p>
    <w:p>
      <w:pPr>
        <w:spacing w:before="0" w:after="160" w:line="312" w:lineRule="auto"/>
      </w:pPr>
      <w:r>
        <w:rPr>
          <w:rFonts w:ascii="Calibri" w:hAnsi="Calibri" w:cs="Calibri" w:eastAsia="PingFang SC"/>
          <w:color w:val="3D3A33"/>
          <w:sz w:val="22"/>
          <w:szCs w:val="22"/>
        </w:rPr>
        <w:t xml:space="preserve">EI can be broadly relevant across cultures while being expressed through different local conventions. Japanese social interaction may rely on subtle rules unfamiliar to outsiders; more openly expressive settings, such as the Brazilian and Italian examples, can look different. Effective engagement requires learning local meanings rather than mistaking unfamiliar expression for an absence of emotional capability.</w:t>
      </w:r>
    </w:p>
    <w:p>
      <w:pPr>
        <w:spacing w:before="240" w:after="80" w:line="312" w:lineRule="auto"/>
      </w:pPr>
      <w:r>
        <w:rPr>
          <w:rFonts w:ascii="Calibri" w:hAnsi="Calibri" w:cs="Calibri" w:eastAsia="PingFang SC"/>
          <w:b/>
          <w:color w:val="9E3D34"/>
          <w:sz w:val="26"/>
          <w:szCs w:val="26"/>
        </w:rPr>
        <w:t xml:space="preserve">Reflection, bias and inclusion</w:t>
      </w:r>
    </w:p>
    <w:p>
      <w:pPr>
        <w:spacing w:before="0" w:after="160" w:line="312" w:lineRule="auto"/>
      </w:pPr>
      <w:r>
        <w:rPr>
          <w:rFonts w:ascii="Calibri" w:hAnsi="Calibri" w:cs="Calibri" w:eastAsia="PingFang SC"/>
          <w:color w:val="3D3A33"/>
          <w:sz w:val="22"/>
          <w:szCs w:val="22"/>
        </w:rPr>
        <w:t xml:space="preserve">Consider a team member who dismisses stakeholders because of their formal roles, resists peers' evidence of informal influence and gives greater weight to numerical or fluent-English contributions.</w:t>
      </w:r>
    </w:p>
    <w:p>
      <w:pPr>
        <w:spacing w:before="0" w:after="160" w:line="312" w:lineRule="auto"/>
      </w:pPr>
      <w:r>
        <w:rPr>
          <w:rFonts w:ascii="Calibri" w:hAnsi="Calibri" w:cs="Calibri" w:eastAsia="PingFang SC"/>
          <w:b/>
          <w:color w:val="3D3A33"/>
          <w:sz w:val="22"/>
          <w:szCs w:val="22"/>
        </w:rPr>
        <w:t xml:space="preserve">Confirmation bias</w:t>
      </w:r>
      <w:r>
        <w:rPr>
          <w:rFonts w:ascii="Calibri" w:hAnsi="Calibri" w:cs="Calibri" w:eastAsia="PingFang SC"/>
          <w:color w:val="3D3A33"/>
          <w:sz w:val="22"/>
          <w:szCs w:val="22"/>
        </w:rPr>
        <w:t xml:space="preserve"> means favouring information that supports an existing belief while discounting conflicting evidence. Defending a judgement alone is not enough to diagnose it; examine how evidence is selected and assessed.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051"/>
        <w:gridCol w:w="3823"/>
        <w:gridCol w:w="3486"/>
      </w:tblGrid>
      <w:tr>
        <w:trPr>
          <w:tblHeader/>
        </w:trPr>
        <w:tc>
          <w:tcPr>
            <w:tcW w:w="2051" w:type="dxa"/>
            <w:shd w:val="clear" w:color="auto" w:fill="EAE7DD"/>
          </w:tcPr>
          <w:p>
            <w:pPr>
              <w:spacing w:before="0" w:after="0" w:line="312" w:lineRule="auto"/>
            </w:pPr>
            <w:r>
              <w:rPr>
                <w:rFonts w:ascii="Calibri" w:hAnsi="Calibri" w:cs="Calibri" w:eastAsia="PingFang SC"/>
                <w:b/>
                <w:color w:val="3D3A33"/>
                <w:sz w:val="22"/>
                <w:szCs w:val="22"/>
              </w:rPr>
              <w:t xml:space="preserve">Risk</w:t>
            </w:r>
          </w:p>
        </w:tc>
        <w:tc>
          <w:tcPr>
            <w:tcW w:w="3823" w:type="dxa"/>
            <w:shd w:val="clear" w:color="auto" w:fill="EAE7DD"/>
          </w:tcPr>
          <w:p>
            <w:pPr>
              <w:spacing w:before="0" w:after="0" w:line="312" w:lineRule="auto"/>
            </w:pPr>
            <w:r>
              <w:rPr>
                <w:rFonts w:ascii="Calibri" w:hAnsi="Calibri" w:cs="Calibri" w:eastAsia="PingFang SC"/>
                <w:b/>
                <w:color w:val="3D3A33"/>
                <w:sz w:val="22"/>
                <w:szCs w:val="22"/>
              </w:rPr>
              <w:t xml:space="preserve">Corrective action</w:t>
            </w:r>
          </w:p>
        </w:tc>
        <w:tc>
          <w:tcPr>
            <w:tcW w:w="3486" w:type="dxa"/>
            <w:shd w:val="clear" w:color="auto" w:fill="EAE7DD"/>
          </w:tcPr>
          <w:p>
            <w:pPr>
              <w:spacing w:before="0" w:after="0" w:line="312" w:lineRule="auto"/>
            </w:pPr>
            <w:r>
              <w:rPr>
                <w:rFonts w:ascii="Calibri" w:hAnsi="Calibri" w:cs="Calibri" w:eastAsia="PingFang SC"/>
                <w:b/>
                <w:color w:val="3D3A33"/>
                <w:sz w:val="22"/>
                <w:szCs w:val="22"/>
              </w:rPr>
              <w:t xml:space="preserve">Mechanism</w:t>
            </w:r>
          </w:p>
        </w:tc>
      </w:tr>
      <w:tr>
        <w:tc>
          <w:tcPr>
            <w:tcW w:w="2051" w:type="dxa"/>
          </w:tcPr>
          <w:p>
            <w:pPr>
              <w:spacing w:before="0" w:after="0" w:line="312" w:lineRule="auto"/>
            </w:pPr>
            <w:r>
              <w:rPr>
                <w:rFonts w:ascii="Calibri" w:hAnsi="Calibri" w:cs="Calibri" w:eastAsia="PingFang SC"/>
                <w:color w:val="3D3A33"/>
                <w:sz w:val="22"/>
                <w:szCs w:val="22"/>
              </w:rPr>
              <w:t xml:space="preserve">Overlooking informal influence</w:t>
            </w:r>
          </w:p>
        </w:tc>
        <w:tc>
          <w:tcPr>
            <w:tcW w:w="3823" w:type="dxa"/>
          </w:tcPr>
          <w:p>
            <w:pPr>
              <w:spacing w:before="0" w:after="0" w:line="312" w:lineRule="auto"/>
            </w:pPr>
            <w:r>
              <w:rPr>
                <w:rFonts w:ascii="Calibri" w:hAnsi="Calibri" w:cs="Calibri" w:eastAsia="PingFang SC"/>
                <w:color w:val="3D3A33"/>
                <w:sz w:val="22"/>
                <w:szCs w:val="22"/>
              </w:rPr>
              <w:t xml:space="preserve">Revisit stakeholder classifications using peers' evidence of actual relationships</w:t>
            </w:r>
          </w:p>
        </w:tc>
        <w:tc>
          <w:tcPr>
            <w:tcW w:w="3486" w:type="dxa"/>
          </w:tcPr>
          <w:p>
            <w:pPr>
              <w:spacing w:before="0" w:after="0" w:line="312" w:lineRule="auto"/>
            </w:pPr>
            <w:r>
              <w:rPr>
                <w:rFonts w:ascii="Calibri" w:hAnsi="Calibri" w:cs="Calibri" w:eastAsia="PingFang SC"/>
                <w:color w:val="3D3A33"/>
                <w:sz w:val="22"/>
                <w:szCs w:val="22"/>
              </w:rPr>
              <w:t xml:space="preserve">Tests role-based assumptions against relevant evidence</w:t>
            </w:r>
          </w:p>
        </w:tc>
      </w:tr>
      <w:tr>
        <w:tc>
          <w:tcPr>
            <w:tcW w:w="2051" w:type="dxa"/>
          </w:tcPr>
          <w:p>
            <w:pPr>
              <w:spacing w:before="0" w:after="0" w:line="312" w:lineRule="auto"/>
            </w:pPr>
            <w:r>
              <w:rPr>
                <w:rFonts w:ascii="Calibri" w:hAnsi="Calibri" w:cs="Calibri" w:eastAsia="PingFang SC"/>
                <w:color w:val="3D3A33"/>
                <w:sz w:val="22"/>
                <w:szCs w:val="22"/>
              </w:rPr>
              <w:t xml:space="preserve">Dominant voices shaping the discussion</w:t>
            </w:r>
          </w:p>
        </w:tc>
        <w:tc>
          <w:tcPr>
            <w:tcW w:w="3823" w:type="dxa"/>
          </w:tcPr>
          <w:p>
            <w:pPr>
              <w:spacing w:before="0" w:after="0" w:line="312" w:lineRule="auto"/>
            </w:pPr>
            <w:r>
              <w:rPr>
                <w:rFonts w:ascii="Calibri" w:hAnsi="Calibri" w:cs="Calibri" w:eastAsia="PingFang SC"/>
                <w:color w:val="3D3A33"/>
                <w:sz w:val="22"/>
                <w:szCs w:val="22"/>
              </w:rPr>
              <w:t xml:space="preserve">Use structured turn-taking</w:t>
            </w:r>
          </w:p>
        </w:tc>
        <w:tc>
          <w:tcPr>
            <w:tcW w:w="3486" w:type="dxa"/>
          </w:tcPr>
          <w:p>
            <w:pPr>
              <w:spacing w:before="0" w:after="0" w:line="312" w:lineRule="auto"/>
            </w:pPr>
            <w:r>
              <w:rPr>
                <w:rFonts w:ascii="Calibri" w:hAnsi="Calibri" w:cs="Calibri" w:eastAsia="PingFang SC"/>
                <w:color w:val="3D3A33"/>
                <w:sz w:val="22"/>
                <w:szCs w:val="22"/>
              </w:rPr>
              <w:t xml:space="preserve">Makes room for contributions that might otherwise be crowded out</w:t>
            </w:r>
          </w:p>
        </w:tc>
      </w:tr>
      <w:tr>
        <w:tc>
          <w:tcPr>
            <w:tcW w:w="2051" w:type="dxa"/>
          </w:tcPr>
          <w:p>
            <w:pPr>
              <w:spacing w:before="0" w:after="0" w:line="312" w:lineRule="auto"/>
            </w:pPr>
            <w:r>
              <w:rPr>
                <w:rFonts w:ascii="Calibri" w:hAnsi="Calibri" w:cs="Calibri" w:eastAsia="PingFang SC"/>
                <w:color w:val="3D3A33"/>
                <w:sz w:val="22"/>
                <w:szCs w:val="22"/>
              </w:rPr>
              <w:t xml:space="preserve">Confirmation bias</w:t>
            </w:r>
          </w:p>
        </w:tc>
        <w:tc>
          <w:tcPr>
            <w:tcW w:w="3823" w:type="dxa"/>
          </w:tcPr>
          <w:p>
            <w:pPr>
              <w:spacing w:before="0" w:after="0" w:line="312" w:lineRule="auto"/>
            </w:pPr>
            <w:r>
              <w:rPr>
                <w:rFonts w:ascii="Calibri" w:hAnsi="Calibri" w:cs="Calibri" w:eastAsia="PingFang SC"/>
                <w:color w:val="3D3A33"/>
                <w:sz w:val="22"/>
                <w:szCs w:val="22"/>
              </w:rPr>
              <w:t xml:space="preserve">Explicitly seek dissenting views and pause before judging new information</w:t>
            </w:r>
          </w:p>
        </w:tc>
        <w:tc>
          <w:tcPr>
            <w:tcW w:w="3486" w:type="dxa"/>
          </w:tcPr>
          <w:p>
            <w:pPr>
              <w:spacing w:before="0" w:after="0" w:line="312" w:lineRule="auto"/>
            </w:pPr>
            <w:r>
              <w:rPr>
                <w:rFonts w:ascii="Calibri" w:hAnsi="Calibri" w:cs="Calibri" w:eastAsia="PingFang SC"/>
                <w:color w:val="3D3A33"/>
                <w:sz w:val="22"/>
                <w:szCs w:val="22"/>
              </w:rPr>
              <w:t xml:space="preserve">Creates an opportunity to reconsider assumptions</w:t>
            </w:r>
          </w:p>
        </w:tc>
      </w:tr>
      <w:tr>
        <w:tc>
          <w:tcPr>
            <w:tcW w:w="2051" w:type="dxa"/>
          </w:tcPr>
          <w:p>
            <w:pPr>
              <w:spacing w:before="0" w:after="0" w:line="312" w:lineRule="auto"/>
            </w:pPr>
            <w:r>
              <w:rPr>
                <w:rFonts w:ascii="Calibri" w:hAnsi="Calibri" w:cs="Calibri" w:eastAsia="PingFang SC"/>
                <w:color w:val="3D3A33"/>
                <w:sz w:val="22"/>
                <w:szCs w:val="22"/>
              </w:rPr>
              <w:t xml:space="preserve">Cultural or presentation bias</w:t>
            </w:r>
          </w:p>
        </w:tc>
        <w:tc>
          <w:tcPr>
            <w:tcW w:w="3823" w:type="dxa"/>
          </w:tcPr>
          <w:p>
            <w:pPr>
              <w:spacing w:before="0" w:after="0" w:line="312" w:lineRule="auto"/>
            </w:pPr>
            <w:r>
              <w:rPr>
                <w:rFonts w:ascii="Calibri" w:hAnsi="Calibri" w:cs="Calibri" w:eastAsia="PingFang SC"/>
                <w:color w:val="3D3A33"/>
                <w:sz w:val="22"/>
                <w:szCs w:val="22"/>
              </w:rPr>
              <w:t xml:space="preserve">Review whose ideas actually influenced the decision</w:t>
            </w:r>
          </w:p>
        </w:tc>
        <w:tc>
          <w:tcPr>
            <w:tcW w:w="3486" w:type="dxa"/>
          </w:tcPr>
          <w:p>
            <w:pPr>
              <w:spacing w:before="0" w:after="0" w:line="312" w:lineRule="auto"/>
            </w:pPr>
            <w:r>
              <w:rPr>
                <w:rFonts w:ascii="Calibri" w:hAnsi="Calibri" w:cs="Calibri" w:eastAsia="PingFang SC"/>
                <w:color w:val="3D3A33"/>
                <w:sz w:val="22"/>
                <w:szCs w:val="22"/>
              </w:rPr>
              <w:t xml:space="preserve">Tests whether inclusion affected outcomes rather than merely attendance</w:t>
            </w:r>
          </w:p>
        </w:tc>
      </w:tr>
    </w:tbl>
    <w:p>
      <w:pPr>
        <w:spacing w:before="0" w:after="160" w:line="312" w:lineRule="auto"/>
      </w:pPr>
      <w:r>
        <w:rPr>
          <w:rFonts w:ascii="Calibri" w:hAnsi="Calibri" w:cs="Calibri" w:eastAsia="PingFang SC"/>
          <w:color w:val="3D3A33"/>
          <w:sz w:val="22"/>
          <w:szCs w:val="22"/>
        </w:rPr>
        <w:t xml:space="preserve">Rank, fluent English and numerical presentation are not automatic evidence of superior insight. Reflection becomes useful when it changes behaviour and engagement decisions.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