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PMGT1852 Week 08</w:t>
      </w:r>
    </w:p>
    <w:p>
      <w:pPr>
        <w:spacing w:before="240" w:after="80" w:line="312" w:lineRule="auto"/>
      </w:pPr>
      <w:r>
        <w:rPr>
          <w:rFonts w:ascii="Calibri" w:hAnsi="Calibri" w:cs="Calibri" w:eastAsia="PingFang SC"/>
          <w:b/>
          <w:color w:val="33302A"/>
          <w:sz w:val="32"/>
          <w:szCs w:val="32"/>
        </w:rPr>
        <w:t xml:space="preserve">PMGT1852 Week 8 - Networks and Stakeholder Engagement</w:t>
      </w:r>
    </w:p>
    <w:p>
      <w:pPr>
        <w:spacing w:before="240" w:after="80" w:line="312" w:lineRule="auto"/>
      </w:pPr>
      <w:r>
        <w:rPr>
          <w:rFonts w:ascii="Calibri" w:hAnsi="Calibri" w:cs="Calibri" w:eastAsia="PingFang SC"/>
          <w:b/>
          <w:color w:val="9E3D34"/>
          <w:sz w:val="26"/>
          <w:szCs w:val="26"/>
        </w:rPr>
        <w:t xml:space="preserve">From relationships to engagement decisions</w:t>
      </w:r>
    </w:p>
    <w:p>
      <w:pPr>
        <w:spacing w:before="0" w:after="160" w:line="312" w:lineRule="auto"/>
      </w:pPr>
      <w:r>
        <w:rPr>
          <w:rFonts w:ascii="Calibri" w:hAnsi="Calibri" w:cs="Calibri" w:eastAsia="PingFang SC"/>
          <w:b/>
          <w:color w:val="3D3A33"/>
          <w:sz w:val="22"/>
          <w:szCs w:val="22"/>
        </w:rPr>
        <w:t xml:space="preserve">Social network analysis (SNA)</w:t>
      </w:r>
      <w:r>
        <w:rPr>
          <w:rFonts w:ascii="Calibri" w:hAnsi="Calibri" w:cs="Calibri" w:eastAsia="PingFang SC"/>
          <w:color w:val="3D3A33"/>
          <w:sz w:val="22"/>
          <w:szCs w:val="22"/>
        </w:rPr>
        <w:t xml:space="preserve"> examines actors and the relations connecting them. For stakeholder engagement, it adds a structural perspective: a person's influence may depend on their position in information and problem-solving relationships, not just their formal role or others' perceptions of their power.</w:t>
      </w:r>
    </w:p>
    <w:p>
      <w:pPr>
        <w:spacing w:before="0" w:after="160" w:line="312" w:lineRule="auto"/>
      </w:pP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stakeholder</w:t>
      </w:r>
      <w:r>
        <w:rPr>
          <w:rFonts w:ascii="Calibri" w:hAnsi="Calibri" w:cs="Calibri" w:eastAsia="PingFang SC"/>
          <w:color w:val="3D3A33"/>
          <w:sz w:val="22"/>
          <w:szCs w:val="22"/>
        </w:rPr>
        <w:t xml:space="preserve"> is a person or group that can affect or be affected by the work. An </w:t>
      </w:r>
      <w:r>
        <w:rPr>
          <w:rFonts w:ascii="Calibri" w:hAnsi="Calibri" w:cs="Calibri" w:eastAsia="PingFang SC"/>
          <w:b/>
          <w:color w:val="3D3A33"/>
          <w:sz w:val="22"/>
          <w:szCs w:val="22"/>
        </w:rPr>
        <w:t xml:space="preserve">actor</w:t>
      </w:r>
      <w:r>
        <w:rPr>
          <w:rFonts w:ascii="Calibri" w:hAnsi="Calibri" w:cs="Calibri" w:eastAsia="PingFang SC"/>
          <w:color w:val="3D3A33"/>
          <w:sz w:val="22"/>
          <w:szCs w:val="22"/>
        </w:rPr>
        <w:t xml:space="preserve"> is a person or organisation represented as a network node, and a </w:t>
      </w:r>
      <w:r>
        <w:rPr>
          <w:rFonts w:ascii="Calibri" w:hAnsi="Calibri" w:cs="Calibri" w:eastAsia="PingFang SC"/>
          <w:b/>
          <w:color w:val="3D3A33"/>
          <w:sz w:val="22"/>
          <w:szCs w:val="22"/>
        </w:rPr>
        <w:t xml:space="preserve">tie</w:t>
      </w:r>
      <w:r>
        <w:rPr>
          <w:rFonts w:ascii="Calibri" w:hAnsi="Calibri" w:cs="Calibri" w:eastAsia="PingFang SC"/>
          <w:color w:val="3D3A33"/>
          <w:sz w:val="22"/>
          <w:szCs w:val="22"/>
        </w:rPr>
        <w:t xml:space="preserve"> is a measured relationship between actors. A </w:t>
      </w:r>
      <w:r>
        <w:rPr>
          <w:rFonts w:ascii="Calibri" w:hAnsi="Calibri" w:cs="Calibri" w:eastAsia="PingFang SC"/>
          <w:b/>
          <w:color w:val="3D3A33"/>
          <w:sz w:val="22"/>
          <w:szCs w:val="22"/>
        </w:rPr>
        <w:t xml:space="preserve">sociogram</w:t>
      </w:r>
      <w:r>
        <w:rPr>
          <w:rFonts w:ascii="Calibri" w:hAnsi="Calibri" w:cs="Calibri" w:eastAsia="PingFang SC"/>
          <w:color w:val="3D3A33"/>
          <w:sz w:val="22"/>
          <w:szCs w:val="22"/>
        </w:rPr>
        <w:t xml:space="preserve"> visualises actors as nodes and ties as lines or arrows.</w:t>
      </w:r>
    </w:p>
    <w:p>
      <w:pPr>
        <w:spacing w:before="240" w:after="80" w:line="312" w:lineRule="auto"/>
      </w:pPr>
      <w:r>
        <w:rPr>
          <w:rFonts w:ascii="Calibri" w:hAnsi="Calibri" w:cs="Calibri" w:eastAsia="PingFang SC"/>
          <w:b/>
          <w:color w:val="9E3D34"/>
          <w:sz w:val="26"/>
          <w:szCs w:val="26"/>
        </w:rPr>
        <w:t xml:space="preserve">Three levels of network thinking</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550"/>
        <w:gridCol w:w="3239"/>
        <w:gridCol w:w="1743"/>
        <w:gridCol w:w="3828"/>
      </w:tblGrid>
      <w:tr>
        <w:trPr>
          <w:tblHeader/>
        </w:trPr>
        <w:tc>
          <w:tcPr>
            <w:tcW w:w="550" w:type="dxa"/>
            <w:shd w:val="clear" w:color="auto" w:fill="EAE7DD"/>
          </w:tcPr>
          <w:p>
            <w:pPr>
              <w:spacing w:before="0" w:after="0" w:line="312" w:lineRule="auto"/>
            </w:pPr>
            <w:r>
              <w:rPr>
                <w:rFonts w:ascii="Calibri" w:hAnsi="Calibri" w:cs="Calibri" w:eastAsia="PingFang SC"/>
                <w:b/>
                <w:color w:val="3D3A33"/>
                <w:sz w:val="22"/>
                <w:szCs w:val="22"/>
              </w:rPr>
              <w:t xml:space="preserve">Level</w:t>
            </w:r>
          </w:p>
        </w:tc>
        <w:tc>
          <w:tcPr>
            <w:tcW w:w="3239" w:type="dxa"/>
            <w:shd w:val="clear" w:color="auto" w:fill="EAE7DD"/>
          </w:tcPr>
          <w:p>
            <w:pPr>
              <w:spacing w:before="0" w:after="0" w:line="312" w:lineRule="auto"/>
            </w:pPr>
            <w:r>
              <w:rPr>
                <w:rFonts w:ascii="Calibri" w:hAnsi="Calibri" w:cs="Calibri" w:eastAsia="PingFang SC"/>
                <w:b/>
                <w:color w:val="3D3A33"/>
                <w:sz w:val="22"/>
                <w:szCs w:val="22"/>
              </w:rPr>
              <w:t xml:space="preserve">Theoretical anchor</w:t>
            </w:r>
          </w:p>
        </w:tc>
        <w:tc>
          <w:tcPr>
            <w:tcW w:w="1743" w:type="dxa"/>
            <w:shd w:val="clear" w:color="auto" w:fill="EAE7DD"/>
          </w:tcPr>
          <w:p>
            <w:pPr>
              <w:spacing w:before="0" w:after="0" w:line="312" w:lineRule="auto"/>
            </w:pPr>
            <w:r>
              <w:rPr>
                <w:rFonts w:ascii="Calibri" w:hAnsi="Calibri" w:cs="Calibri" w:eastAsia="PingFang SC"/>
                <w:b/>
                <w:color w:val="3D3A33"/>
                <w:sz w:val="22"/>
                <w:szCs w:val="22"/>
              </w:rPr>
              <w:t xml:space="preserve">Constructs</w:t>
            </w:r>
          </w:p>
        </w:tc>
        <w:tc>
          <w:tcPr>
            <w:tcW w:w="3828" w:type="dxa"/>
            <w:shd w:val="clear" w:color="auto" w:fill="EAE7DD"/>
          </w:tcPr>
          <w:p>
            <w:pPr>
              <w:spacing w:before="0" w:after="0" w:line="312" w:lineRule="auto"/>
            </w:pPr>
            <w:r>
              <w:rPr>
                <w:rFonts w:ascii="Calibri" w:hAnsi="Calibri" w:cs="Calibri" w:eastAsia="PingFang SC"/>
                <w:b/>
                <w:color w:val="3D3A33"/>
                <w:sz w:val="22"/>
                <w:szCs w:val="22"/>
              </w:rPr>
              <w:t xml:space="preserve">Relevance to stakeholder engagement</w:t>
            </w:r>
          </w:p>
        </w:tc>
      </w:tr>
      <w:tr>
        <w:tc>
          <w:tcPr>
            <w:tcW w:w="550" w:type="dxa"/>
          </w:tcPr>
          <w:p>
            <w:pPr>
              <w:spacing w:before="0" w:after="0" w:line="312" w:lineRule="auto"/>
            </w:pPr>
            <w:r>
              <w:rPr>
                <w:rFonts w:ascii="Calibri" w:hAnsi="Calibri" w:cs="Calibri" w:eastAsia="PingFang SC"/>
                <w:color w:val="3D3A33"/>
                <w:sz w:val="22"/>
                <w:szCs w:val="22"/>
              </w:rPr>
              <w:t xml:space="preserve">Network</w:t>
            </w:r>
          </w:p>
        </w:tc>
        <w:tc>
          <w:tcPr>
            <w:tcW w:w="3239" w:type="dxa"/>
          </w:tcPr>
          <w:p>
            <w:pPr>
              <w:spacing w:before="0" w:after="0" w:line="312" w:lineRule="auto"/>
            </w:pPr>
            <w:r>
              <w:rPr>
                <w:rFonts w:ascii="Calibri" w:hAnsi="Calibri" w:cs="Calibri" w:eastAsia="PingFang SC"/>
                <w:color w:val="3D3A33"/>
                <w:sz w:val="22"/>
                <w:szCs w:val="22"/>
              </w:rPr>
              <w:t xml:space="preserve">Bavelas' communication-network experiments at the Massachusetts Institute of Technology (MIT)</w:t>
            </w:r>
          </w:p>
        </w:tc>
        <w:tc>
          <w:tcPr>
            <w:tcW w:w="1743" w:type="dxa"/>
          </w:tcPr>
          <w:p>
            <w:pPr>
              <w:spacing w:before="0" w:after="0" w:line="312" w:lineRule="auto"/>
            </w:pPr>
            <w:r>
              <w:rPr>
                <w:rFonts w:ascii="Calibri" w:hAnsi="Calibri" w:cs="Calibri" w:eastAsia="PingFang SC"/>
                <w:color w:val="3D3A33"/>
                <w:sz w:val="22"/>
                <w:szCs w:val="22"/>
              </w:rPr>
              <w:t xml:space="preserve">Density and centralisation</w:t>
            </w:r>
          </w:p>
        </w:tc>
        <w:tc>
          <w:tcPr>
            <w:tcW w:w="3828" w:type="dxa"/>
          </w:tcPr>
          <w:p>
            <w:pPr>
              <w:spacing w:before="0" w:after="0" w:line="312" w:lineRule="auto"/>
            </w:pPr>
            <w:r>
              <w:rPr>
                <w:rFonts w:ascii="Calibri" w:hAnsi="Calibri" w:cs="Calibri" w:eastAsia="PingFang SC"/>
                <w:color w:val="3D3A33"/>
                <w:sz w:val="22"/>
                <w:szCs w:val="22"/>
              </w:rPr>
              <w:t xml:space="preserve">Assess overall connectedness and the extent to which relationships are concentrated around a central actor</w:t>
            </w:r>
          </w:p>
        </w:tc>
      </w:tr>
      <w:tr>
        <w:tc>
          <w:tcPr>
            <w:tcW w:w="550" w:type="dxa"/>
          </w:tcPr>
          <w:p>
            <w:pPr>
              <w:spacing w:before="0" w:after="0" w:line="312" w:lineRule="auto"/>
            </w:pPr>
            <w:r>
              <w:rPr>
                <w:rFonts w:ascii="Calibri" w:hAnsi="Calibri" w:cs="Calibri" w:eastAsia="PingFang SC"/>
                <w:color w:val="3D3A33"/>
                <w:sz w:val="22"/>
                <w:szCs w:val="22"/>
              </w:rPr>
              <w:t xml:space="preserve">Actor</w:t>
            </w:r>
          </w:p>
        </w:tc>
        <w:tc>
          <w:tcPr>
            <w:tcW w:w="3239" w:type="dxa"/>
          </w:tcPr>
          <w:p>
            <w:pPr>
              <w:spacing w:before="0" w:after="0" w:line="312" w:lineRule="auto"/>
            </w:pPr>
            <w:r>
              <w:rPr>
                <w:rFonts w:ascii="Calibri" w:hAnsi="Calibri" w:cs="Calibri" w:eastAsia="PingFang SC"/>
                <w:color w:val="3D3A33"/>
                <w:sz w:val="22"/>
                <w:szCs w:val="22"/>
              </w:rPr>
              <w:t xml:space="preserve">Freeman's centrality concepts and Burt's structural-hole theory</w:t>
            </w:r>
          </w:p>
        </w:tc>
        <w:tc>
          <w:tcPr>
            <w:tcW w:w="1743" w:type="dxa"/>
          </w:tcPr>
          <w:p>
            <w:pPr>
              <w:spacing w:before="0" w:after="0" w:line="312" w:lineRule="auto"/>
            </w:pPr>
            <w:r>
              <w:rPr>
                <w:rFonts w:ascii="Calibri" w:hAnsi="Calibri" w:cs="Calibri" w:eastAsia="PingFang SC"/>
                <w:color w:val="3D3A33"/>
                <w:sz w:val="22"/>
                <w:szCs w:val="22"/>
              </w:rPr>
              <w:t xml:space="preserve">Degree, betweenness, closeness and constraint</w:t>
            </w:r>
          </w:p>
        </w:tc>
        <w:tc>
          <w:tcPr>
            <w:tcW w:w="3828" w:type="dxa"/>
          </w:tcPr>
          <w:p>
            <w:pPr>
              <w:spacing w:before="0" w:after="0" w:line="312" w:lineRule="auto"/>
            </w:pPr>
            <w:r>
              <w:rPr>
                <w:rFonts w:ascii="Calibri" w:hAnsi="Calibri" w:cs="Calibri" w:eastAsia="PingFang SC"/>
                <w:color w:val="3D3A33"/>
                <w:sz w:val="22"/>
                <w:szCs w:val="22"/>
              </w:rPr>
              <w:t xml:space="preserve">Identify direct information access, brokerage potential, independence of access and limits on reach</w:t>
            </w:r>
          </w:p>
        </w:tc>
      </w:tr>
      <w:tr>
        <w:tc>
          <w:tcPr>
            <w:tcW w:w="550" w:type="dxa"/>
          </w:tcPr>
          <w:p>
            <w:pPr>
              <w:spacing w:before="0" w:after="0" w:line="312" w:lineRule="auto"/>
            </w:pPr>
            <w:r>
              <w:rPr>
                <w:rFonts w:ascii="Calibri" w:hAnsi="Calibri" w:cs="Calibri" w:eastAsia="PingFang SC"/>
                <w:color w:val="3D3A33"/>
                <w:sz w:val="22"/>
                <w:szCs w:val="22"/>
              </w:rPr>
              <w:t xml:space="preserve">Tie</w:t>
            </w:r>
          </w:p>
        </w:tc>
        <w:tc>
          <w:tcPr>
            <w:tcW w:w="3239" w:type="dxa"/>
          </w:tcPr>
          <w:p>
            <w:pPr>
              <w:spacing w:before="0" w:after="0" w:line="312" w:lineRule="auto"/>
            </w:pPr>
            <w:r>
              <w:rPr>
                <w:rFonts w:ascii="Calibri" w:hAnsi="Calibri" w:cs="Calibri" w:eastAsia="PingFang SC"/>
                <w:color w:val="3D3A33"/>
                <w:sz w:val="22"/>
                <w:szCs w:val="22"/>
              </w:rPr>
              <w:t xml:space="preserve">Granovetter's strength-of-weak-ties theory</w:t>
            </w:r>
          </w:p>
        </w:tc>
        <w:tc>
          <w:tcPr>
            <w:tcW w:w="1743" w:type="dxa"/>
          </w:tcPr>
          <w:p>
            <w:pPr>
              <w:spacing w:before="0" w:after="0" w:line="312" w:lineRule="auto"/>
            </w:pPr>
            <w:r>
              <w:rPr>
                <w:rFonts w:ascii="Calibri" w:hAnsi="Calibri" w:cs="Calibri" w:eastAsia="PingFang SC"/>
                <w:color w:val="3D3A33"/>
                <w:sz w:val="22"/>
                <w:szCs w:val="22"/>
              </w:rPr>
              <w:t xml:space="preserve">Tie strength</w:t>
            </w:r>
          </w:p>
        </w:tc>
        <w:tc>
          <w:tcPr>
            <w:tcW w:w="3828" w:type="dxa"/>
          </w:tcPr>
          <w:p>
            <w:pPr>
              <w:spacing w:before="0" w:after="0" w:line="312" w:lineRule="auto"/>
            </w:pPr>
            <w:r>
              <w:rPr>
                <w:rFonts w:ascii="Calibri" w:hAnsi="Calibri" w:cs="Calibri" w:eastAsia="PingFang SC"/>
                <w:color w:val="3D3A33"/>
                <w:sz w:val="22"/>
                <w:szCs w:val="22"/>
              </w:rPr>
              <w:t xml:space="preserve">Examine the nature and strength of a relationship and its role in information access or coordinated work</w:t>
            </w:r>
          </w:p>
        </w:tc>
      </w:tr>
    </w:tbl>
    <w:p>
      <w:pPr>
        <w:spacing w:before="240" w:after="80" w:line="312" w:lineRule="auto"/>
      </w:pPr>
      <w:r>
        <w:rPr>
          <w:rFonts w:ascii="Calibri" w:hAnsi="Calibri" w:cs="Calibri" w:eastAsia="PingFang SC"/>
          <w:b/>
          <w:color w:val="175244"/>
          <w:sz w:val="22"/>
          <w:szCs w:val="22"/>
        </w:rPr>
        <w:t xml:space="preserve">Network-level concepts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Density</w:t>
      </w:r>
      <w:r>
        <w:rPr>
          <w:rFonts w:ascii="Calibri" w:hAnsi="Calibri" w:cs="Calibri" w:eastAsia="PingFang SC"/>
          <w:color w:val="3D3A33"/>
          <w:sz w:val="22"/>
          <w:szCs w:val="22"/>
        </w:rPr>
        <w:t xml:space="preserve"> is the proportion of possible ties that actually exist. High density means many actors are connected to one another; low density means relatively few such connections.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Centralisation</w:t>
      </w:r>
      <w:r>
        <w:rPr>
          <w:rFonts w:ascii="Calibri" w:hAnsi="Calibri" w:cs="Calibri" w:eastAsia="PingFang SC"/>
          <w:color w:val="3D3A33"/>
          <w:sz w:val="22"/>
          <w:szCs w:val="22"/>
        </w:rPr>
        <w:t xml:space="preserve"> is the extent to which a network's connections or other centrality values are concentrated around a small number of actors. It describes the network, not the centrality of a single person.</w:t>
      </w:r>
    </w:p>
    <w:p>
      <w:pPr>
        <w:spacing w:before="0" w:after="160" w:line="312" w:lineRule="auto"/>
      </w:pPr>
      <w:r>
        <w:rPr>
          <w:rFonts w:ascii="Calibri" w:hAnsi="Calibri" w:cs="Calibri" w:eastAsia="PingFang SC"/>
          <w:color w:val="3D3A33"/>
          <w:sz w:val="22"/>
          <w:szCs w:val="22"/>
        </w:rPr>
        <w:t xml:space="preserve">A large sociogram can contain dense local clusters and a more sparsely connected centre. Overall density alone can therefore conceal meaningful local patterns.</w:t>
      </w:r>
    </w:p>
    <w:p>
      <w:pPr>
        <w:spacing w:before="240" w:after="80" w:line="312" w:lineRule="auto"/>
      </w:pPr>
      <w:r>
        <w:rPr>
          <w:rFonts w:ascii="Calibri" w:hAnsi="Calibri" w:cs="Calibri" w:eastAsia="PingFang SC"/>
          <w:b/>
          <w:color w:val="175244"/>
          <w:sz w:val="22"/>
          <w:szCs w:val="22"/>
        </w:rPr>
        <w:t xml:space="preserve">Actor-level concepts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796"/>
        <w:gridCol w:w="3965"/>
        <w:gridCol w:w="3599"/>
      </w:tblGrid>
      <w:tr>
        <w:trPr>
          <w:tblHeader/>
        </w:trPr>
        <w:tc>
          <w:tcPr>
            <w:tcW w:w="1796" w:type="dxa"/>
            <w:shd w:val="clear" w:color="auto" w:fill="EAE7DD"/>
          </w:tcPr>
          <w:p>
            <w:pPr>
              <w:spacing w:before="0" w:after="0" w:line="312" w:lineRule="auto"/>
            </w:pPr>
            <w:r>
              <w:rPr>
                <w:rFonts w:ascii="Calibri" w:hAnsi="Calibri" w:cs="Calibri" w:eastAsia="PingFang SC"/>
                <w:b/>
                <w:color w:val="3D3A33"/>
                <w:sz w:val="22"/>
                <w:szCs w:val="22"/>
              </w:rPr>
              <w:t xml:space="preserve">Construct</w:t>
            </w:r>
          </w:p>
        </w:tc>
        <w:tc>
          <w:tcPr>
            <w:tcW w:w="3965" w:type="dxa"/>
            <w:shd w:val="clear" w:color="auto" w:fill="EAE7DD"/>
          </w:tcPr>
          <w:p>
            <w:pPr>
              <w:spacing w:before="0" w:after="0" w:line="312" w:lineRule="auto"/>
            </w:pPr>
            <w:r>
              <w:rPr>
                <w:rFonts w:ascii="Calibri" w:hAnsi="Calibri" w:cs="Calibri" w:eastAsia="PingFang SC"/>
                <w:b/>
                <w:color w:val="3D3A33"/>
                <w:sz w:val="22"/>
                <w:szCs w:val="22"/>
              </w:rPr>
              <w:t xml:space="preserve">Meaning</w:t>
            </w:r>
          </w:p>
        </w:tc>
        <w:tc>
          <w:tcPr>
            <w:tcW w:w="3599" w:type="dxa"/>
            <w:shd w:val="clear" w:color="auto" w:fill="EAE7DD"/>
          </w:tcPr>
          <w:p>
            <w:pPr>
              <w:spacing w:before="0" w:after="0" w:line="312" w:lineRule="auto"/>
            </w:pPr>
            <w:r>
              <w:rPr>
                <w:rFonts w:ascii="Calibri" w:hAnsi="Calibri" w:cs="Calibri" w:eastAsia="PingFang SC"/>
                <w:b/>
                <w:color w:val="3D3A33"/>
                <w:sz w:val="22"/>
                <w:szCs w:val="22"/>
              </w:rPr>
              <w:t xml:space="preserve">Engagement interpretation</w:t>
            </w:r>
          </w:p>
        </w:tc>
      </w:tr>
      <w:tr>
        <w:tc>
          <w:tcPr>
            <w:tcW w:w="1796" w:type="dxa"/>
          </w:tcPr>
          <w:p>
            <w:pPr>
              <w:spacing w:before="0" w:after="0" w:line="312" w:lineRule="auto"/>
            </w:pPr>
            <w:r>
              <w:rPr>
                <w:rFonts w:ascii="Calibri" w:hAnsi="Calibri" w:cs="Calibri" w:eastAsia="PingFang SC"/>
                <w:color w:val="3D3A33"/>
                <w:sz w:val="22"/>
                <w:szCs w:val="22"/>
              </w:rPr>
              <w:t xml:space="preserve">Degree centrality</w:t>
            </w:r>
          </w:p>
        </w:tc>
        <w:tc>
          <w:tcPr>
            <w:tcW w:w="3965" w:type="dxa"/>
          </w:tcPr>
          <w:p>
            <w:pPr>
              <w:spacing w:before="0" w:after="0" w:line="312" w:lineRule="auto"/>
            </w:pPr>
            <w:r>
              <w:rPr>
                <w:rFonts w:ascii="Calibri" w:hAnsi="Calibri" w:cs="Calibri" w:eastAsia="PingFang SC"/>
                <w:color w:val="3D3A33"/>
                <w:sz w:val="22"/>
                <w:szCs w:val="22"/>
              </w:rPr>
              <w:t xml:space="preserve">Number of direct ties</w:t>
            </w:r>
          </w:p>
        </w:tc>
        <w:tc>
          <w:tcPr>
            <w:tcW w:w="3599" w:type="dxa"/>
          </w:tcPr>
          <w:p>
            <w:pPr>
              <w:spacing w:before="0" w:after="0" w:line="312" w:lineRule="auto"/>
            </w:pPr>
            <w:r>
              <w:rPr>
                <w:rFonts w:ascii="Calibri" w:hAnsi="Calibri" w:cs="Calibri" w:eastAsia="PingFang SC"/>
                <w:color w:val="3D3A33"/>
                <w:sz w:val="22"/>
                <w:szCs w:val="22"/>
              </w:rPr>
              <w:t xml:space="preserve">Potential for high direct information flow</w:t>
            </w:r>
          </w:p>
        </w:tc>
      </w:tr>
      <w:tr>
        <w:tc>
          <w:tcPr>
            <w:tcW w:w="1796" w:type="dxa"/>
          </w:tcPr>
          <w:p>
            <w:pPr>
              <w:spacing w:before="0" w:after="0" w:line="312" w:lineRule="auto"/>
            </w:pPr>
            <w:r>
              <w:rPr>
                <w:rFonts w:ascii="Calibri" w:hAnsi="Calibri" w:cs="Calibri" w:eastAsia="PingFang SC"/>
                <w:color w:val="3D3A33"/>
                <w:sz w:val="22"/>
                <w:szCs w:val="22"/>
              </w:rPr>
              <w:t xml:space="preserve">Betweenness centrality</w:t>
            </w:r>
          </w:p>
        </w:tc>
        <w:tc>
          <w:tcPr>
            <w:tcW w:w="3965" w:type="dxa"/>
          </w:tcPr>
          <w:p>
            <w:pPr>
              <w:spacing w:before="0" w:after="0" w:line="312" w:lineRule="auto"/>
            </w:pPr>
            <w:r>
              <w:rPr>
                <w:rFonts w:ascii="Calibri" w:hAnsi="Calibri" w:cs="Calibri" w:eastAsia="PingFang SC"/>
                <w:color w:val="3D3A33"/>
                <w:sz w:val="22"/>
                <w:szCs w:val="22"/>
              </w:rPr>
              <w:t xml:space="preserve">Extent to which an actor lies on shortest paths between others</w:t>
            </w:r>
          </w:p>
        </w:tc>
        <w:tc>
          <w:tcPr>
            <w:tcW w:w="3599" w:type="dxa"/>
          </w:tcPr>
          <w:p>
            <w:pPr>
              <w:spacing w:before="0" w:after="0" w:line="312" w:lineRule="auto"/>
            </w:pPr>
            <w:r>
              <w:rPr>
                <w:rFonts w:ascii="Calibri" w:hAnsi="Calibri" w:cs="Calibri" w:eastAsia="PingFang SC"/>
                <w:color w:val="3D3A33"/>
                <w:sz w:val="22"/>
                <w:szCs w:val="22"/>
              </w:rPr>
              <w:t xml:space="preserve">Brokerage or gatekeeping potential</w:t>
            </w:r>
          </w:p>
        </w:tc>
      </w:tr>
      <w:tr>
        <w:tc>
          <w:tcPr>
            <w:tcW w:w="1796" w:type="dxa"/>
          </w:tcPr>
          <w:p>
            <w:pPr>
              <w:spacing w:before="0" w:after="0" w:line="312" w:lineRule="auto"/>
            </w:pPr>
            <w:r>
              <w:rPr>
                <w:rFonts w:ascii="Calibri" w:hAnsi="Calibri" w:cs="Calibri" w:eastAsia="PingFang SC"/>
                <w:color w:val="3D3A33"/>
                <w:sz w:val="22"/>
                <w:szCs w:val="22"/>
              </w:rPr>
              <w:t xml:space="preserve">Closeness centrality</w:t>
            </w:r>
          </w:p>
        </w:tc>
        <w:tc>
          <w:tcPr>
            <w:tcW w:w="3965" w:type="dxa"/>
          </w:tcPr>
          <w:p>
            <w:pPr>
              <w:spacing w:before="0" w:after="0" w:line="312" w:lineRule="auto"/>
            </w:pPr>
            <w:r>
              <w:rPr>
                <w:rFonts w:ascii="Calibri" w:hAnsi="Calibri" w:cs="Calibri" w:eastAsia="PingFang SC"/>
                <w:color w:val="3D3A33"/>
                <w:sz w:val="22"/>
                <w:szCs w:val="22"/>
              </w:rPr>
              <w:t xml:space="preserve">Short-path accessibility to other actors</w:t>
            </w:r>
          </w:p>
        </w:tc>
        <w:tc>
          <w:tcPr>
            <w:tcW w:w="3599" w:type="dxa"/>
          </w:tcPr>
          <w:p>
            <w:pPr>
              <w:spacing w:before="0" w:after="0" w:line="312" w:lineRule="auto"/>
            </w:pPr>
            <w:r>
              <w:rPr>
                <w:rFonts w:ascii="Calibri" w:hAnsi="Calibri" w:cs="Calibri" w:eastAsia="PingFang SC"/>
                <w:color w:val="3D3A33"/>
                <w:sz w:val="22"/>
                <w:szCs w:val="22"/>
              </w:rPr>
              <w:t xml:space="preserve">Potential independence from intermediaries when reaching others</w:t>
            </w:r>
          </w:p>
        </w:tc>
      </w:tr>
      <w:tr>
        <w:tc>
          <w:tcPr>
            <w:tcW w:w="1796" w:type="dxa"/>
          </w:tcPr>
          <w:p>
            <w:pPr>
              <w:spacing w:before="0" w:after="0" w:line="312" w:lineRule="auto"/>
            </w:pPr>
            <w:r>
              <w:rPr>
                <w:rFonts w:ascii="Calibri" w:hAnsi="Calibri" w:cs="Calibri" w:eastAsia="PingFang SC"/>
                <w:color w:val="3D3A33"/>
                <w:sz w:val="22"/>
                <w:szCs w:val="22"/>
              </w:rPr>
              <w:t xml:space="preserve">Constraint</w:t>
            </w:r>
          </w:p>
        </w:tc>
        <w:tc>
          <w:tcPr>
            <w:tcW w:w="3965" w:type="dxa"/>
          </w:tcPr>
          <w:p>
            <w:pPr>
              <w:spacing w:before="0" w:after="0" w:line="312" w:lineRule="auto"/>
            </w:pPr>
            <w:r>
              <w:rPr>
                <w:rFonts w:ascii="Calibri" w:hAnsi="Calibri" w:cs="Calibri" w:eastAsia="PingFang SC"/>
                <w:color w:val="3D3A33"/>
                <w:sz w:val="22"/>
                <w:szCs w:val="22"/>
              </w:rPr>
              <w:t xml:space="preserve">Extent to which an actor's relationships lead back into the same interconnected circle</w:t>
            </w:r>
          </w:p>
        </w:tc>
        <w:tc>
          <w:tcPr>
            <w:tcW w:w="3599" w:type="dxa"/>
          </w:tcPr>
          <w:p>
            <w:pPr>
              <w:spacing w:before="0" w:after="0" w:line="312" w:lineRule="auto"/>
            </w:pPr>
            <w:r>
              <w:rPr>
                <w:rFonts w:ascii="Calibri" w:hAnsi="Calibri" w:cs="Calibri" w:eastAsia="PingFang SC"/>
                <w:color w:val="3D3A33"/>
                <w:sz w:val="22"/>
                <w:szCs w:val="22"/>
              </w:rPr>
              <w:t xml:space="preserve">Lack of reach into independent, non-redundant contacts</w:t>
            </w:r>
          </w:p>
        </w:tc>
      </w:tr>
    </w:tbl>
    <w:p>
      <w:pPr>
        <w:spacing w:before="0" w:after="160" w:line="312" w:lineRule="auto"/>
      </w:pPr>
      <w:r>
        <w:rPr>
          <w:rFonts w:ascii="Calibri" w:hAnsi="Calibri" w:cs="Calibri" w:eastAsia="PingFang SC"/>
          <w:color w:val="3D3A33"/>
          <w:sz w:val="22"/>
          <w:szCs w:val="22"/>
        </w:rPr>
        <w:t xml:space="preserve">High degree does not guarantee that information actually flows, and high betweenness does not prove deliberate control. These measures indicate structural opportunities or dependencies.</w:t>
      </w:r>
    </w:p>
    <w:p>
      <w:pPr>
        <w:spacing w:before="0" w:after="160" w:line="312" w:lineRule="auto"/>
      </w:pP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structural hole</w:t>
      </w:r>
      <w:r>
        <w:rPr>
          <w:rFonts w:ascii="Calibri" w:hAnsi="Calibri" w:cs="Calibri" w:eastAsia="PingFang SC"/>
          <w:color w:val="3D3A33"/>
          <w:sz w:val="22"/>
          <w:szCs w:val="22"/>
        </w:rPr>
        <w:t xml:space="preserve"> is a gap between actors or groups that are not directly connected. A </w:t>
      </w:r>
      <w:r>
        <w:rPr>
          <w:rFonts w:ascii="Calibri" w:hAnsi="Calibri" w:cs="Calibri" w:eastAsia="PingFang SC"/>
          <w:b/>
          <w:color w:val="3D3A33"/>
          <w:sz w:val="22"/>
          <w:szCs w:val="22"/>
        </w:rPr>
        <w:t xml:space="preserve">broker</w:t>
      </w:r>
      <w:r>
        <w:rPr>
          <w:rFonts w:ascii="Calibri" w:hAnsi="Calibri" w:cs="Calibri" w:eastAsia="PingFang SC"/>
          <w:color w:val="3D3A33"/>
          <w:sz w:val="22"/>
          <w:szCs w:val="22"/>
        </w:rPr>
        <w:t xml:space="preserve"> bridges that gap. Burt's framework highlights access to non-redundant information: connections into the same tightly interconnected group may offer less novelty than connections to otherwise separate groups. High constraint limits such independent access.</w:t>
      </w:r>
    </w:p>
    <w:p>
      <w:pPr>
        <w:spacing w:before="240" w:after="80" w:line="312" w:lineRule="auto"/>
      </w:pPr>
      <w:r>
        <w:rPr>
          <w:rFonts w:ascii="Calibri" w:hAnsi="Calibri" w:cs="Calibri" w:eastAsia="PingFang SC"/>
          <w:b/>
          <w:color w:val="175244"/>
          <w:sz w:val="22"/>
          <w:szCs w:val="22"/>
        </w:rPr>
        <w:t xml:space="preserve">Tie-level concepts</w:t>
      </w:r>
    </w:p>
    <w:p>
      <w:pPr>
        <w:spacing w:before="0" w:after="160" w:line="312" w:lineRule="auto"/>
      </w:pPr>
      <w:r>
        <w:rPr>
          <w:rFonts w:ascii="Calibri" w:hAnsi="Calibri" w:cs="Calibri" w:eastAsia="PingFang SC"/>
          <w:b/>
          <w:color w:val="3D3A33"/>
          <w:sz w:val="22"/>
          <w:szCs w:val="22"/>
        </w:rPr>
        <w:t xml:space="preserve">Weak ties</w:t>
      </w:r>
      <w:r>
        <w:rPr>
          <w:rFonts w:ascii="Calibri" w:hAnsi="Calibri" w:cs="Calibri" w:eastAsia="PingFang SC"/>
          <w:color w:val="3D3A33"/>
          <w:sz w:val="22"/>
          <w:szCs w:val="22"/>
        </w:rPr>
        <w:t xml:space="preserve"> can act as bridges carrying new information into a tightly connected group. </w:t>
      </w:r>
      <w:r>
        <w:rPr>
          <w:rFonts w:ascii="Calibri" w:hAnsi="Calibri" w:cs="Calibri" w:eastAsia="PingFang SC"/>
          <w:b/>
          <w:color w:val="3D3A33"/>
          <w:sz w:val="22"/>
          <w:szCs w:val="22"/>
        </w:rPr>
        <w:t xml:space="preserve">Strong ties</w:t>
      </w:r>
      <w:r>
        <w:rPr>
          <w:rFonts w:ascii="Calibri" w:hAnsi="Calibri" w:cs="Calibri" w:eastAsia="PingFang SC"/>
          <w:color w:val="3D3A33"/>
          <w:sz w:val="22"/>
          <w:szCs w:val="22"/>
        </w:rPr>
        <w:t xml:space="preserve"> can support trust, shared understanding and the coordination needed to solve complex problems.</w:t>
      </w:r>
    </w:p>
    <w:p>
      <w:pPr>
        <w:spacing w:before="0" w:after="160" w:line="312" w:lineRule="auto"/>
      </w:pPr>
      <w:r>
        <w:rPr>
          <w:rFonts w:ascii="Calibri" w:hAnsi="Calibri" w:cs="Calibri" w:eastAsia="PingFang SC"/>
          <w:color w:val="3D3A33"/>
          <w:sz w:val="22"/>
          <w:szCs w:val="22"/>
        </w:rPr>
        <w:t xml:space="preserve">The distinction is functional rather than a ranking of good and bad relationships. Information discovery and difficult implementation may require different combinations of weak and strong ties. Not every weak tie necessarily bridges groups, and a strong tie can also carry new information.</w:t>
      </w:r>
    </w:p>
    <w:p>
      <w:pPr>
        <w:spacing w:before="240" w:after="80" w:line="312" w:lineRule="auto"/>
      </w:pPr>
      <w:r>
        <w:rPr>
          <w:rFonts w:ascii="Calibri" w:hAnsi="Calibri" w:cs="Calibri" w:eastAsia="PingFang SC"/>
          <w:b/>
          <w:color w:val="9E3D34"/>
          <w:sz w:val="26"/>
          <w:szCs w:val="26"/>
        </w:rPr>
        <w:t xml:space="preserve">Rowley's structural classification of stakeholder influence</w:t>
      </w:r>
    </w:p>
    <w:p>
      <w:pPr>
        <w:spacing w:before="0" w:after="160" w:line="312" w:lineRule="auto"/>
      </w:pPr>
      <w:r>
        <w:rPr>
          <w:rFonts w:ascii="Calibri" w:hAnsi="Calibri" w:cs="Calibri" w:eastAsia="PingFang SC"/>
          <w:color w:val="3D3A33"/>
          <w:sz w:val="22"/>
          <w:szCs w:val="22"/>
        </w:rPr>
        <w:t xml:space="preserve">Rowley's 1997 framework combines stakeholder centrality with the density of the surrounding stakeholder network.</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093"/>
        <w:gridCol w:w="3634"/>
        <w:gridCol w:w="3634"/>
      </w:tblGrid>
      <w:tr>
        <w:trPr>
          <w:tblHeader/>
        </w:trPr>
        <w:tc>
          <w:tcPr>
            <w:tcW w:w="2093" w:type="dxa"/>
            <w:shd w:val="clear" w:color="auto" w:fill="EAE7DD"/>
          </w:tcPr>
          <w:p>
            <w:pPr>
              <w:spacing w:before="0" w:after="0" w:line="312" w:lineRule="auto"/>
            </w:pPr>
            <w:r>
              <w:rPr>
                <w:rFonts w:ascii="Calibri" w:hAnsi="Calibri" w:cs="Calibri" w:eastAsia="PingFang SC"/>
                <w:b/>
                <w:color w:val="3D3A33"/>
                <w:sz w:val="22"/>
                <w:szCs w:val="22"/>
              </w:rPr>
              <w:t xml:space="preserve">Stakeholder-network density</w:t>
            </w:r>
          </w:p>
        </w:tc>
        <w:tc>
          <w:tcPr>
            <w:tcW w:w="3634" w:type="dxa"/>
            <w:shd w:val="clear" w:color="auto" w:fill="EAE7DD"/>
          </w:tcPr>
          <w:p>
            <w:pPr>
              <w:spacing w:before="0" w:after="0" w:line="312" w:lineRule="auto"/>
            </w:pPr>
            <w:r>
              <w:rPr>
                <w:rFonts w:ascii="Calibri" w:hAnsi="Calibri" w:cs="Calibri" w:eastAsia="PingFang SC"/>
                <w:b/>
                <w:color w:val="3D3A33"/>
                <w:sz w:val="22"/>
                <w:szCs w:val="22"/>
              </w:rPr>
              <w:t xml:space="preserve">Low stakeholder centrality</w:t>
            </w:r>
          </w:p>
        </w:tc>
        <w:tc>
          <w:tcPr>
            <w:tcW w:w="3634" w:type="dxa"/>
            <w:shd w:val="clear" w:color="auto" w:fill="EAE7DD"/>
          </w:tcPr>
          <w:p>
            <w:pPr>
              <w:spacing w:before="0" w:after="0" w:line="312" w:lineRule="auto"/>
            </w:pPr>
            <w:r>
              <w:rPr>
                <w:rFonts w:ascii="Calibri" w:hAnsi="Calibri" w:cs="Calibri" w:eastAsia="PingFang SC"/>
                <w:b/>
                <w:color w:val="3D3A33"/>
                <w:sz w:val="22"/>
                <w:szCs w:val="22"/>
              </w:rPr>
              <w:t xml:space="preserve">High stakeholder centrality</w:t>
            </w:r>
          </w:p>
        </w:tc>
      </w:tr>
      <w:tr>
        <w:tc>
          <w:tcPr>
            <w:tcW w:w="2093" w:type="dxa"/>
          </w:tcPr>
          <w:p>
            <w:pPr>
              <w:spacing w:before="0" w:after="0" w:line="312" w:lineRule="auto"/>
            </w:pPr>
            <w:r>
              <w:rPr>
                <w:rFonts w:ascii="Calibri" w:hAnsi="Calibri" w:cs="Calibri" w:eastAsia="PingFang SC"/>
                <w:color w:val="3D3A33"/>
                <w:sz w:val="22"/>
                <w:szCs w:val="22"/>
              </w:rPr>
              <w:t xml:space="preserve">High</w:t>
            </w:r>
          </w:p>
        </w:tc>
        <w:tc>
          <w:tcPr>
            <w:tcW w:w="3634" w:type="dxa"/>
          </w:tcPr>
          <w:p>
            <w:pPr>
              <w:spacing w:before="0" w:after="0" w:line="312" w:lineRule="auto"/>
            </w:pPr>
            <w:r>
              <w:rPr>
                <w:rFonts w:ascii="Calibri" w:hAnsi="Calibri" w:cs="Calibri" w:eastAsia="PingFang SC"/>
                <w:b/>
                <w:color w:val="3D3A33"/>
                <w:sz w:val="22"/>
                <w:szCs w:val="22"/>
              </w:rPr>
              <w:t xml:space="preserve">Subordinate</w:t>
            </w:r>
          </w:p>
        </w:tc>
        <w:tc>
          <w:tcPr>
            <w:tcW w:w="3634" w:type="dxa"/>
          </w:tcPr>
          <w:p>
            <w:pPr>
              <w:spacing w:before="0" w:after="0" w:line="312" w:lineRule="auto"/>
            </w:pPr>
            <w:r>
              <w:rPr>
                <w:rFonts w:ascii="Calibri" w:hAnsi="Calibri" w:cs="Calibri" w:eastAsia="PingFang SC"/>
                <w:b/>
                <w:color w:val="3D3A33"/>
                <w:sz w:val="22"/>
                <w:szCs w:val="22"/>
              </w:rPr>
              <w:t xml:space="preserve">Compromiser</w:t>
            </w:r>
          </w:p>
        </w:tc>
      </w:tr>
      <w:tr>
        <w:tc>
          <w:tcPr>
            <w:tcW w:w="2093" w:type="dxa"/>
          </w:tcPr>
          <w:p>
            <w:pPr>
              <w:spacing w:before="0" w:after="0" w:line="312" w:lineRule="auto"/>
            </w:pPr>
            <w:r>
              <w:rPr>
                <w:rFonts w:ascii="Calibri" w:hAnsi="Calibri" w:cs="Calibri" w:eastAsia="PingFang SC"/>
                <w:color w:val="3D3A33"/>
                <w:sz w:val="22"/>
                <w:szCs w:val="22"/>
              </w:rPr>
              <w:t xml:space="preserve">Low</w:t>
            </w:r>
          </w:p>
        </w:tc>
        <w:tc>
          <w:tcPr>
            <w:tcW w:w="3634" w:type="dxa"/>
          </w:tcPr>
          <w:p>
            <w:pPr>
              <w:spacing w:before="0" w:after="0" w:line="312" w:lineRule="auto"/>
            </w:pPr>
            <w:r>
              <w:rPr>
                <w:rFonts w:ascii="Calibri" w:hAnsi="Calibri" w:cs="Calibri" w:eastAsia="PingFang SC"/>
                <w:b/>
                <w:color w:val="3D3A33"/>
                <w:sz w:val="22"/>
                <w:szCs w:val="22"/>
              </w:rPr>
              <w:t xml:space="preserve">Solitarian</w:t>
            </w:r>
          </w:p>
        </w:tc>
        <w:tc>
          <w:tcPr>
            <w:tcW w:w="3634" w:type="dxa"/>
          </w:tcPr>
          <w:p>
            <w:pPr>
              <w:spacing w:before="0" w:after="0" w:line="312" w:lineRule="auto"/>
            </w:pPr>
            <w:r>
              <w:rPr>
                <w:rFonts w:ascii="Calibri" w:hAnsi="Calibri" w:cs="Calibri" w:eastAsia="PingFang SC"/>
                <w:b/>
                <w:color w:val="3D3A33"/>
                <w:sz w:val="22"/>
                <w:szCs w:val="22"/>
              </w:rPr>
              <w:t xml:space="preserve">Commander</w:t>
            </w:r>
          </w:p>
        </w:tc>
      </w:tr>
    </w:tbl>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Commander:</w:t>
      </w:r>
      <w:r>
        <w:rPr>
          <w:rFonts w:ascii="Calibri" w:hAnsi="Calibri" w:cs="Calibri" w:eastAsia="PingFang SC"/>
          <w:color w:val="3D3A33"/>
          <w:sz w:val="22"/>
          <w:szCs w:val="22"/>
        </w:rPr>
        <w:t xml:space="preserve"> high centrality in a low-density setting. Other actors have relatively few connections to one another, so the focal actor has greater scope to coordinate or broker exchanges between them. This indicates potential leverage, not proof of being the only possible channel.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Compromiser:</w:t>
      </w:r>
      <w:r>
        <w:rPr>
          <w:rFonts w:ascii="Calibri" w:hAnsi="Calibri" w:cs="Calibri" w:eastAsia="PingFang SC"/>
          <w:color w:val="3D3A33"/>
          <w:sz w:val="22"/>
          <w:szCs w:val="22"/>
        </w:rPr>
        <w:t xml:space="preserve"> high centrality in a high-density setting. The focal actor is well connected, but others can also coordinate independently, encouraging negotiation rather than unilateral control.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Subordinate:</w:t>
      </w:r>
      <w:r>
        <w:rPr>
          <w:rFonts w:ascii="Calibri" w:hAnsi="Calibri" w:cs="Calibri" w:eastAsia="PingFang SC"/>
          <w:color w:val="3D3A33"/>
          <w:sz w:val="22"/>
          <w:szCs w:val="22"/>
        </w:rPr>
        <w:t xml:space="preserve"> low centrality in a high-density setting. Other actors can coordinate without the focal actor, limiting its structural influence.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Solitarian:</w:t>
      </w:r>
      <w:r>
        <w:rPr>
          <w:rFonts w:ascii="Calibri" w:hAnsi="Calibri" w:cs="Calibri" w:eastAsia="PingFang SC"/>
          <w:color w:val="3D3A33"/>
          <w:sz w:val="22"/>
          <w:szCs w:val="22"/>
        </w:rPr>
        <w:t xml:space="preserve"> low centrality in a low-density setting. The focal actor has few connections and limited integration into collective activity.</w:t>
      </w:r>
    </w:p>
    <w:p>
      <w:pPr>
        <w:spacing w:before="0" w:after="160" w:line="312" w:lineRule="auto"/>
      </w:pPr>
      <w:r>
        <w:rPr>
          <w:rFonts w:ascii="Calibri" w:hAnsi="Calibri" w:cs="Calibri" w:eastAsia="PingFang SC"/>
          <w:color w:val="3D3A33"/>
          <w:sz w:val="22"/>
          <w:szCs w:val="22"/>
        </w:rPr>
        <w:t xml:space="preserve">This differs from an attribute-based assessment. A </w:t>
      </w:r>
      <w:r>
        <w:rPr>
          <w:rFonts w:ascii="Calibri" w:hAnsi="Calibri" w:cs="Calibri" w:eastAsia="PingFang SC"/>
          <w:b/>
          <w:color w:val="3D3A33"/>
          <w:sz w:val="22"/>
          <w:szCs w:val="22"/>
        </w:rPr>
        <w:t xml:space="preserve">salience model</w:t>
      </w:r>
      <w:r>
        <w:rPr>
          <w:rFonts w:ascii="Calibri" w:hAnsi="Calibri" w:cs="Calibri" w:eastAsia="PingFang SC"/>
          <w:color w:val="3D3A33"/>
          <w:sz w:val="22"/>
          <w:szCs w:val="22"/>
        </w:rPr>
        <w:t xml:space="preserve"> assesses power, legitimacy and urgency; a </w:t>
      </w:r>
      <w:r>
        <w:rPr>
          <w:rFonts w:ascii="Calibri" w:hAnsi="Calibri" w:cs="Calibri" w:eastAsia="PingFang SC"/>
          <w:b/>
          <w:color w:val="3D3A33"/>
          <w:sz w:val="22"/>
          <w:szCs w:val="22"/>
        </w:rPr>
        <w:t xml:space="preserve">power-interest grid</w:t>
      </w:r>
      <w:r>
        <w:rPr>
          <w:rFonts w:ascii="Calibri" w:hAnsi="Calibri" w:cs="Calibri" w:eastAsia="PingFang SC"/>
          <w:color w:val="3D3A33"/>
          <w:sz w:val="22"/>
          <w:szCs w:val="22"/>
        </w:rPr>
        <w:t xml:space="preserve"> compares power with interest. Rowley's classification asks about position within a pattern of relationships. The approaches measure different aspects of stakeholder importance.</w:t>
      </w:r>
    </w:p>
    <w:p>
      <w:pPr>
        <w:spacing w:before="240" w:after="80" w:line="312" w:lineRule="auto"/>
      </w:pPr>
      <w:r>
        <w:rPr>
          <w:rFonts w:ascii="Calibri" w:hAnsi="Calibri" w:cs="Calibri" w:eastAsia="PingFang SC"/>
          <w:b/>
          <w:color w:val="9E3D34"/>
          <w:sz w:val="26"/>
          <w:szCs w:val="26"/>
        </w:rPr>
        <w:t xml:space="preserve">ACME Telco case</w:t>
      </w:r>
    </w:p>
    <w:p>
      <w:pPr>
        <w:spacing w:before="240" w:after="80" w:line="312" w:lineRule="auto"/>
      </w:pPr>
      <w:r>
        <w:rPr>
          <w:rFonts w:ascii="Calibri" w:hAnsi="Calibri" w:cs="Calibri" w:eastAsia="PingFang SC"/>
          <w:b/>
          <w:color w:val="175244"/>
          <w:sz w:val="22"/>
          <w:szCs w:val="22"/>
        </w:rPr>
        <w:t xml:space="preserve">Organisation and network boundary</w:t>
      </w:r>
    </w:p>
    <w:p>
      <w:pPr>
        <w:spacing w:before="0" w:after="160" w:line="312" w:lineRule="auto"/>
      </w:pPr>
      <w:r>
        <w:rPr>
          <w:rFonts w:ascii="Calibri" w:hAnsi="Calibri" w:cs="Calibri" w:eastAsia="PingFang SC"/>
          <w:color w:val="3D3A33"/>
          <w:sz w:val="22"/>
          <w:szCs w:val="22"/>
        </w:rPr>
        <w:t xml:space="preserve">ACME Telco is an internet service provider in Tasmania, established in 2008. The case describes </w:t>
      </w:r>
      <w:r>
        <w:rPr>
          <w:rFonts w:ascii="Calibri" w:hAnsi="Calibri" w:cs="Calibri" w:eastAsia="PingFang SC"/>
          <w:b/>
          <w:color w:val="3D3A33"/>
          <w:sz w:val="22"/>
          <w:szCs w:val="22"/>
        </w:rPr>
        <w:t xml:space="preserve">31 employees serving more than 100 small and medium-sized enterprises (SMEs)</w:t>
      </w:r>
      <w:r>
        <w:rPr>
          <w:rFonts w:ascii="Calibri" w:hAnsi="Calibri" w:cs="Calibri" w:eastAsia="PingFang SC"/>
          <w:color w:val="3D3A33"/>
          <w:sz w:val="22"/>
          <w:szCs w:val="22"/>
        </w:rPr>
        <w:t xml:space="preserve">. There were </w:t>
      </w:r>
      <w:r>
        <w:rPr>
          <w:rFonts w:ascii="Calibri" w:hAnsi="Calibri" w:cs="Calibri" w:eastAsia="PingFang SC"/>
          <w:b/>
          <w:color w:val="3D3A33"/>
          <w:sz w:val="22"/>
          <w:szCs w:val="22"/>
        </w:rPr>
        <w:t xml:space="preserve">27 employee respondents</w:t>
      </w:r>
      <w:r>
        <w:rPr>
          <w:rFonts w:ascii="Calibri" w:hAnsi="Calibri" w:cs="Calibri" w:eastAsia="PingFang SC"/>
          <w:color w:val="3D3A33"/>
          <w:sz w:val="22"/>
          <w:szCs w:val="22"/>
        </w:rPr>
        <w:t xml:space="preserve">, a reported response rate of </w:t>
      </w:r>
      <w:r>
        <w:rPr>
          <w:rFonts w:ascii="Calibri" w:hAnsi="Calibri" w:cs="Calibri" w:eastAsia="PingFang SC"/>
          <w:b/>
          <w:color w:val="3D3A33"/>
          <w:sz w:val="22"/>
          <w:szCs w:val="22"/>
        </w:rPr>
        <w:t xml:space="preserve">87%</w:t>
      </w:r>
      <w:r>
        <w:rPr>
          <w:rFonts w:ascii="Calibri" w:hAnsi="Calibri" w:cs="Calibri" w:eastAsia="PingFang SC"/>
          <w:color w:val="3D3A33"/>
          <w:sz w:val="22"/>
          <w:szCs w:val="22"/>
        </w:rPr>
        <w:t xml:space="preserve">.</w:t>
      </w:r>
    </w:p>
    <w:p>
      <w:pPr>
        <w:spacing w:before="0" w:after="160" w:line="312" w:lineRule="auto"/>
      </w:pPr>
      <w:r>
        <w:rPr>
          <w:rFonts w:ascii="Calibri" w:hAnsi="Calibri" w:cs="Calibri" w:eastAsia="PingFang SC"/>
          <w:color w:val="3D3A33"/>
          <w:sz w:val="22"/>
          <w:szCs w:val="22"/>
        </w:rPr>
        <w:t xml:space="preserve">The relationship studied was interaction for problem-solving in project work over the preceding three months. A </w:t>
      </w:r>
      <w:r>
        <w:rPr>
          <w:rFonts w:ascii="Calibri" w:hAnsi="Calibri" w:cs="Calibri" w:eastAsia="PingFang SC"/>
          <w:b/>
          <w:color w:val="3D3A33"/>
          <w:sz w:val="22"/>
          <w:szCs w:val="22"/>
        </w:rPr>
        <w:t xml:space="preserve">name-generator question</w:t>
      </w:r>
      <w:r>
        <w:rPr>
          <w:rFonts w:ascii="Calibri" w:hAnsi="Calibri" w:cs="Calibri" w:eastAsia="PingFang SC"/>
          <w:color w:val="3D3A33"/>
          <w:sz w:val="22"/>
          <w:szCs w:val="22"/>
        </w:rPr>
        <w:t xml:space="preserve"> asks respondents to identify relevant contacts; here it asked who they interacted with for problem-solving matters during that period.</w:t>
      </w:r>
    </w:p>
    <w:p>
      <w:pPr>
        <w:spacing w:before="0" w:after="160" w:line="312" w:lineRule="auto"/>
      </w:pPr>
      <w:r>
        <w:rPr>
          <w:rFonts w:ascii="Calibri" w:hAnsi="Calibri" w:cs="Calibri" w:eastAsia="PingFang SC"/>
          <w:color w:val="3D3A33"/>
          <w:sz w:val="22"/>
          <w:szCs w:val="22"/>
        </w:rPr>
        <w:t xml:space="preserve">This is an internal </w:t>
      </w:r>
      <w:r>
        <w:rPr>
          <w:rFonts w:ascii="Calibri" w:hAnsi="Calibri" w:cs="Calibri" w:eastAsia="PingFang SC"/>
          <w:b/>
          <w:color w:val="3D3A33"/>
          <w:sz w:val="22"/>
          <w:szCs w:val="22"/>
        </w:rPr>
        <w:t xml:space="preserve">whole-network</w:t>
      </w:r>
      <w:r>
        <w:rPr>
          <w:rFonts w:ascii="Calibri" w:hAnsi="Calibri" w:cs="Calibri" w:eastAsia="PingFang SC"/>
          <w:color w:val="3D3A33"/>
          <w:sz w:val="22"/>
          <w:szCs w:val="22"/>
        </w:rPr>
        <w:t xml:space="preserve">, or </w:t>
      </w:r>
      <w:r>
        <w:rPr>
          <w:rFonts w:ascii="Calibri" w:hAnsi="Calibri" w:cs="Calibri" w:eastAsia="PingFang SC"/>
          <w:b/>
          <w:color w:val="3D3A33"/>
          <w:sz w:val="22"/>
          <w:szCs w:val="22"/>
        </w:rPr>
        <w:t xml:space="preserve">sociocentric</w:t>
      </w:r>
      <w:r>
        <w:rPr>
          <w:rFonts w:ascii="Calibri" w:hAnsi="Calibri" w:cs="Calibri" w:eastAsia="PingFang SC"/>
          <w:color w:val="3D3A33"/>
          <w:sz w:val="22"/>
          <w:szCs w:val="22"/>
        </w:rPr>
        <w:t xml:space="preserve">, design because the organisational boundary is defined. Having 27 respondents does not necessarily restrict the set of rated or nominated actors to 27: respondents may identify other members of the 31-person boundary. The available data do not establish every detail of how non-response was handled.</w:t>
      </w:r>
    </w:p>
    <w:p>
      <w:pPr>
        <w:spacing w:before="240" w:after="80" w:line="312" w:lineRule="auto"/>
      </w:pPr>
      <w:r>
        <w:rPr>
          <w:rFonts w:ascii="Calibri" w:hAnsi="Calibri" w:cs="Calibri" w:eastAsia="PingFang SC"/>
          <w:b/>
          <w:color w:val="175244"/>
          <w:sz w:val="22"/>
          <w:szCs w:val="22"/>
        </w:rPr>
        <w:t xml:space="preserve">Measurements</w:t>
      </w:r>
    </w:p>
    <w:p>
      <w:pPr>
        <w:spacing w:before="0" w:after="160" w:line="312" w:lineRule="auto"/>
      </w:pPr>
      <w:r>
        <w:rPr>
          <w:rFonts w:ascii="Calibri" w:hAnsi="Calibri" w:cs="Calibri" w:eastAsia="PingFang SC"/>
          <w:color w:val="3D3A33"/>
          <w:sz w:val="22"/>
          <w:szCs w:val="22"/>
        </w:rPr>
        <w:t xml:space="preserve">Participants rated their own project interest and influence, as well as the interest and influence of nominated colleagues. The power-interest grid uses </w:t>
      </w:r>
      <w:r>
        <w:rPr>
          <w:rFonts w:ascii="Calibri" w:hAnsi="Calibri" w:cs="Calibri" w:eastAsia="PingFang SC"/>
          <w:b/>
          <w:color w:val="3D3A33"/>
          <w:sz w:val="22"/>
          <w:szCs w:val="22"/>
        </w:rPr>
        <w:t xml:space="preserve">other-rated power</w:t>
      </w:r>
      <w:r>
        <w:rPr>
          <w:rFonts w:ascii="Calibri" w:hAnsi="Calibri" w:cs="Calibri" w:eastAsia="PingFang SC"/>
          <w:color w:val="3D3A33"/>
          <w:sz w:val="22"/>
          <w:szCs w:val="22"/>
        </w:rPr>
        <w:t xml:space="preserve"> and </w:t>
      </w:r>
      <w:r>
        <w:rPr>
          <w:rFonts w:ascii="Calibri" w:hAnsi="Calibri" w:cs="Calibri" w:eastAsia="PingFang SC"/>
          <w:b/>
          <w:color w:val="3D3A33"/>
          <w:sz w:val="22"/>
          <w:szCs w:val="22"/>
        </w:rPr>
        <w:t xml:space="preserve">other-rated interest</w:t>
      </w:r>
      <w:r>
        <w:rPr>
          <w:rFonts w:ascii="Calibri" w:hAnsi="Calibri" w:cs="Calibri" w:eastAsia="PingFang SC"/>
          <w:color w:val="3D3A33"/>
          <w:sz w:val="22"/>
          <w:szCs w:val="22"/>
        </w:rPr>
        <w:t xml:space="preserve">, meaning colleagues' perceptions rather than only self-ratings.</w:t>
      </w:r>
    </w:p>
    <w:p>
      <w:pPr>
        <w:spacing w:before="0" w:after="160" w:line="312" w:lineRule="auto"/>
      </w:pPr>
      <w:r>
        <w:rPr>
          <w:rFonts w:ascii="Calibri" w:hAnsi="Calibri" w:cs="Calibri" w:eastAsia="PingFang SC"/>
          <w:color w:val="3D3A33"/>
          <w:sz w:val="22"/>
          <w:szCs w:val="22"/>
        </w:rPr>
        <w:t xml:space="preserve">The structural model uses: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Problem-solving betweenness centrality:</w:t>
      </w:r>
      <w:r>
        <w:rPr>
          <w:rFonts w:ascii="Calibri" w:hAnsi="Calibri" w:cs="Calibri" w:eastAsia="PingFang SC"/>
          <w:color w:val="3D3A33"/>
          <w:sz w:val="22"/>
          <w:szCs w:val="22"/>
        </w:rPr>
        <w:t xml:space="preserve"> an actor's position on shortest paths in the measured problem-solving network.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Ego density:</w:t>
      </w:r>
      <w:r>
        <w:rPr>
          <w:rFonts w:ascii="Calibri" w:hAnsi="Calibri" w:cs="Calibri" w:eastAsia="PingFang SC"/>
          <w:color w:val="3D3A33"/>
          <w:sz w:val="22"/>
          <w:szCs w:val="22"/>
        </w:rPr>
        <w:t xml:space="preserve"> connectedness among the focal actor's contacts. It is a local measure and is not automatically identical to the density of the whole organisational network.</w:t>
      </w:r>
    </w:p>
    <w:p>
      <w:pPr>
        <w:spacing w:before="240" w:after="80" w:line="312" w:lineRule="auto"/>
      </w:pPr>
      <w:r>
        <w:rPr>
          <w:rFonts w:ascii="Calibri" w:hAnsi="Calibri" w:cs="Calibri" w:eastAsia="PingFang SC"/>
          <w:b/>
          <w:color w:val="175244"/>
          <w:sz w:val="22"/>
          <w:szCs w:val="22"/>
        </w:rPr>
        <w:t xml:space="preserve">Analysis process</w:t>
      </w:r>
    </w:p>
    <w:p>
      <w:pPr>
        <w:numPr>
          <w:ilvl w:val="0"/>
          <w:numId w:val="101"/>
        </w:numPr>
        <w:spacing w:after="80" w:line="312" w:lineRule="auto"/>
      </w:pPr>
      <w:r>
        <w:rPr>
          <w:rFonts w:ascii="Calibri" w:hAnsi="Calibri" w:cs="Calibri" w:eastAsia="PingFang SC"/>
          <w:color w:val="3D3A33"/>
          <w:sz w:val="22"/>
          <w:szCs w:val="22"/>
        </w:rPr>
        <w:t xml:space="preserve">Communicate with the company and define the enquiry.</w:t>
      </w:r>
    </w:p>
    <w:p>
      <w:pPr>
        <w:numPr>
          <w:ilvl w:val="0"/>
          <w:numId w:val="101"/>
        </w:numPr>
        <w:spacing w:after="80" w:line="312" w:lineRule="auto"/>
      </w:pPr>
      <w:r>
        <w:rPr>
          <w:rFonts w:ascii="Calibri" w:hAnsi="Calibri" w:cs="Calibri" w:eastAsia="PingFang SC"/>
          <w:color w:val="3D3A33"/>
          <w:sz w:val="22"/>
          <w:szCs w:val="22"/>
        </w:rPr>
        <w:t xml:space="preserve">Survey participants and collect relational and rating data.</w:t>
      </w:r>
    </w:p>
    <w:p>
      <w:pPr>
        <w:numPr>
          <w:ilvl w:val="0"/>
          <w:numId w:val="101"/>
        </w:numPr>
        <w:spacing w:after="80" w:line="312" w:lineRule="auto"/>
      </w:pPr>
      <w:r>
        <w:rPr>
          <w:rFonts w:ascii="Calibri" w:hAnsi="Calibri" w:cs="Calibri" w:eastAsia="PingFang SC"/>
          <w:color w:val="3D3A33"/>
          <w:sz w:val="22"/>
          <w:szCs w:val="22"/>
        </w:rPr>
        <w:t xml:space="preserve">Analyse the data using network and spreadsheet tools.</w:t>
      </w:r>
    </w:p>
    <w:p>
      <w:pPr>
        <w:numPr>
          <w:ilvl w:val="0"/>
          <w:numId w:val="101"/>
        </w:numPr>
        <w:spacing w:after="80" w:line="312" w:lineRule="auto"/>
      </w:pPr>
      <w:r>
        <w:rPr>
          <w:rFonts w:ascii="Calibri" w:hAnsi="Calibri" w:cs="Calibri" w:eastAsia="PingFang SC"/>
          <w:color w:val="3D3A33"/>
          <w:sz w:val="22"/>
          <w:szCs w:val="22"/>
        </w:rPr>
        <w:t xml:space="preserve">Interpret the measures and construct classification grids.</w:t>
      </w:r>
    </w:p>
    <w:p>
      <w:pPr>
        <w:numPr>
          <w:ilvl w:val="0"/>
          <w:numId w:val="101"/>
        </w:numPr>
        <w:spacing w:after="80" w:line="312" w:lineRule="auto"/>
      </w:pPr>
      <w:r>
        <w:rPr>
          <w:rFonts w:ascii="Calibri" w:hAnsi="Calibri" w:cs="Calibri" w:eastAsia="PingFang SC"/>
          <w:color w:val="3D3A33"/>
          <w:sz w:val="22"/>
          <w:szCs w:val="22"/>
        </w:rPr>
        <w:t xml:space="preserve">Compare the classifications and consider engagement implications.</w:t>
      </w:r>
    </w:p>
    <w:p>
      <w:pPr>
        <w:spacing w:before="0" w:after="160" w:line="312" w:lineRule="auto"/>
      </w:pPr>
      <w:r>
        <w:rPr>
          <w:rFonts w:ascii="Calibri" w:hAnsi="Calibri" w:cs="Calibri" w:eastAsia="PingFang SC"/>
          <w:b/>
          <w:color w:val="3D3A33"/>
          <w:sz w:val="22"/>
          <w:szCs w:val="22"/>
        </w:rPr>
        <w:t xml:space="preserve">UCINET</w:t>
      </w:r>
      <w:r>
        <w:rPr>
          <w:rFonts w:ascii="Calibri" w:hAnsi="Calibri" w:cs="Calibri" w:eastAsia="PingFang SC"/>
          <w:color w:val="3D3A33"/>
          <w:sz w:val="22"/>
          <w:szCs w:val="22"/>
        </w:rPr>
        <w:t xml:space="preserve"> is software for social network analysis, </w:t>
      </w:r>
      <w:r>
        <w:rPr>
          <w:rFonts w:ascii="Calibri" w:hAnsi="Calibri" w:cs="Calibri" w:eastAsia="PingFang SC"/>
          <w:b/>
          <w:color w:val="3D3A33"/>
          <w:sz w:val="22"/>
          <w:szCs w:val="22"/>
        </w:rPr>
        <w:t xml:space="preserve">NetDraw</w:t>
      </w:r>
      <w:r>
        <w:rPr>
          <w:rFonts w:ascii="Calibri" w:hAnsi="Calibri" w:cs="Calibri" w:eastAsia="PingFang SC"/>
          <w:color w:val="3D3A33"/>
          <w:sz w:val="22"/>
          <w:szCs w:val="22"/>
        </w:rPr>
        <w:t xml:space="preserve"> visualises networks, and </w:t>
      </w:r>
      <w:r>
        <w:rPr>
          <w:rFonts w:ascii="Calibri" w:hAnsi="Calibri" w:cs="Calibri" w:eastAsia="PingFang SC"/>
          <w:b/>
          <w:color w:val="3D3A33"/>
          <w:sz w:val="22"/>
          <w:szCs w:val="22"/>
        </w:rPr>
        <w:t xml:space="preserve">Excel</w:t>
      </w:r>
      <w:r>
        <w:rPr>
          <w:rFonts w:ascii="Calibri" w:hAnsi="Calibri" w:cs="Calibri" w:eastAsia="PingFang SC"/>
          <w:color w:val="3D3A33"/>
          <w:sz w:val="22"/>
          <w:szCs w:val="22"/>
        </w:rPr>
        <w:t xml:space="preserve"> supports tabulation and grid construction. Software output still requires interpretation of the network boundary, relation and missing data.</w:t>
      </w:r>
    </w:p>
    <w:p>
      <w:pPr>
        <w:spacing w:before="240" w:after="80" w:line="312" w:lineRule="auto"/>
      </w:pPr>
      <w:r>
        <w:rPr>
          <w:rFonts w:ascii="Calibri" w:hAnsi="Calibri" w:cs="Calibri" w:eastAsia="PingFang SC"/>
          <w:b/>
          <w:color w:val="175244"/>
          <w:sz w:val="22"/>
          <w:szCs w:val="22"/>
        </w:rPr>
        <w:t xml:space="preserve">Visualising stakeholder attributes and relations</w:t>
      </w:r>
    </w:p>
    <w:p>
      <w:pPr>
        <w:spacing w:before="0" w:after="160" w:line="312" w:lineRule="auto"/>
      </w:pPr>
      <w:r>
        <w:rPr>
          <w:rFonts w:ascii="Calibri" w:hAnsi="Calibri" w:cs="Calibri" w:eastAsia="PingFang SC"/>
          <w:color w:val="3D3A33"/>
          <w:sz w:val="22"/>
          <w:szCs w:val="22"/>
        </w:rPr>
        <w:t xml:space="preserve">An illustrative stakeholder sociogram places Team Leader 1 at a prominent hub, connected to actors including team members John, May and Kay; a sponsor; Banker A; a project manager; Councilor A; a community representative; Competitor A; manufacturers A and B; suppliers A-D; and customers A-D.</w:t>
      </w:r>
    </w:p>
    <w:p>
      <w:pPr>
        <w:spacing w:before="0" w:after="160" w:line="312" w:lineRule="auto"/>
      </w:pPr>
      <w:r>
        <w:rPr>
          <w:rFonts w:ascii="Calibri" w:hAnsi="Calibri" w:cs="Calibri" w:eastAsia="PingFang SC"/>
          <w:color w:val="3D3A33"/>
          <w:sz w:val="22"/>
          <w:szCs w:val="22"/>
        </w:rPr>
        <w:t xml:space="preserve">Node shape distinguishes organisational affiliation, node colour distinguishes power-interest categories, and line thickness represents tie strength. Example affiliation labels include Accupoint, ACME, Cancer Council, CBA, DBA, Hyundai, IMB, Noogle, Potus, Sydney Council and Telstar. These are case labels, not an established list of the internal survey's 31 employees. Their presence should not be used to infer a larger internal survey sample or an unreported network boundary.</w:t>
      </w:r>
    </w:p>
    <w:p>
      <w:pPr>
        <w:spacing w:before="0" w:after="160" w:line="312" w:lineRule="auto"/>
      </w:pPr>
      <w:r>
        <w:rPr>
          <w:rFonts w:ascii="Calibri" w:hAnsi="Calibri" w:cs="Calibri" w:eastAsia="PingFang SC"/>
          <w:color w:val="3D3A33"/>
          <w:sz w:val="22"/>
          <w:szCs w:val="22"/>
        </w:rPr>
        <w:t xml:space="preserve">The visualisation demonstrates how actor attributes and relational data can be displayed together. A central-looking position on a drawing is not by itself a computed centrality result.</w:t>
      </w:r>
    </w:p>
    <w:p>
      <w:pPr>
        <w:spacing w:before="240" w:after="80" w:line="312" w:lineRule="auto"/>
      </w:pPr>
      <w:r>
        <w:rPr>
          <w:rFonts w:ascii="Calibri" w:hAnsi="Calibri" w:cs="Calibri" w:eastAsia="PingFang SC"/>
          <w:b/>
          <w:color w:val="9E3D34"/>
          <w:sz w:val="26"/>
          <w:szCs w:val="26"/>
        </w:rPr>
        <w:t xml:space="preserve">Result 1: power-interest classification</w:t>
      </w:r>
    </w:p>
    <w:p>
      <w:pPr>
        <w:spacing w:before="0" w:after="160" w:line="312" w:lineRule="auto"/>
      </w:pPr>
      <w:r>
        <w:rPr>
          <w:rFonts w:ascii="Calibri" w:hAnsi="Calibri" w:cs="Calibri" w:eastAsia="PingFang SC"/>
          <w:color w:val="3D3A33"/>
          <w:sz w:val="22"/>
          <w:szCs w:val="22"/>
        </w:rPr>
        <w:t xml:space="preserve">A conventional power-interest grid uses four engagement categories: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139"/>
        <w:gridCol w:w="1040"/>
        <w:gridCol w:w="1040"/>
        <w:gridCol w:w="5141"/>
      </w:tblGrid>
      <w:tr>
        <w:trPr>
          <w:tblHeader/>
        </w:trPr>
        <w:tc>
          <w:tcPr>
            <w:tcW w:w="2139" w:type="dxa"/>
            <w:shd w:val="clear" w:color="auto" w:fill="EAE7DD"/>
          </w:tcPr>
          <w:p>
            <w:pPr>
              <w:spacing w:before="0" w:after="0" w:line="312" w:lineRule="auto"/>
            </w:pPr>
            <w:r>
              <w:rPr>
                <w:rFonts w:ascii="Calibri" w:hAnsi="Calibri" w:cs="Calibri" w:eastAsia="PingFang SC"/>
                <w:b/>
                <w:color w:val="3D3A33"/>
                <w:sz w:val="22"/>
                <w:szCs w:val="22"/>
              </w:rPr>
              <w:t xml:space="preserve">Category</w:t>
            </w:r>
          </w:p>
        </w:tc>
        <w:tc>
          <w:tcPr>
            <w:tcW w:w="1040" w:type="dxa"/>
            <w:shd w:val="clear" w:color="auto" w:fill="EAE7DD"/>
          </w:tcPr>
          <w:p>
            <w:pPr>
              <w:spacing w:before="0" w:after="0" w:line="312" w:lineRule="auto"/>
            </w:pPr>
            <w:r>
              <w:rPr>
                <w:rFonts w:ascii="Calibri" w:hAnsi="Calibri" w:cs="Calibri" w:eastAsia="PingFang SC"/>
                <w:b/>
                <w:color w:val="3D3A33"/>
                <w:sz w:val="22"/>
                <w:szCs w:val="22"/>
              </w:rPr>
              <w:t xml:space="preserve">Power</w:t>
            </w:r>
          </w:p>
        </w:tc>
        <w:tc>
          <w:tcPr>
            <w:tcW w:w="1040" w:type="dxa"/>
            <w:shd w:val="clear" w:color="auto" w:fill="EAE7DD"/>
          </w:tcPr>
          <w:p>
            <w:pPr>
              <w:spacing w:before="0" w:after="0" w:line="312" w:lineRule="auto"/>
            </w:pPr>
            <w:r>
              <w:rPr>
                <w:rFonts w:ascii="Calibri" w:hAnsi="Calibri" w:cs="Calibri" w:eastAsia="PingFang SC"/>
                <w:b/>
                <w:color w:val="3D3A33"/>
                <w:sz w:val="22"/>
                <w:szCs w:val="22"/>
              </w:rPr>
              <w:t xml:space="preserve">Interest</w:t>
            </w:r>
          </w:p>
        </w:tc>
        <w:tc>
          <w:tcPr>
            <w:tcW w:w="5141" w:type="dxa"/>
            <w:shd w:val="clear" w:color="auto" w:fill="EAE7DD"/>
          </w:tcPr>
          <w:p>
            <w:pPr>
              <w:spacing w:before="0" w:after="0" w:line="312" w:lineRule="auto"/>
            </w:pPr>
            <w:r>
              <w:rPr>
                <w:rFonts w:ascii="Calibri" w:hAnsi="Calibri" w:cs="Calibri" w:eastAsia="PingFang SC"/>
                <w:b/>
                <w:color w:val="3D3A33"/>
                <w:sz w:val="22"/>
                <w:szCs w:val="22"/>
              </w:rPr>
              <w:t xml:space="preserve">Typical engagement orientation</w:t>
            </w:r>
          </w:p>
        </w:tc>
      </w:tr>
      <w:tr>
        <w:tc>
          <w:tcPr>
            <w:tcW w:w="2139" w:type="dxa"/>
          </w:tcPr>
          <w:p>
            <w:pPr>
              <w:spacing w:before="0" w:after="0" w:line="312" w:lineRule="auto"/>
            </w:pPr>
            <w:r>
              <w:rPr>
                <w:rFonts w:ascii="Calibri" w:hAnsi="Calibri" w:cs="Calibri" w:eastAsia="PingFang SC"/>
                <w:color w:val="3D3A33"/>
                <w:sz w:val="22"/>
                <w:szCs w:val="22"/>
              </w:rPr>
              <w:t xml:space="preserve">Manage Closely</w:t>
            </w:r>
          </w:p>
        </w:tc>
        <w:tc>
          <w:tcPr>
            <w:tcW w:w="1040" w:type="dxa"/>
          </w:tcPr>
          <w:p>
            <w:pPr>
              <w:spacing w:before="0" w:after="0" w:line="312" w:lineRule="auto"/>
            </w:pPr>
            <w:r>
              <w:rPr>
                <w:rFonts w:ascii="Calibri" w:hAnsi="Calibri" w:cs="Calibri" w:eastAsia="PingFang SC"/>
                <w:color w:val="3D3A33"/>
                <w:sz w:val="22"/>
                <w:szCs w:val="22"/>
              </w:rPr>
              <w:t xml:space="preserve">High</w:t>
            </w:r>
          </w:p>
        </w:tc>
        <w:tc>
          <w:tcPr>
            <w:tcW w:w="1040" w:type="dxa"/>
          </w:tcPr>
          <w:p>
            <w:pPr>
              <w:spacing w:before="0" w:after="0" w:line="312" w:lineRule="auto"/>
            </w:pPr>
            <w:r>
              <w:rPr>
                <w:rFonts w:ascii="Calibri" w:hAnsi="Calibri" w:cs="Calibri" w:eastAsia="PingFang SC"/>
                <w:color w:val="3D3A33"/>
                <w:sz w:val="22"/>
                <w:szCs w:val="22"/>
              </w:rPr>
              <w:t xml:space="preserve">High</w:t>
            </w:r>
          </w:p>
        </w:tc>
        <w:tc>
          <w:tcPr>
            <w:tcW w:w="5141" w:type="dxa"/>
          </w:tcPr>
          <w:p>
            <w:pPr>
              <w:spacing w:before="0" w:after="0" w:line="312" w:lineRule="auto"/>
            </w:pPr>
            <w:r>
              <w:rPr>
                <w:rFonts w:ascii="Calibri" w:hAnsi="Calibri" w:cs="Calibri" w:eastAsia="PingFang SC"/>
                <w:color w:val="3D3A33"/>
                <w:sz w:val="22"/>
                <w:szCs w:val="22"/>
              </w:rPr>
              <w:t xml:space="preserve">Active engagement and close coordination</w:t>
            </w:r>
          </w:p>
        </w:tc>
      </w:tr>
      <w:tr>
        <w:tc>
          <w:tcPr>
            <w:tcW w:w="2139" w:type="dxa"/>
          </w:tcPr>
          <w:p>
            <w:pPr>
              <w:spacing w:before="0" w:after="0" w:line="312" w:lineRule="auto"/>
            </w:pPr>
            <w:r>
              <w:rPr>
                <w:rFonts w:ascii="Calibri" w:hAnsi="Calibri" w:cs="Calibri" w:eastAsia="PingFang SC"/>
                <w:color w:val="3D3A33"/>
                <w:sz w:val="22"/>
                <w:szCs w:val="22"/>
              </w:rPr>
              <w:t xml:space="preserve">Keep Satisfied</w:t>
            </w:r>
          </w:p>
        </w:tc>
        <w:tc>
          <w:tcPr>
            <w:tcW w:w="1040" w:type="dxa"/>
          </w:tcPr>
          <w:p>
            <w:pPr>
              <w:spacing w:before="0" w:after="0" w:line="312" w:lineRule="auto"/>
            </w:pPr>
            <w:r>
              <w:rPr>
                <w:rFonts w:ascii="Calibri" w:hAnsi="Calibri" w:cs="Calibri" w:eastAsia="PingFang SC"/>
                <w:color w:val="3D3A33"/>
                <w:sz w:val="22"/>
                <w:szCs w:val="22"/>
              </w:rPr>
              <w:t xml:space="preserve">High</w:t>
            </w:r>
          </w:p>
        </w:tc>
        <w:tc>
          <w:tcPr>
            <w:tcW w:w="1040" w:type="dxa"/>
          </w:tcPr>
          <w:p>
            <w:pPr>
              <w:spacing w:before="0" w:after="0" w:line="312" w:lineRule="auto"/>
            </w:pPr>
            <w:r>
              <w:rPr>
                <w:rFonts w:ascii="Calibri" w:hAnsi="Calibri" w:cs="Calibri" w:eastAsia="PingFang SC"/>
                <w:color w:val="3D3A33"/>
                <w:sz w:val="22"/>
                <w:szCs w:val="22"/>
              </w:rPr>
              <w:t xml:space="preserve">Low</w:t>
            </w:r>
          </w:p>
        </w:tc>
        <w:tc>
          <w:tcPr>
            <w:tcW w:w="5141" w:type="dxa"/>
          </w:tcPr>
          <w:p>
            <w:pPr>
              <w:spacing w:before="0" w:after="0" w:line="312" w:lineRule="auto"/>
            </w:pPr>
            <w:r>
              <w:rPr>
                <w:rFonts w:ascii="Calibri" w:hAnsi="Calibri" w:cs="Calibri" w:eastAsia="PingFang SC"/>
                <w:color w:val="3D3A33"/>
                <w:sz w:val="22"/>
                <w:szCs w:val="22"/>
              </w:rPr>
              <w:t xml:space="preserve">Maintain confidence and address relevant concerns</w:t>
            </w:r>
          </w:p>
        </w:tc>
      </w:tr>
      <w:tr>
        <w:tc>
          <w:tcPr>
            <w:tcW w:w="2139" w:type="dxa"/>
          </w:tcPr>
          <w:p>
            <w:pPr>
              <w:spacing w:before="0" w:after="0" w:line="312" w:lineRule="auto"/>
            </w:pPr>
            <w:r>
              <w:rPr>
                <w:rFonts w:ascii="Calibri" w:hAnsi="Calibri" w:cs="Calibri" w:eastAsia="PingFang SC"/>
                <w:color w:val="3D3A33"/>
                <w:sz w:val="22"/>
                <w:szCs w:val="22"/>
              </w:rPr>
              <w:t xml:space="preserve">Keep Informed</w:t>
            </w:r>
          </w:p>
        </w:tc>
        <w:tc>
          <w:tcPr>
            <w:tcW w:w="1040" w:type="dxa"/>
          </w:tcPr>
          <w:p>
            <w:pPr>
              <w:spacing w:before="0" w:after="0" w:line="312" w:lineRule="auto"/>
            </w:pPr>
            <w:r>
              <w:rPr>
                <w:rFonts w:ascii="Calibri" w:hAnsi="Calibri" w:cs="Calibri" w:eastAsia="PingFang SC"/>
                <w:color w:val="3D3A33"/>
                <w:sz w:val="22"/>
                <w:szCs w:val="22"/>
              </w:rPr>
              <w:t xml:space="preserve">Low</w:t>
            </w:r>
          </w:p>
        </w:tc>
        <w:tc>
          <w:tcPr>
            <w:tcW w:w="1040" w:type="dxa"/>
          </w:tcPr>
          <w:p>
            <w:pPr>
              <w:spacing w:before="0" w:after="0" w:line="312" w:lineRule="auto"/>
            </w:pPr>
            <w:r>
              <w:rPr>
                <w:rFonts w:ascii="Calibri" w:hAnsi="Calibri" w:cs="Calibri" w:eastAsia="PingFang SC"/>
                <w:color w:val="3D3A33"/>
                <w:sz w:val="22"/>
                <w:szCs w:val="22"/>
              </w:rPr>
              <w:t xml:space="preserve">High</w:t>
            </w:r>
          </w:p>
        </w:tc>
        <w:tc>
          <w:tcPr>
            <w:tcW w:w="5141" w:type="dxa"/>
          </w:tcPr>
          <w:p>
            <w:pPr>
              <w:spacing w:before="0" w:after="0" w:line="312" w:lineRule="auto"/>
            </w:pPr>
            <w:r>
              <w:rPr>
                <w:rFonts w:ascii="Calibri" w:hAnsi="Calibri" w:cs="Calibri" w:eastAsia="PingFang SC"/>
                <w:color w:val="3D3A33"/>
                <w:sz w:val="22"/>
                <w:szCs w:val="22"/>
              </w:rPr>
              <w:t xml:space="preserve">Provide meaningful information and opportunities for input</w:t>
            </w:r>
          </w:p>
        </w:tc>
      </w:tr>
      <w:tr>
        <w:tc>
          <w:tcPr>
            <w:tcW w:w="2139" w:type="dxa"/>
          </w:tcPr>
          <w:p>
            <w:pPr>
              <w:spacing w:before="0" w:after="0" w:line="312" w:lineRule="auto"/>
            </w:pPr>
            <w:r>
              <w:rPr>
                <w:rFonts w:ascii="Calibri" w:hAnsi="Calibri" w:cs="Calibri" w:eastAsia="PingFang SC"/>
                <w:color w:val="3D3A33"/>
                <w:sz w:val="22"/>
                <w:szCs w:val="22"/>
              </w:rPr>
              <w:t xml:space="preserve">Monitor</w:t>
            </w:r>
          </w:p>
        </w:tc>
        <w:tc>
          <w:tcPr>
            <w:tcW w:w="1040" w:type="dxa"/>
          </w:tcPr>
          <w:p>
            <w:pPr>
              <w:spacing w:before="0" w:after="0" w:line="312" w:lineRule="auto"/>
            </w:pPr>
            <w:r>
              <w:rPr>
                <w:rFonts w:ascii="Calibri" w:hAnsi="Calibri" w:cs="Calibri" w:eastAsia="PingFang SC"/>
                <w:color w:val="3D3A33"/>
                <w:sz w:val="22"/>
                <w:szCs w:val="22"/>
              </w:rPr>
              <w:t xml:space="preserve">Low</w:t>
            </w:r>
          </w:p>
        </w:tc>
        <w:tc>
          <w:tcPr>
            <w:tcW w:w="1040" w:type="dxa"/>
          </w:tcPr>
          <w:p>
            <w:pPr>
              <w:spacing w:before="0" w:after="0" w:line="312" w:lineRule="auto"/>
            </w:pPr>
            <w:r>
              <w:rPr>
                <w:rFonts w:ascii="Calibri" w:hAnsi="Calibri" w:cs="Calibri" w:eastAsia="PingFang SC"/>
                <w:color w:val="3D3A33"/>
                <w:sz w:val="22"/>
                <w:szCs w:val="22"/>
              </w:rPr>
              <w:t xml:space="preserve">Low</w:t>
            </w:r>
          </w:p>
        </w:tc>
        <w:tc>
          <w:tcPr>
            <w:tcW w:w="5141" w:type="dxa"/>
          </w:tcPr>
          <w:p>
            <w:pPr>
              <w:spacing w:before="0" w:after="0" w:line="312" w:lineRule="auto"/>
            </w:pPr>
            <w:r>
              <w:rPr>
                <w:rFonts w:ascii="Calibri" w:hAnsi="Calibri" w:cs="Calibri" w:eastAsia="PingFang SC"/>
                <w:color w:val="3D3A33"/>
                <w:sz w:val="22"/>
                <w:szCs w:val="22"/>
              </w:rPr>
              <w:t xml:space="preserve">Proportionate observation and reassessment</w:t>
            </w:r>
          </w:p>
        </w:tc>
      </w:tr>
    </w:tbl>
    <w:p>
      <w:pPr>
        <w:spacing w:before="0" w:after="160" w:line="312" w:lineRule="auto"/>
      </w:pPr>
      <w:r>
        <w:rPr>
          <w:rFonts w:ascii="Calibri" w:hAnsi="Calibri" w:cs="Calibri" w:eastAsia="PingFang SC"/>
          <w:color w:val="3D3A33"/>
          <w:sz w:val="22"/>
          <w:szCs w:val="22"/>
        </w:rPr>
        <w:t xml:space="preserve">The case reports: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489"/>
        <w:gridCol w:w="1682"/>
        <w:gridCol w:w="5189"/>
      </w:tblGrid>
      <w:tr>
        <w:trPr>
          <w:tblHeader/>
        </w:trPr>
        <w:tc>
          <w:tcPr>
            <w:tcW w:w="2489" w:type="dxa"/>
            <w:shd w:val="clear" w:color="auto" w:fill="EAE7DD"/>
          </w:tcPr>
          <w:p>
            <w:pPr>
              <w:spacing w:before="0" w:after="0" w:line="312" w:lineRule="auto"/>
            </w:pPr>
            <w:r>
              <w:rPr>
                <w:rFonts w:ascii="Calibri" w:hAnsi="Calibri" w:cs="Calibri" w:eastAsia="PingFang SC"/>
                <w:b/>
                <w:color w:val="3D3A33"/>
                <w:sz w:val="22"/>
                <w:szCs w:val="22"/>
              </w:rPr>
              <w:t xml:space="preserve">Category</w:t>
            </w:r>
          </w:p>
        </w:tc>
        <w:tc>
          <w:tcPr>
            <w:tcW w:w="1682" w:type="dxa"/>
            <w:shd w:val="clear" w:color="auto" w:fill="EAE7DD"/>
          </w:tcPr>
          <w:p>
            <w:pPr>
              <w:spacing w:before="0" w:after="0" w:line="312" w:lineRule="auto"/>
            </w:pPr>
            <w:r>
              <w:rPr>
                <w:rFonts w:ascii="Calibri" w:hAnsi="Calibri" w:cs="Calibri" w:eastAsia="PingFang SC"/>
                <w:b/>
                <w:color w:val="3D3A33"/>
                <w:sz w:val="22"/>
                <w:szCs w:val="22"/>
              </w:rPr>
              <w:t xml:space="preserve">Count</w:t>
            </w:r>
          </w:p>
        </w:tc>
        <w:tc>
          <w:tcPr>
            <w:tcW w:w="5189" w:type="dxa"/>
            <w:shd w:val="clear" w:color="auto" w:fill="EAE7DD"/>
          </w:tcPr>
          <w:p>
            <w:pPr>
              <w:spacing w:before="0" w:after="0" w:line="312" w:lineRule="auto"/>
            </w:pPr>
            <w:r>
              <w:rPr>
                <w:rFonts w:ascii="Calibri" w:hAnsi="Calibri" w:cs="Calibri" w:eastAsia="PingFang SC"/>
                <w:b/>
                <w:color w:val="3D3A33"/>
                <w:sz w:val="22"/>
                <w:szCs w:val="22"/>
              </w:rPr>
              <w:t xml:space="preserve">Actor identifiers</w:t>
            </w:r>
          </w:p>
        </w:tc>
      </w:tr>
      <w:tr>
        <w:tc>
          <w:tcPr>
            <w:tcW w:w="2489" w:type="dxa"/>
          </w:tcPr>
          <w:p>
            <w:pPr>
              <w:spacing w:before="0" w:after="0" w:line="312" w:lineRule="auto"/>
            </w:pPr>
            <w:r>
              <w:rPr>
                <w:rFonts w:ascii="Calibri" w:hAnsi="Calibri" w:cs="Calibri" w:eastAsia="PingFang SC"/>
                <w:color w:val="3D3A33"/>
                <w:sz w:val="22"/>
                <w:szCs w:val="22"/>
              </w:rPr>
              <w:t xml:space="preserve">Manage Closely</w:t>
            </w:r>
          </w:p>
        </w:tc>
        <w:tc>
          <w:tcPr>
            <w:tcW w:w="1682" w:type="dxa"/>
          </w:tcPr>
          <w:p>
            <w:pPr>
              <w:spacing w:before="0" w:after="0" w:line="312" w:lineRule="auto"/>
            </w:pPr>
            <w:r>
              <w:rPr>
                <w:rFonts w:ascii="Calibri" w:hAnsi="Calibri" w:cs="Calibri" w:eastAsia="PingFang SC"/>
                <w:color w:val="3D3A33"/>
                <w:sz w:val="22"/>
                <w:szCs w:val="22"/>
              </w:rPr>
              <w:t xml:space="preserve">12 of 31</w:t>
            </w:r>
          </w:p>
        </w:tc>
        <w:tc>
          <w:tcPr>
            <w:tcW w:w="5189" w:type="dxa"/>
          </w:tcPr>
          <w:p>
            <w:pPr>
              <w:spacing w:before="0" w:after="0" w:line="312" w:lineRule="auto"/>
            </w:pPr>
            <w:r>
              <w:rPr>
                <w:rFonts w:ascii="Calibri" w:hAnsi="Calibri" w:cs="Calibri" w:eastAsia="PingFang SC"/>
                <w:color w:val="3D3A33"/>
                <w:sz w:val="22"/>
                <w:szCs w:val="22"/>
              </w:rPr>
              <w:t xml:space="preserve">3, 4, 5, 6, 8, 9, 13, 15, 24, 27, 28, 29</w:t>
            </w:r>
          </w:p>
        </w:tc>
      </w:tr>
      <w:tr>
        <w:tc>
          <w:tcPr>
            <w:tcW w:w="2489" w:type="dxa"/>
          </w:tcPr>
          <w:p>
            <w:pPr>
              <w:spacing w:before="0" w:after="0" w:line="312" w:lineRule="auto"/>
            </w:pPr>
            <w:r>
              <w:rPr>
                <w:rFonts w:ascii="Calibri" w:hAnsi="Calibri" w:cs="Calibri" w:eastAsia="PingFang SC"/>
                <w:color w:val="3D3A33"/>
                <w:sz w:val="22"/>
                <w:szCs w:val="22"/>
              </w:rPr>
              <w:t xml:space="preserve">Keep Satisfied</w:t>
            </w:r>
          </w:p>
        </w:tc>
        <w:tc>
          <w:tcPr>
            <w:tcW w:w="1682" w:type="dxa"/>
          </w:tcPr>
          <w:p>
            <w:pPr>
              <w:spacing w:before="0" w:after="0" w:line="312" w:lineRule="auto"/>
            </w:pPr>
            <w:r>
              <w:rPr>
                <w:rFonts w:ascii="Calibri" w:hAnsi="Calibri" w:cs="Calibri" w:eastAsia="PingFang SC"/>
                <w:color w:val="3D3A33"/>
                <w:sz w:val="22"/>
                <w:szCs w:val="22"/>
              </w:rPr>
              <w:t xml:space="preserve">5 of 31</w:t>
            </w:r>
          </w:p>
        </w:tc>
        <w:tc>
          <w:tcPr>
            <w:tcW w:w="5189" w:type="dxa"/>
          </w:tcPr>
          <w:p>
            <w:pPr>
              <w:spacing w:before="0" w:after="0" w:line="312" w:lineRule="auto"/>
            </w:pPr>
            <w:r>
              <w:rPr>
                <w:rFonts w:ascii="Calibri" w:hAnsi="Calibri" w:cs="Calibri" w:eastAsia="PingFang SC"/>
                <w:color w:val="3D3A33"/>
                <w:sz w:val="22"/>
                <w:szCs w:val="22"/>
              </w:rPr>
              <w:t xml:space="preserve">1, 7, 14, 19, 20</w:t>
            </w:r>
          </w:p>
        </w:tc>
      </w:tr>
      <w:tr>
        <w:tc>
          <w:tcPr>
            <w:tcW w:w="2489" w:type="dxa"/>
          </w:tcPr>
          <w:p>
            <w:pPr>
              <w:spacing w:before="0" w:after="0" w:line="312" w:lineRule="auto"/>
            </w:pPr>
            <w:r>
              <w:rPr>
                <w:rFonts w:ascii="Calibri" w:hAnsi="Calibri" w:cs="Calibri" w:eastAsia="PingFang SC"/>
                <w:color w:val="3D3A33"/>
                <w:sz w:val="22"/>
                <w:szCs w:val="22"/>
              </w:rPr>
              <w:t xml:space="preserve">Keep Informed</w:t>
            </w:r>
          </w:p>
        </w:tc>
        <w:tc>
          <w:tcPr>
            <w:tcW w:w="1682" w:type="dxa"/>
          </w:tcPr>
          <w:p>
            <w:pPr>
              <w:spacing w:before="0" w:after="0" w:line="312" w:lineRule="auto"/>
            </w:pPr>
            <w:r>
              <w:rPr>
                <w:rFonts w:ascii="Calibri" w:hAnsi="Calibri" w:cs="Calibri" w:eastAsia="PingFang SC"/>
                <w:color w:val="3D3A33"/>
                <w:sz w:val="22"/>
                <w:szCs w:val="22"/>
              </w:rPr>
              <w:t xml:space="preserve">3 of 31</w:t>
            </w:r>
          </w:p>
        </w:tc>
        <w:tc>
          <w:tcPr>
            <w:tcW w:w="5189" w:type="dxa"/>
          </w:tcPr>
          <w:p>
            <w:pPr>
              <w:spacing w:before="0" w:after="0" w:line="312" w:lineRule="auto"/>
            </w:pPr>
            <w:r>
              <w:rPr>
                <w:rFonts w:ascii="Calibri" w:hAnsi="Calibri" w:cs="Calibri" w:eastAsia="PingFang SC"/>
                <w:color w:val="3D3A33"/>
                <w:sz w:val="22"/>
                <w:szCs w:val="22"/>
              </w:rPr>
              <w:t xml:space="preserve">2, 17, 23</w:t>
            </w:r>
          </w:p>
        </w:tc>
      </w:tr>
      <w:tr>
        <w:tc>
          <w:tcPr>
            <w:tcW w:w="2489" w:type="dxa"/>
          </w:tcPr>
          <w:p>
            <w:pPr>
              <w:spacing w:before="0" w:after="0" w:line="312" w:lineRule="auto"/>
            </w:pPr>
            <w:r>
              <w:rPr>
                <w:rFonts w:ascii="Calibri" w:hAnsi="Calibri" w:cs="Calibri" w:eastAsia="PingFang SC"/>
                <w:color w:val="3D3A33"/>
                <w:sz w:val="22"/>
                <w:szCs w:val="22"/>
              </w:rPr>
              <w:t xml:space="preserve">Monitor</w:t>
            </w:r>
          </w:p>
        </w:tc>
        <w:tc>
          <w:tcPr>
            <w:tcW w:w="1682" w:type="dxa"/>
          </w:tcPr>
          <w:p>
            <w:pPr>
              <w:spacing w:before="0" w:after="0" w:line="312" w:lineRule="auto"/>
            </w:pPr>
            <w:r>
              <w:rPr>
                <w:rFonts w:ascii="Calibri" w:hAnsi="Calibri" w:cs="Calibri" w:eastAsia="PingFang SC"/>
                <w:color w:val="3D3A33"/>
                <w:sz w:val="22"/>
                <w:szCs w:val="22"/>
              </w:rPr>
              <w:t xml:space="preserve">11 of 31</w:t>
            </w:r>
          </w:p>
        </w:tc>
        <w:tc>
          <w:tcPr>
            <w:tcW w:w="5189" w:type="dxa"/>
          </w:tcPr>
          <w:p>
            <w:pPr>
              <w:spacing w:before="0" w:after="0" w:line="312" w:lineRule="auto"/>
            </w:pPr>
            <w:r>
              <w:rPr>
                <w:rFonts w:ascii="Calibri" w:hAnsi="Calibri" w:cs="Calibri" w:eastAsia="PingFang SC"/>
                <w:color w:val="3D3A33"/>
                <w:sz w:val="22"/>
                <w:szCs w:val="22"/>
              </w:rPr>
              <w:t xml:space="preserve">10, 11, 12, 16, 18, 21, 22, 25, 26, 30, 31</w:t>
            </w:r>
          </w:p>
        </w:tc>
      </w:tr>
    </w:tbl>
    <w:p>
      <w:pPr>
        <w:spacing w:before="0" w:after="160" w:line="312" w:lineRule="auto"/>
      </w:pPr>
      <w:r>
        <w:rPr>
          <w:rFonts w:ascii="Calibri" w:hAnsi="Calibri" w:cs="Calibri" w:eastAsia="PingFang SC"/>
          <w:color w:val="3D3A33"/>
          <w:sz w:val="22"/>
          <w:szCs w:val="22"/>
        </w:rPr>
        <w:t xml:space="preserve">The counts sum to </w:t>
      </w:r>
      <w:r>
        <w:rPr>
          <w:rFonts w:ascii="Calibri" w:hAnsi="Calibri" w:cs="Calibri" w:eastAsia="PingFang SC"/>
          <w:b/>
          <w:color w:val="3D3A33"/>
          <w:sz w:val="22"/>
          <w:szCs w:val="22"/>
        </w:rPr>
        <w:t xml:space="preserve">12 + 5 + 3 + 11 = 31</w:t>
      </w:r>
      <w:r>
        <w:rPr>
          <w:rFonts w:ascii="Calibri" w:hAnsi="Calibri" w:cs="Calibri" w:eastAsia="PingFang SC"/>
          <w:color w:val="3D3A33"/>
          <w:sz w:val="22"/>
          <w:szCs w:val="22"/>
        </w:rPr>
        <w:t xml:space="preserve">.</w:t>
      </w:r>
    </w:p>
    <w:p>
      <w:pPr>
        <w:spacing w:before="0" w:after="160" w:line="312" w:lineRule="auto"/>
      </w:pPr>
      <w:r>
        <w:rPr>
          <w:rFonts w:ascii="Calibri" w:hAnsi="Calibri" w:cs="Calibri" w:eastAsia="PingFang SC"/>
          <w:color w:val="3D3A33"/>
          <w:sz w:val="22"/>
          <w:szCs w:val="22"/>
        </w:rPr>
        <w:t xml:space="preserve">The reported mean power is </w:t>
      </w:r>
      <w:r>
        <w:rPr>
          <w:rFonts w:ascii="Calibri" w:hAnsi="Calibri" w:cs="Calibri" w:eastAsia="PingFang SC"/>
          <w:b/>
          <w:color w:val="3D3A33"/>
          <w:sz w:val="22"/>
          <w:szCs w:val="22"/>
        </w:rPr>
        <w:t xml:space="preserve">3.73</w:t>
      </w:r>
      <w:r>
        <w:rPr>
          <w:rFonts w:ascii="Calibri" w:hAnsi="Calibri" w:cs="Calibri" w:eastAsia="PingFang SC"/>
          <w:color w:val="3D3A33"/>
          <w:sz w:val="22"/>
          <w:szCs w:val="22"/>
        </w:rPr>
        <w:t xml:space="preserve">, and the reported mean interest is </w:t>
      </w:r>
      <w:r>
        <w:rPr>
          <w:rFonts w:ascii="Calibri" w:hAnsi="Calibri" w:cs="Calibri" w:eastAsia="PingFang SC"/>
          <w:b/>
          <w:color w:val="3D3A33"/>
          <w:sz w:val="22"/>
          <w:szCs w:val="22"/>
        </w:rPr>
        <w:t xml:space="preserve">3.36</w:t>
      </w:r>
      <w:r>
        <w:rPr>
          <w:rFonts w:ascii="Calibri" w:hAnsi="Calibri" w:cs="Calibri" w:eastAsia="PingFang SC"/>
          <w:color w:val="3D3A33"/>
          <w:sz w:val="22"/>
          <w:szCs w:val="22"/>
        </w:rPr>
        <w:t xml:space="preserve">. A mean summarises the ratings; it does not by itself establish the cut-off used to assign high and low categories.</w:t>
      </w:r>
    </w:p>
    <w:p>
      <w:pPr>
        <w:spacing w:before="240" w:after="80" w:line="312" w:lineRule="auto"/>
      </w:pPr>
      <w:r>
        <w:rPr>
          <w:rFonts w:ascii="Calibri" w:hAnsi="Calibri" w:cs="Calibri" w:eastAsia="PingFang SC"/>
          <w:b/>
          <w:color w:val="9E3D34"/>
          <w:sz w:val="26"/>
          <w:szCs w:val="26"/>
        </w:rPr>
        <w:t xml:space="preserve">Result 2: structural classification</w:t>
      </w:r>
    </w:p>
    <w:p>
      <w:pPr>
        <w:spacing w:before="0" w:after="160" w:line="312" w:lineRule="auto"/>
      </w:pPr>
      <w:r>
        <w:rPr>
          <w:rFonts w:ascii="Calibri" w:hAnsi="Calibri" w:cs="Calibri" w:eastAsia="PingFang SC"/>
          <w:color w:val="3D3A33"/>
          <w:sz w:val="22"/>
          <w:szCs w:val="22"/>
        </w:rPr>
        <w:t xml:space="preserve">The problem-solving model reports median betweenness centrality </w:t>
      </w:r>
      <w:r>
        <w:rPr>
          <w:rFonts w:ascii="Calibri" w:hAnsi="Calibri" w:cs="Calibri" w:eastAsia="PingFang SC"/>
          <w:b/>
          <w:color w:val="3D3A33"/>
          <w:sz w:val="22"/>
          <w:szCs w:val="22"/>
        </w:rPr>
        <w:t xml:space="preserve">0.1</w:t>
      </w:r>
      <w:r>
        <w:rPr>
          <w:rFonts w:ascii="Calibri" w:hAnsi="Calibri" w:cs="Calibri" w:eastAsia="PingFang SC"/>
          <w:color w:val="3D3A33"/>
          <w:sz w:val="22"/>
          <w:szCs w:val="22"/>
        </w:rPr>
        <w:t xml:space="preserve"> and median ego density </w:t>
      </w:r>
      <w:r>
        <w:rPr>
          <w:rFonts w:ascii="Calibri" w:hAnsi="Calibri" w:cs="Calibri" w:eastAsia="PingFang SC"/>
          <w:b/>
          <w:color w:val="3D3A33"/>
          <w:sz w:val="22"/>
          <w:szCs w:val="22"/>
        </w:rPr>
        <w:t xml:space="preserve">0.42</w:t>
      </w:r>
      <w:r>
        <w:rPr>
          <w:rFonts w:ascii="Calibri" w:hAnsi="Calibri" w:cs="Calibri" w:eastAsia="PingFang SC"/>
          <w:color w:val="3D3A33"/>
          <w:sz w:val="22"/>
          <w:szCs w:val="22"/>
        </w:rPr>
        <w:t xml:space="preserve">. In its scatterplot, betweenness is the horizontal axis and ego density the vertical axis.</w:t>
      </w:r>
    </w:p>
    <w:p>
      <w:pPr>
        <w:spacing w:before="0" w:after="160" w:line="312" w:lineRule="auto"/>
      </w:pPr>
      <w:r>
        <w:rPr>
          <w:rFonts w:ascii="Calibri" w:hAnsi="Calibri" w:cs="Calibri" w:eastAsia="PingFang SC"/>
          <w:color w:val="3D3A33"/>
          <w:sz w:val="22"/>
          <w:szCs w:val="22"/>
        </w:rPr>
        <w:t xml:space="preserve">Classifications for the 28 identified actors in the case:</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601"/>
        <w:gridCol w:w="3455"/>
        <w:gridCol w:w="922"/>
        <w:gridCol w:w="3382"/>
      </w:tblGrid>
      <w:tr>
        <w:trPr>
          <w:tblHeader/>
        </w:trPr>
        <w:tc>
          <w:tcPr>
            <w:tcW w:w="1601" w:type="dxa"/>
            <w:shd w:val="clear" w:color="auto" w:fill="EAE7DD"/>
          </w:tcPr>
          <w:p>
            <w:pPr>
              <w:spacing w:before="0" w:after="0" w:line="312" w:lineRule="auto"/>
            </w:pPr>
            <w:r>
              <w:rPr>
                <w:rFonts w:ascii="Calibri" w:hAnsi="Calibri" w:cs="Calibri" w:eastAsia="PingFang SC"/>
                <w:b/>
                <w:color w:val="3D3A33"/>
                <w:sz w:val="22"/>
                <w:szCs w:val="22"/>
              </w:rPr>
              <w:t xml:space="preserve">Category</w:t>
            </w:r>
          </w:p>
        </w:tc>
        <w:tc>
          <w:tcPr>
            <w:tcW w:w="3455" w:type="dxa"/>
            <w:shd w:val="clear" w:color="auto" w:fill="EAE7DD"/>
          </w:tcPr>
          <w:p>
            <w:pPr>
              <w:spacing w:before="0" w:after="0" w:line="312" w:lineRule="auto"/>
            </w:pPr>
            <w:r>
              <w:rPr>
                <w:rFonts w:ascii="Calibri" w:hAnsi="Calibri" w:cs="Calibri" w:eastAsia="PingFang SC"/>
                <w:b/>
                <w:color w:val="3D3A33"/>
                <w:sz w:val="22"/>
                <w:szCs w:val="22"/>
              </w:rPr>
              <w:t xml:space="preserve">Structural position</w:t>
            </w:r>
          </w:p>
        </w:tc>
        <w:tc>
          <w:tcPr>
            <w:tcW w:w="922" w:type="dxa"/>
            <w:shd w:val="clear" w:color="auto" w:fill="EAE7DD"/>
          </w:tcPr>
          <w:p>
            <w:pPr>
              <w:spacing w:before="0" w:after="0" w:line="312" w:lineRule="auto"/>
            </w:pPr>
            <w:r>
              <w:rPr>
                <w:rFonts w:ascii="Calibri" w:hAnsi="Calibri" w:cs="Calibri" w:eastAsia="PingFang SC"/>
                <w:b/>
                <w:color w:val="3D3A33"/>
                <w:sz w:val="22"/>
                <w:szCs w:val="22"/>
              </w:rPr>
              <w:t xml:space="preserve">Count among identified actors</w:t>
            </w:r>
          </w:p>
        </w:tc>
        <w:tc>
          <w:tcPr>
            <w:tcW w:w="3382" w:type="dxa"/>
            <w:shd w:val="clear" w:color="auto" w:fill="EAE7DD"/>
          </w:tcPr>
          <w:p>
            <w:pPr>
              <w:spacing w:before="0" w:after="0" w:line="312" w:lineRule="auto"/>
            </w:pPr>
            <w:r>
              <w:rPr>
                <w:rFonts w:ascii="Calibri" w:hAnsi="Calibri" w:cs="Calibri" w:eastAsia="PingFang SC"/>
                <w:b/>
                <w:color w:val="3D3A33"/>
                <w:sz w:val="22"/>
                <w:szCs w:val="22"/>
              </w:rPr>
              <w:t xml:space="preserve">Actor identifiers</w:t>
            </w:r>
          </w:p>
        </w:tc>
      </w:tr>
      <w:tr>
        <w:tc>
          <w:tcPr>
            <w:tcW w:w="1601" w:type="dxa"/>
          </w:tcPr>
          <w:p>
            <w:pPr>
              <w:spacing w:before="0" w:after="0" w:line="312" w:lineRule="auto"/>
            </w:pPr>
            <w:r>
              <w:rPr>
                <w:rFonts w:ascii="Calibri" w:hAnsi="Calibri" w:cs="Calibri" w:eastAsia="PingFang SC"/>
                <w:color w:val="3D3A33"/>
                <w:sz w:val="22"/>
                <w:szCs w:val="22"/>
              </w:rPr>
              <w:t xml:space="preserve">Commander</w:t>
            </w:r>
          </w:p>
        </w:tc>
        <w:tc>
          <w:tcPr>
            <w:tcW w:w="3455" w:type="dxa"/>
          </w:tcPr>
          <w:p>
            <w:pPr>
              <w:spacing w:before="0" w:after="0" w:line="312" w:lineRule="auto"/>
            </w:pPr>
            <w:r>
              <w:rPr>
                <w:rFonts w:ascii="Calibri" w:hAnsi="Calibri" w:cs="Calibri" w:eastAsia="PingFang SC"/>
                <w:color w:val="3D3A33"/>
                <w:sz w:val="22"/>
                <w:szCs w:val="22"/>
              </w:rPr>
              <w:t xml:space="preserve">High betweenness, low ego density</w:t>
            </w:r>
          </w:p>
        </w:tc>
        <w:tc>
          <w:tcPr>
            <w:tcW w:w="922" w:type="dxa"/>
          </w:tcPr>
          <w:p>
            <w:pPr>
              <w:spacing w:before="0" w:after="0" w:line="312" w:lineRule="auto"/>
            </w:pPr>
            <w:r>
              <w:rPr>
                <w:rFonts w:ascii="Calibri" w:hAnsi="Calibri" w:cs="Calibri" w:eastAsia="PingFang SC"/>
                <w:color w:val="3D3A33"/>
                <w:sz w:val="22"/>
                <w:szCs w:val="22"/>
              </w:rPr>
              <w:t xml:space="preserve">10</w:t>
            </w:r>
          </w:p>
        </w:tc>
        <w:tc>
          <w:tcPr>
            <w:tcW w:w="3382" w:type="dxa"/>
          </w:tcPr>
          <w:p>
            <w:pPr>
              <w:spacing w:before="0" w:after="0" w:line="312" w:lineRule="auto"/>
            </w:pPr>
            <w:r>
              <w:rPr>
                <w:rFonts w:ascii="Calibri" w:hAnsi="Calibri" w:cs="Calibri" w:eastAsia="PingFang SC"/>
                <w:color w:val="3D3A33"/>
                <w:sz w:val="22"/>
                <w:szCs w:val="22"/>
              </w:rPr>
              <w:t xml:space="preserve">2, 3, 4, 6, 8, 9, 12, 16, 23, 26</w:t>
            </w:r>
          </w:p>
        </w:tc>
      </w:tr>
      <w:tr>
        <w:tc>
          <w:tcPr>
            <w:tcW w:w="1601" w:type="dxa"/>
          </w:tcPr>
          <w:p>
            <w:pPr>
              <w:spacing w:before="0" w:after="0" w:line="312" w:lineRule="auto"/>
            </w:pPr>
            <w:r>
              <w:rPr>
                <w:rFonts w:ascii="Calibri" w:hAnsi="Calibri" w:cs="Calibri" w:eastAsia="PingFang SC"/>
                <w:color w:val="3D3A33"/>
                <w:sz w:val="22"/>
                <w:szCs w:val="22"/>
              </w:rPr>
              <w:t xml:space="preserve">Compromiser</w:t>
            </w:r>
          </w:p>
        </w:tc>
        <w:tc>
          <w:tcPr>
            <w:tcW w:w="3455" w:type="dxa"/>
          </w:tcPr>
          <w:p>
            <w:pPr>
              <w:spacing w:before="0" w:after="0" w:line="312" w:lineRule="auto"/>
            </w:pPr>
            <w:r>
              <w:rPr>
                <w:rFonts w:ascii="Calibri" w:hAnsi="Calibri" w:cs="Calibri" w:eastAsia="PingFang SC"/>
                <w:color w:val="3D3A33"/>
                <w:sz w:val="22"/>
                <w:szCs w:val="22"/>
              </w:rPr>
              <w:t xml:space="preserve">High betweenness, high ego density</w:t>
            </w:r>
          </w:p>
        </w:tc>
        <w:tc>
          <w:tcPr>
            <w:tcW w:w="922" w:type="dxa"/>
          </w:tcPr>
          <w:p>
            <w:pPr>
              <w:spacing w:before="0" w:after="0" w:line="312" w:lineRule="auto"/>
            </w:pPr>
            <w:r>
              <w:rPr>
                <w:rFonts w:ascii="Calibri" w:hAnsi="Calibri" w:cs="Calibri" w:eastAsia="PingFang SC"/>
                <w:color w:val="3D3A33"/>
                <w:sz w:val="22"/>
                <w:szCs w:val="22"/>
              </w:rPr>
              <w:t xml:space="preserve">4</w:t>
            </w:r>
          </w:p>
        </w:tc>
        <w:tc>
          <w:tcPr>
            <w:tcW w:w="3382" w:type="dxa"/>
          </w:tcPr>
          <w:p>
            <w:pPr>
              <w:spacing w:before="0" w:after="0" w:line="312" w:lineRule="auto"/>
            </w:pPr>
            <w:r>
              <w:rPr>
                <w:rFonts w:ascii="Calibri" w:hAnsi="Calibri" w:cs="Calibri" w:eastAsia="PingFang SC"/>
                <w:color w:val="3D3A33"/>
                <w:sz w:val="22"/>
                <w:szCs w:val="22"/>
              </w:rPr>
              <w:t xml:space="preserve">15, 17, 19, 24</w:t>
            </w:r>
          </w:p>
        </w:tc>
      </w:tr>
      <w:tr>
        <w:tc>
          <w:tcPr>
            <w:tcW w:w="1601" w:type="dxa"/>
          </w:tcPr>
          <w:p>
            <w:pPr>
              <w:spacing w:before="0" w:after="0" w:line="312" w:lineRule="auto"/>
            </w:pPr>
            <w:r>
              <w:rPr>
                <w:rFonts w:ascii="Calibri" w:hAnsi="Calibri" w:cs="Calibri" w:eastAsia="PingFang SC"/>
                <w:color w:val="3D3A33"/>
                <w:sz w:val="22"/>
                <w:szCs w:val="22"/>
              </w:rPr>
              <w:t xml:space="preserve">Subordinate</w:t>
            </w:r>
          </w:p>
        </w:tc>
        <w:tc>
          <w:tcPr>
            <w:tcW w:w="3455" w:type="dxa"/>
          </w:tcPr>
          <w:p>
            <w:pPr>
              <w:spacing w:before="0" w:after="0" w:line="312" w:lineRule="auto"/>
            </w:pPr>
            <w:r>
              <w:rPr>
                <w:rFonts w:ascii="Calibri" w:hAnsi="Calibri" w:cs="Calibri" w:eastAsia="PingFang SC"/>
                <w:color w:val="3D3A33"/>
                <w:sz w:val="22"/>
                <w:szCs w:val="22"/>
              </w:rPr>
              <w:t xml:space="preserve">Low betweenness, high ego density</w:t>
            </w:r>
          </w:p>
        </w:tc>
        <w:tc>
          <w:tcPr>
            <w:tcW w:w="922" w:type="dxa"/>
          </w:tcPr>
          <w:p>
            <w:pPr>
              <w:spacing w:before="0" w:after="0" w:line="312" w:lineRule="auto"/>
            </w:pPr>
            <w:r>
              <w:rPr>
                <w:rFonts w:ascii="Calibri" w:hAnsi="Calibri" w:cs="Calibri" w:eastAsia="PingFang SC"/>
                <w:color w:val="3D3A33"/>
                <w:sz w:val="22"/>
                <w:szCs w:val="22"/>
              </w:rPr>
              <w:t xml:space="preserve">9</w:t>
            </w:r>
          </w:p>
        </w:tc>
        <w:tc>
          <w:tcPr>
            <w:tcW w:w="3382" w:type="dxa"/>
          </w:tcPr>
          <w:p>
            <w:pPr>
              <w:spacing w:before="0" w:after="0" w:line="312" w:lineRule="auto"/>
            </w:pPr>
            <w:r>
              <w:rPr>
                <w:rFonts w:ascii="Calibri" w:hAnsi="Calibri" w:cs="Calibri" w:eastAsia="PingFang SC"/>
                <w:color w:val="3D3A33"/>
                <w:sz w:val="22"/>
                <w:szCs w:val="22"/>
              </w:rPr>
              <w:t xml:space="preserve">5, 7, 11, 13, 18, 20, 25, 27, 30</w:t>
            </w:r>
          </w:p>
        </w:tc>
      </w:tr>
      <w:tr>
        <w:tc>
          <w:tcPr>
            <w:tcW w:w="1601" w:type="dxa"/>
          </w:tcPr>
          <w:p>
            <w:pPr>
              <w:spacing w:before="0" w:after="0" w:line="312" w:lineRule="auto"/>
            </w:pPr>
            <w:r>
              <w:rPr>
                <w:rFonts w:ascii="Calibri" w:hAnsi="Calibri" w:cs="Calibri" w:eastAsia="PingFang SC"/>
                <w:color w:val="3D3A33"/>
                <w:sz w:val="22"/>
                <w:szCs w:val="22"/>
              </w:rPr>
              <w:t xml:space="preserve">Solitarian</w:t>
            </w:r>
          </w:p>
        </w:tc>
        <w:tc>
          <w:tcPr>
            <w:tcW w:w="3455" w:type="dxa"/>
          </w:tcPr>
          <w:p>
            <w:pPr>
              <w:spacing w:before="0" w:after="0" w:line="312" w:lineRule="auto"/>
            </w:pPr>
            <w:r>
              <w:rPr>
                <w:rFonts w:ascii="Calibri" w:hAnsi="Calibri" w:cs="Calibri" w:eastAsia="PingFang SC"/>
                <w:color w:val="3D3A33"/>
                <w:sz w:val="22"/>
                <w:szCs w:val="22"/>
              </w:rPr>
              <w:t xml:space="preserve">Low betweenness, low ego density</w:t>
            </w:r>
          </w:p>
        </w:tc>
        <w:tc>
          <w:tcPr>
            <w:tcW w:w="922" w:type="dxa"/>
          </w:tcPr>
          <w:p>
            <w:pPr>
              <w:spacing w:before="0" w:after="0" w:line="312" w:lineRule="auto"/>
            </w:pPr>
            <w:r>
              <w:rPr>
                <w:rFonts w:ascii="Calibri" w:hAnsi="Calibri" w:cs="Calibri" w:eastAsia="PingFang SC"/>
                <w:color w:val="3D3A33"/>
                <w:sz w:val="22"/>
                <w:szCs w:val="22"/>
              </w:rPr>
              <w:t xml:space="preserve">5</w:t>
            </w:r>
          </w:p>
        </w:tc>
        <w:tc>
          <w:tcPr>
            <w:tcW w:w="3382" w:type="dxa"/>
          </w:tcPr>
          <w:p>
            <w:pPr>
              <w:spacing w:before="0" w:after="0" w:line="312" w:lineRule="auto"/>
            </w:pPr>
            <w:r>
              <w:rPr>
                <w:rFonts w:ascii="Calibri" w:hAnsi="Calibri" w:cs="Calibri" w:eastAsia="PingFang SC"/>
                <w:color w:val="3D3A33"/>
                <w:sz w:val="22"/>
                <w:szCs w:val="22"/>
              </w:rPr>
              <w:t xml:space="preserve">1, 14, 21, 28, 29</w:t>
            </w:r>
          </w:p>
        </w:tc>
      </w:tr>
    </w:tbl>
    <w:p>
      <w:pPr>
        <w:spacing w:before="0" w:after="160" w:line="312" w:lineRule="auto"/>
      </w:pPr>
      <w:r>
        <w:rPr>
          <w:rFonts w:ascii="Calibri" w:hAnsi="Calibri" w:cs="Calibri" w:eastAsia="PingFang SC"/>
          <w:color w:val="3D3A33"/>
          <w:sz w:val="22"/>
          <w:szCs w:val="22"/>
        </w:rPr>
        <w:t xml:space="preserve">Approximate graphical betweenness values include actor 3 at 18.5, actor 16 at 19, actor 2 at 13, actor 15 at 7 and actor 24 at 2.5. These are approximate readings, not an exact numerical dataset. The horizontal range extends above 20, while the vertical ego-density range is approximately 0.1-0.7.</w:t>
      </w:r>
    </w:p>
    <w:p>
      <w:pPr>
        <w:spacing w:before="0" w:after="160" w:line="312" w:lineRule="auto"/>
      </w:pPr>
      <w:r>
        <w:rPr>
          <w:rFonts w:ascii="Calibri" w:hAnsi="Calibri" w:cs="Calibri" w:eastAsia="PingFang SC"/>
          <w:color w:val="3D3A33"/>
          <w:sz w:val="22"/>
          <w:szCs w:val="22"/>
        </w:rPr>
        <w:t xml:space="preserve">High ego density alone does not settle the category: betweenness must also be considered.</w:t>
      </w:r>
    </w:p>
    <w:p>
      <w:pPr>
        <w:spacing w:before="240" w:after="80" w:line="312" w:lineRule="auto"/>
      </w:pPr>
      <w:r>
        <w:rPr>
          <w:rFonts w:ascii="Calibri" w:hAnsi="Calibri" w:cs="Calibri" w:eastAsia="PingFang SC"/>
          <w:b/>
          <w:color w:val="9E3D34"/>
          <w:sz w:val="26"/>
          <w:szCs w:val="26"/>
        </w:rPr>
        <w:t xml:space="preserve">Result 3: the classifications do not coincide</w:t>
      </w:r>
    </w:p>
    <w:p>
      <w:pPr>
        <w:spacing w:before="0" w:after="160" w:line="312" w:lineRule="auto"/>
      </w:pPr>
      <w:r>
        <w:rPr>
          <w:rFonts w:ascii="Calibri" w:hAnsi="Calibri" w:cs="Calibri" w:eastAsia="PingFang SC"/>
          <w:color w:val="3D3A33"/>
          <w:sz w:val="22"/>
          <w:szCs w:val="22"/>
        </w:rPr>
        <w:t xml:space="preserve">Comparing the two tables directly shows: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3350"/>
        <w:gridCol w:w="2830"/>
        <w:gridCol w:w="3181"/>
      </w:tblGrid>
      <w:tr>
        <w:trPr>
          <w:tblHeader/>
        </w:trPr>
        <w:tc>
          <w:tcPr>
            <w:tcW w:w="3350" w:type="dxa"/>
            <w:shd w:val="clear" w:color="auto" w:fill="EAE7DD"/>
          </w:tcPr>
          <w:p>
            <w:pPr>
              <w:spacing w:before="0" w:after="0" w:line="312" w:lineRule="auto"/>
            </w:pPr>
            <w:r>
              <w:rPr>
                <w:rFonts w:ascii="Calibri" w:hAnsi="Calibri" w:cs="Calibri" w:eastAsia="PingFang SC"/>
                <w:b/>
                <w:color w:val="3D3A33"/>
                <w:sz w:val="22"/>
                <w:szCs w:val="22"/>
              </w:rPr>
              <w:t xml:space="preserve">Power-interest classification</w:t>
            </w:r>
          </w:p>
        </w:tc>
        <w:tc>
          <w:tcPr>
            <w:tcW w:w="2830" w:type="dxa"/>
            <w:shd w:val="clear" w:color="auto" w:fill="EAE7DD"/>
          </w:tcPr>
          <w:p>
            <w:pPr>
              <w:spacing w:before="0" w:after="0" w:line="312" w:lineRule="auto"/>
            </w:pPr>
            <w:r>
              <w:rPr>
                <w:rFonts w:ascii="Calibri" w:hAnsi="Calibri" w:cs="Calibri" w:eastAsia="PingFang SC"/>
                <w:b/>
                <w:color w:val="3D3A33"/>
                <w:sz w:val="22"/>
                <w:szCs w:val="22"/>
              </w:rPr>
              <w:t xml:space="preserve">Structural classification</w:t>
            </w:r>
          </w:p>
        </w:tc>
        <w:tc>
          <w:tcPr>
            <w:tcW w:w="3181" w:type="dxa"/>
            <w:shd w:val="clear" w:color="auto" w:fill="EAE7DD"/>
          </w:tcPr>
          <w:p>
            <w:pPr>
              <w:spacing w:before="0" w:after="0" w:line="312" w:lineRule="auto"/>
            </w:pPr>
            <w:r>
              <w:rPr>
                <w:rFonts w:ascii="Calibri" w:hAnsi="Calibri" w:cs="Calibri" w:eastAsia="PingFang SC"/>
                <w:b/>
                <w:color w:val="3D3A33"/>
                <w:sz w:val="22"/>
                <w:szCs w:val="22"/>
              </w:rPr>
              <w:t xml:space="preserve">Shared actor identifiers</w:t>
            </w:r>
          </w:p>
        </w:tc>
      </w:tr>
      <w:tr>
        <w:tc>
          <w:tcPr>
            <w:tcW w:w="3350" w:type="dxa"/>
          </w:tcPr>
          <w:p>
            <w:pPr>
              <w:spacing w:before="0" w:after="0" w:line="312" w:lineRule="auto"/>
            </w:pPr>
            <w:r>
              <w:rPr>
                <w:rFonts w:ascii="Calibri" w:hAnsi="Calibri" w:cs="Calibri" w:eastAsia="PingFang SC"/>
                <w:color w:val="3D3A33"/>
                <w:sz w:val="22"/>
                <w:szCs w:val="22"/>
              </w:rPr>
              <w:t xml:space="preserve">Manage Closely</w:t>
            </w:r>
          </w:p>
        </w:tc>
        <w:tc>
          <w:tcPr>
            <w:tcW w:w="2830" w:type="dxa"/>
          </w:tcPr>
          <w:p>
            <w:pPr>
              <w:spacing w:before="0" w:after="0" w:line="312" w:lineRule="auto"/>
            </w:pPr>
            <w:r>
              <w:rPr>
                <w:rFonts w:ascii="Calibri" w:hAnsi="Calibri" w:cs="Calibri" w:eastAsia="PingFang SC"/>
                <w:color w:val="3D3A33"/>
                <w:sz w:val="22"/>
                <w:szCs w:val="22"/>
              </w:rPr>
              <w:t xml:space="preserve">Commander</w:t>
            </w:r>
          </w:p>
        </w:tc>
        <w:tc>
          <w:tcPr>
            <w:tcW w:w="3181" w:type="dxa"/>
          </w:tcPr>
          <w:p>
            <w:pPr>
              <w:spacing w:before="0" w:after="0" w:line="312" w:lineRule="auto"/>
            </w:pPr>
            <w:r>
              <w:rPr>
                <w:rFonts w:ascii="Calibri" w:hAnsi="Calibri" w:cs="Calibri" w:eastAsia="PingFang SC"/>
                <w:color w:val="3D3A33"/>
                <w:sz w:val="22"/>
                <w:szCs w:val="22"/>
              </w:rPr>
              <w:t xml:space="preserve">3, 4, 6, 8, 9</w:t>
            </w:r>
          </w:p>
        </w:tc>
      </w:tr>
      <w:tr>
        <w:tc>
          <w:tcPr>
            <w:tcW w:w="3350" w:type="dxa"/>
          </w:tcPr>
          <w:p>
            <w:pPr>
              <w:spacing w:before="0" w:after="0" w:line="312" w:lineRule="auto"/>
            </w:pPr>
            <w:r>
              <w:rPr>
                <w:rFonts w:ascii="Calibri" w:hAnsi="Calibri" w:cs="Calibri" w:eastAsia="PingFang SC"/>
                <w:color w:val="3D3A33"/>
                <w:sz w:val="22"/>
                <w:szCs w:val="22"/>
              </w:rPr>
              <w:t xml:space="preserve">Manage Closely</w:t>
            </w:r>
          </w:p>
        </w:tc>
        <w:tc>
          <w:tcPr>
            <w:tcW w:w="2830" w:type="dxa"/>
          </w:tcPr>
          <w:p>
            <w:pPr>
              <w:spacing w:before="0" w:after="0" w:line="312" w:lineRule="auto"/>
            </w:pPr>
            <w:r>
              <w:rPr>
                <w:rFonts w:ascii="Calibri" w:hAnsi="Calibri" w:cs="Calibri" w:eastAsia="PingFang SC"/>
                <w:color w:val="3D3A33"/>
                <w:sz w:val="22"/>
                <w:szCs w:val="22"/>
              </w:rPr>
              <w:t xml:space="preserve">Compromiser</w:t>
            </w:r>
          </w:p>
        </w:tc>
        <w:tc>
          <w:tcPr>
            <w:tcW w:w="3181" w:type="dxa"/>
          </w:tcPr>
          <w:p>
            <w:pPr>
              <w:spacing w:before="0" w:after="0" w:line="312" w:lineRule="auto"/>
            </w:pPr>
            <w:r>
              <w:rPr>
                <w:rFonts w:ascii="Calibri" w:hAnsi="Calibri" w:cs="Calibri" w:eastAsia="PingFang SC"/>
                <w:color w:val="3D3A33"/>
                <w:sz w:val="22"/>
                <w:szCs w:val="22"/>
              </w:rPr>
              <w:t xml:space="preserve">15, 24</w:t>
            </w:r>
          </w:p>
        </w:tc>
      </w:tr>
      <w:tr>
        <w:tc>
          <w:tcPr>
            <w:tcW w:w="3350" w:type="dxa"/>
          </w:tcPr>
          <w:p>
            <w:pPr>
              <w:spacing w:before="0" w:after="0" w:line="312" w:lineRule="auto"/>
            </w:pPr>
            <w:r>
              <w:rPr>
                <w:rFonts w:ascii="Calibri" w:hAnsi="Calibri" w:cs="Calibri" w:eastAsia="PingFang SC"/>
                <w:color w:val="3D3A33"/>
                <w:sz w:val="22"/>
                <w:szCs w:val="22"/>
              </w:rPr>
              <w:t xml:space="preserve">Manage Closely</w:t>
            </w:r>
          </w:p>
        </w:tc>
        <w:tc>
          <w:tcPr>
            <w:tcW w:w="2830" w:type="dxa"/>
          </w:tcPr>
          <w:p>
            <w:pPr>
              <w:spacing w:before="0" w:after="0" w:line="312" w:lineRule="auto"/>
            </w:pPr>
            <w:r>
              <w:rPr>
                <w:rFonts w:ascii="Calibri" w:hAnsi="Calibri" w:cs="Calibri" w:eastAsia="PingFang SC"/>
                <w:color w:val="3D3A33"/>
                <w:sz w:val="22"/>
                <w:szCs w:val="22"/>
              </w:rPr>
              <w:t xml:space="preserve">Subordinate</w:t>
            </w:r>
          </w:p>
        </w:tc>
        <w:tc>
          <w:tcPr>
            <w:tcW w:w="3181" w:type="dxa"/>
          </w:tcPr>
          <w:p>
            <w:pPr>
              <w:spacing w:before="0" w:after="0" w:line="312" w:lineRule="auto"/>
            </w:pPr>
            <w:r>
              <w:rPr>
                <w:rFonts w:ascii="Calibri" w:hAnsi="Calibri" w:cs="Calibri" w:eastAsia="PingFang SC"/>
                <w:color w:val="3D3A33"/>
                <w:sz w:val="22"/>
                <w:szCs w:val="22"/>
              </w:rPr>
              <w:t xml:space="preserve">5, 13, 27</w:t>
            </w:r>
          </w:p>
        </w:tc>
      </w:tr>
      <w:tr>
        <w:tc>
          <w:tcPr>
            <w:tcW w:w="3350" w:type="dxa"/>
          </w:tcPr>
          <w:p>
            <w:pPr>
              <w:spacing w:before="0" w:after="0" w:line="312" w:lineRule="auto"/>
            </w:pPr>
            <w:r>
              <w:rPr>
                <w:rFonts w:ascii="Calibri" w:hAnsi="Calibri" w:cs="Calibri" w:eastAsia="PingFang SC"/>
                <w:color w:val="3D3A33"/>
                <w:sz w:val="22"/>
                <w:szCs w:val="22"/>
              </w:rPr>
              <w:t xml:space="preserve">Manage Closely</w:t>
            </w:r>
          </w:p>
        </w:tc>
        <w:tc>
          <w:tcPr>
            <w:tcW w:w="2830" w:type="dxa"/>
          </w:tcPr>
          <w:p>
            <w:pPr>
              <w:spacing w:before="0" w:after="0" w:line="312" w:lineRule="auto"/>
            </w:pPr>
            <w:r>
              <w:rPr>
                <w:rFonts w:ascii="Calibri" w:hAnsi="Calibri" w:cs="Calibri" w:eastAsia="PingFang SC"/>
                <w:color w:val="3D3A33"/>
                <w:sz w:val="22"/>
                <w:szCs w:val="22"/>
              </w:rPr>
              <w:t xml:space="preserve">Solitarian</w:t>
            </w:r>
          </w:p>
        </w:tc>
        <w:tc>
          <w:tcPr>
            <w:tcW w:w="3181" w:type="dxa"/>
          </w:tcPr>
          <w:p>
            <w:pPr>
              <w:spacing w:before="0" w:after="0" w:line="312" w:lineRule="auto"/>
            </w:pPr>
            <w:r>
              <w:rPr>
                <w:rFonts w:ascii="Calibri" w:hAnsi="Calibri" w:cs="Calibri" w:eastAsia="PingFang SC"/>
                <w:color w:val="3D3A33"/>
                <w:sz w:val="22"/>
                <w:szCs w:val="22"/>
              </w:rPr>
              <w:t xml:space="preserve">28, 29</w:t>
            </w:r>
          </w:p>
        </w:tc>
      </w:tr>
      <w:tr>
        <w:tc>
          <w:tcPr>
            <w:tcW w:w="3350" w:type="dxa"/>
          </w:tcPr>
          <w:p>
            <w:pPr>
              <w:spacing w:before="0" w:after="0" w:line="312" w:lineRule="auto"/>
            </w:pPr>
            <w:r>
              <w:rPr>
                <w:rFonts w:ascii="Calibri" w:hAnsi="Calibri" w:cs="Calibri" w:eastAsia="PingFang SC"/>
                <w:color w:val="3D3A33"/>
                <w:sz w:val="22"/>
                <w:szCs w:val="22"/>
              </w:rPr>
              <w:t xml:space="preserve">Monitor</w:t>
            </w:r>
          </w:p>
        </w:tc>
        <w:tc>
          <w:tcPr>
            <w:tcW w:w="2830" w:type="dxa"/>
          </w:tcPr>
          <w:p>
            <w:pPr>
              <w:spacing w:before="0" w:after="0" w:line="312" w:lineRule="auto"/>
            </w:pPr>
            <w:r>
              <w:rPr>
                <w:rFonts w:ascii="Calibri" w:hAnsi="Calibri" w:cs="Calibri" w:eastAsia="PingFang SC"/>
                <w:color w:val="3D3A33"/>
                <w:sz w:val="22"/>
                <w:szCs w:val="22"/>
              </w:rPr>
              <w:t xml:space="preserve">Commander</w:t>
            </w:r>
          </w:p>
        </w:tc>
        <w:tc>
          <w:tcPr>
            <w:tcW w:w="3181" w:type="dxa"/>
          </w:tcPr>
          <w:p>
            <w:pPr>
              <w:spacing w:before="0" w:after="0" w:line="312" w:lineRule="auto"/>
            </w:pPr>
            <w:r>
              <w:rPr>
                <w:rFonts w:ascii="Calibri" w:hAnsi="Calibri" w:cs="Calibri" w:eastAsia="PingFang SC"/>
                <w:color w:val="3D3A33"/>
                <w:sz w:val="22"/>
                <w:szCs w:val="22"/>
              </w:rPr>
              <w:t xml:space="preserve">12, 16, 26</w:t>
            </w:r>
          </w:p>
        </w:tc>
      </w:tr>
    </w:tbl>
    <w:p>
      <w:pPr>
        <w:spacing w:before="0" w:after="160" w:line="312" w:lineRule="auto"/>
      </w:pPr>
      <w:r>
        <w:rPr>
          <w:rFonts w:ascii="Calibri" w:hAnsi="Calibri" w:cs="Calibri" w:eastAsia="PingFang SC"/>
          <w:color w:val="3D3A33"/>
          <w:sz w:val="22"/>
          <w:szCs w:val="22"/>
        </w:rPr>
        <w:t xml:space="preserve">Only </w:t>
      </w:r>
      <w:r>
        <w:rPr>
          <w:rFonts w:ascii="Calibri" w:hAnsi="Calibri" w:cs="Calibri" w:eastAsia="PingFang SC"/>
          <w:b/>
          <w:color w:val="3D3A33"/>
          <w:sz w:val="22"/>
          <w:szCs w:val="22"/>
        </w:rPr>
        <w:t xml:space="preserve">five of the twelve Manage Closely actors</w:t>
      </w:r>
      <w:r>
        <w:rPr>
          <w:rFonts w:ascii="Calibri" w:hAnsi="Calibri" w:cs="Calibri" w:eastAsia="PingFang SC"/>
          <w:color w:val="3D3A33"/>
          <w:sz w:val="22"/>
          <w:szCs w:val="22"/>
        </w:rPr>
        <w:t xml:space="preserve"> are listed as Commanders. Conversely, </w:t>
      </w:r>
      <w:r>
        <w:rPr>
          <w:rFonts w:ascii="Calibri" w:hAnsi="Calibri" w:cs="Calibri" w:eastAsia="PingFang SC"/>
          <w:b/>
          <w:color w:val="3D3A33"/>
          <w:sz w:val="22"/>
          <w:szCs w:val="22"/>
        </w:rPr>
        <w:t xml:space="preserve">three Monitor actors</w:t>
      </w:r>
      <w:r>
        <w:rPr>
          <w:rFonts w:ascii="Calibri" w:hAnsi="Calibri" w:cs="Calibri" w:eastAsia="PingFang SC"/>
          <w:color w:val="3D3A33"/>
          <w:sz w:val="22"/>
          <w:szCs w:val="22"/>
        </w:rPr>
        <w:t xml:space="preserve">, 12, 16 and 26, have Commander positions in the structural model. People perceived as low power and low interest can therefore occupy important problem-solving paths.</w:t>
      </w:r>
    </w:p>
    <w:p>
      <w:pPr>
        <w:spacing w:before="240" w:after="80" w:line="312" w:lineRule="auto"/>
      </w:pPr>
      <w:r>
        <w:rPr>
          <w:rFonts w:ascii="Calibri" w:hAnsi="Calibri" w:cs="Calibri" w:eastAsia="PingFang SC"/>
          <w:b/>
          <w:color w:val="9E3D34"/>
          <w:sz w:val="26"/>
          <w:szCs w:val="26"/>
        </w:rPr>
        <w:t xml:space="preserve">Implications for engagement</w:t>
      </w:r>
    </w:p>
    <w:p>
      <w:pPr>
        <w:spacing w:before="0" w:after="160" w:line="312" w:lineRule="auto"/>
      </w:pPr>
      <w:r>
        <w:rPr>
          <w:rFonts w:ascii="Calibri" w:hAnsi="Calibri" w:cs="Calibri" w:eastAsia="PingFang SC"/>
          <w:color w:val="3D3A33"/>
          <w:sz w:val="22"/>
          <w:szCs w:val="22"/>
        </w:rPr>
        <w:t xml:space="preserve">Attribute-based and structural assessments should be used together rather than treated as competing versions of the same measure.</w:t>
      </w:r>
    </w:p>
    <w:p>
      <w:pPr>
        <w:numPr>
          <w:ilvl w:val="0"/>
          <w:numId w:val="102"/>
        </w:numPr>
        <w:spacing w:after="80" w:line="312" w:lineRule="auto"/>
      </w:pPr>
      <w:r>
        <w:rPr>
          <w:rFonts w:ascii="Calibri" w:hAnsi="Calibri" w:cs="Calibri" w:eastAsia="PingFang SC"/>
          <w:color w:val="3D3A33"/>
          <w:sz w:val="22"/>
          <w:szCs w:val="22"/>
        </w:rPr>
        <w:t xml:space="preserve">Assess formal roles, perceived power, interest and legitimate claims.</w:t>
      </w:r>
    </w:p>
    <w:p>
      <w:pPr>
        <w:numPr>
          <w:ilvl w:val="0"/>
          <w:numId w:val="102"/>
        </w:numPr>
        <w:spacing w:after="80" w:line="312" w:lineRule="auto"/>
      </w:pPr>
      <w:r>
        <w:rPr>
          <w:rFonts w:ascii="Calibri" w:hAnsi="Calibri" w:cs="Calibri" w:eastAsia="PingFang SC"/>
          <w:color w:val="3D3A33"/>
          <w:sz w:val="22"/>
          <w:szCs w:val="22"/>
        </w:rPr>
        <w:t xml:space="preserve">Examine actual problem-solving, advice or communication relationships.</w:t>
      </w:r>
    </w:p>
    <w:p>
      <w:pPr>
        <w:numPr>
          <w:ilvl w:val="0"/>
          <w:numId w:val="102"/>
        </w:numPr>
        <w:spacing w:after="80" w:line="312" w:lineRule="auto"/>
      </w:pPr>
      <w:r>
        <w:rPr>
          <w:rFonts w:ascii="Calibri" w:hAnsi="Calibri" w:cs="Calibri" w:eastAsia="PingFang SC"/>
          <w:color w:val="3D3A33"/>
          <w:sz w:val="22"/>
          <w:szCs w:val="22"/>
        </w:rPr>
        <w:t xml:space="preserve">Investigate disagreements between the two assessments.</w:t>
      </w:r>
    </w:p>
    <w:p>
      <w:pPr>
        <w:numPr>
          <w:ilvl w:val="0"/>
          <w:numId w:val="102"/>
        </w:numPr>
        <w:spacing w:after="80" w:line="312" w:lineRule="auto"/>
      </w:pPr>
      <w:r>
        <w:rPr>
          <w:rFonts w:ascii="Calibri" w:hAnsi="Calibri" w:cs="Calibri" w:eastAsia="PingFang SC"/>
          <w:color w:val="3D3A33"/>
          <w:sz w:val="22"/>
          <w:szCs w:val="22"/>
        </w:rPr>
        <w:t xml:space="preserve">Check whether highly connected actors are bottlenecks, under-recognised brokers or useful connectors.</w:t>
      </w:r>
    </w:p>
    <w:p>
      <w:pPr>
        <w:numPr>
          <w:ilvl w:val="0"/>
          <w:numId w:val="102"/>
        </w:numPr>
        <w:spacing w:after="80" w:line="312" w:lineRule="auto"/>
      </w:pPr>
      <w:r>
        <w:rPr>
          <w:rFonts w:ascii="Calibri" w:hAnsi="Calibri" w:cs="Calibri" w:eastAsia="PingFang SC"/>
          <w:color w:val="3D3A33"/>
          <w:sz w:val="22"/>
          <w:szCs w:val="22"/>
        </w:rPr>
        <w:t xml:space="preserve">Tailor engagement to the relationship and the work required, not just the actor's label.</w:t>
      </w:r>
    </w:p>
    <w:p>
      <w:pPr>
        <w:numPr>
          <w:ilvl w:val="0"/>
          <w:numId w:val="102"/>
        </w:numPr>
        <w:spacing w:after="80" w:line="312" w:lineRule="auto"/>
      </w:pPr>
      <w:r>
        <w:rPr>
          <w:rFonts w:ascii="Calibri" w:hAnsi="Calibri" w:cs="Calibri" w:eastAsia="PingFang SC"/>
          <w:color w:val="3D3A33"/>
          <w:sz w:val="22"/>
          <w:szCs w:val="22"/>
        </w:rPr>
        <w:t xml:space="preserve">Reassess after interventions or changes in the project.</w:t>
      </w:r>
    </w:p>
    <w:p>
      <w:pPr>
        <w:spacing w:before="0" w:after="160" w:line="312" w:lineRule="auto"/>
      </w:pPr>
      <w:r>
        <w:rPr>
          <w:rFonts w:ascii="Calibri" w:hAnsi="Calibri" w:cs="Calibri" w:eastAsia="PingFang SC"/>
          <w:color w:val="3D3A33"/>
          <w:sz w:val="22"/>
          <w:szCs w:val="22"/>
        </w:rPr>
        <w:t xml:space="preserve">A low-power label should not be grounds for ignoring evidence of informal influence. Equally, centrality does not replace ethical consideration of affected people with limited network access. A sound engagement plan considers both structural leverage and stakeholder needs.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