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PMGT1865 Week 05</w:t>
      </w:r>
    </w:p>
    <w:p>
      <w:pPr>
        <w:spacing w:before="240" w:after="80" w:line="312" w:lineRule="auto"/>
      </w:pPr>
      <w:r>
        <w:rPr>
          <w:rFonts w:ascii="Calibri" w:hAnsi="Calibri" w:cs="Calibri" w:eastAsia="PingFang SC"/>
          <w:b/>
          <w:color w:val="33302A"/>
          <w:sz w:val="32"/>
          <w:szCs w:val="32"/>
        </w:rPr>
        <w:t xml:space="preserve">PMGT1865 Week 05 — Resource Planning</w:t>
      </w:r>
    </w:p>
    <w:p>
      <w:pPr>
        <w:spacing w:before="240" w:after="80" w:line="312" w:lineRule="auto"/>
      </w:pPr>
      <w:r>
        <w:rPr>
          <w:rFonts w:ascii="Calibri" w:hAnsi="Calibri" w:cs="Calibri" w:eastAsia="PingFang SC"/>
          <w:b/>
          <w:color w:val="9E3D34"/>
          <w:sz w:val="26"/>
          <w:szCs w:val="26"/>
        </w:rPr>
        <w:t xml:space="preserve">Resources and the Planning Process</w:t>
      </w:r>
    </w:p>
    <w:p>
      <w:pPr>
        <w:spacing w:before="0" w:after="160" w:line="312" w:lineRule="auto"/>
      </w:pPr>
      <w:r>
        <w:rPr>
          <w:rFonts w:ascii="Calibri" w:hAnsi="Calibri" w:cs="Calibri" w:eastAsia="PingFang SC"/>
          <w:color w:val="3D3A33"/>
          <w:sz w:val="22"/>
          <w:szCs w:val="22"/>
        </w:rPr>
        <w:t xml:space="preserve">Project resources include people, equipment, technology, materials, consumables and finance. Materials are normally </w:t>
      </w:r>
      <w:r>
        <w:rPr>
          <w:rFonts w:ascii="Calibri" w:hAnsi="Calibri" w:cs="Calibri" w:eastAsia="PingFang SC"/>
          <w:b/>
          <w:color w:val="3D3A33"/>
          <w:sz w:val="22"/>
          <w:szCs w:val="22"/>
        </w:rPr>
        <w:t xml:space="preserve">consumed</w:t>
      </w:r>
      <w:r>
        <w:rPr>
          <w:rFonts w:ascii="Calibri" w:hAnsi="Calibri" w:cs="Calibri" w:eastAsia="PingFang SC"/>
          <w:color w:val="3D3A33"/>
          <w:sz w:val="22"/>
          <w:szCs w:val="22"/>
        </w:rPr>
        <w:t xml:space="preserve">, or used up. People and equipment are </w:t>
      </w:r>
      <w:r>
        <w:rPr>
          <w:rFonts w:ascii="Calibri" w:hAnsi="Calibri" w:cs="Calibri" w:eastAsia="PingFang SC"/>
          <w:b/>
          <w:color w:val="3D3A33"/>
          <w:sz w:val="22"/>
          <w:szCs w:val="22"/>
        </w:rPr>
        <w:t xml:space="preserve">applied</w:t>
      </w:r>
      <w:r>
        <w:rPr>
          <w:rFonts w:ascii="Calibri" w:hAnsi="Calibri" w:cs="Calibri" w:eastAsia="PingFang SC"/>
          <w:color w:val="3D3A33"/>
          <w:sz w:val="22"/>
          <w:szCs w:val="22"/>
        </w:rPr>
        <w:t xml:space="preserve"> to perform work and may be available for later activities.</w:t>
      </w:r>
    </w:p>
    <w:p>
      <w:pPr>
        <w:spacing w:before="0" w:after="160" w:line="312" w:lineRule="auto"/>
      </w:pPr>
      <w:r>
        <w:rPr>
          <w:rFonts w:ascii="Calibri" w:hAnsi="Calibri" w:cs="Calibri" w:eastAsia="PingFang SC"/>
          <w:color w:val="3D3A33"/>
          <w:sz w:val="22"/>
          <w:szCs w:val="22"/>
        </w:rPr>
        <w:t xml:space="preserve">Resource management establishes how resources will be estimated, acquired, allocated, managed and used. A schedule based only on logical dependencies can be infeasible if its resource demand exceeds availability.</w:t>
      </w:r>
    </w:p>
    <w:p>
      <w:pPr>
        <w:spacing w:before="0" w:after="160" w:line="312" w:lineRule="auto"/>
      </w:pPr>
      <w:r>
        <w:rPr>
          <w:rFonts w:ascii="Calibri" w:hAnsi="Calibri" w:cs="Calibri" w:eastAsia="PingFang SC"/>
          <w:color w:val="3D3A33"/>
          <w:sz w:val="22"/>
          <w:szCs w:val="22"/>
        </w:rPr>
        <w:t xml:space="preserve">The resource-planning process has three main steps:</w:t>
      </w:r>
    </w:p>
    <w:p>
      <w:pPr>
        <w:numPr>
          <w:ilvl w:val="0"/>
          <w:numId w:val="101"/>
        </w:numPr>
        <w:spacing w:after="80" w:line="312" w:lineRule="auto"/>
      </w:pPr>
      <w:r>
        <w:rPr>
          <w:rFonts w:ascii="Calibri" w:hAnsi="Calibri" w:cs="Calibri" w:eastAsia="PingFang SC"/>
          <w:color w:val="3D3A33"/>
          <w:sz w:val="22"/>
          <w:szCs w:val="22"/>
        </w:rPr>
        <w:t xml:space="preserve">Identify the types and quantities of resources required.</w:t>
      </w:r>
    </w:p>
    <w:p>
      <w:pPr>
        <w:numPr>
          <w:ilvl w:val="0"/>
          <w:numId w:val="101"/>
        </w:numPr>
        <w:spacing w:after="80" w:line="312" w:lineRule="auto"/>
      </w:pPr>
      <w:r>
        <w:rPr>
          <w:rFonts w:ascii="Calibri" w:hAnsi="Calibri" w:cs="Calibri" w:eastAsia="PingFang SC"/>
          <w:color w:val="3D3A33"/>
          <w:sz w:val="22"/>
          <w:szCs w:val="22"/>
        </w:rPr>
        <w:t xml:space="preserve">Determine when they are needed and allocate them to scheduled activities.</w:t>
      </w:r>
    </w:p>
    <w:p>
      <w:pPr>
        <w:numPr>
          <w:ilvl w:val="0"/>
          <w:numId w:val="101"/>
        </w:numPr>
        <w:spacing w:after="80" w:line="312" w:lineRule="auto"/>
      </w:pPr>
      <w:r>
        <w:rPr>
          <w:rFonts w:ascii="Calibri" w:hAnsi="Calibri" w:cs="Calibri" w:eastAsia="PingFang SC"/>
          <w:color w:val="3D3A33"/>
          <w:sz w:val="22"/>
          <w:szCs w:val="22"/>
        </w:rPr>
        <w:t xml:space="preserve">Decide how to obtain them: </w:t>
      </w:r>
      <w:r>
        <w:rPr>
          <w:rFonts w:ascii="Calibri" w:hAnsi="Calibri" w:cs="Calibri" w:eastAsia="PingFang SC"/>
          <w:b/>
          <w:color w:val="3D3A33"/>
          <w:sz w:val="22"/>
          <w:szCs w:val="22"/>
        </w:rPr>
        <w:t xml:space="preserve">Buy</w:t>
      </w:r>
      <w:r>
        <w:rPr>
          <w:rFonts w:ascii="Calibri" w:hAnsi="Calibri" w:cs="Calibri" w:eastAsia="PingFang SC"/>
          <w:color w:val="3D3A33"/>
          <w:sz w:val="22"/>
          <w:szCs w:val="22"/>
        </w:rPr>
        <w:t xml:space="preserve"> externally, </w:t>
      </w:r>
      <w:r>
        <w:rPr>
          <w:rFonts w:ascii="Calibri" w:hAnsi="Calibri" w:cs="Calibri" w:eastAsia="PingFang SC"/>
          <w:b/>
          <w:color w:val="3D3A33"/>
          <w:sz w:val="22"/>
          <w:szCs w:val="22"/>
        </w:rPr>
        <w:t xml:space="preserve">Team</w:t>
      </w:r>
      <w:r>
        <w:rPr>
          <w:rFonts w:ascii="Calibri" w:hAnsi="Calibri" w:cs="Calibri" w:eastAsia="PingFang SC"/>
          <w:color w:val="3D3A33"/>
          <w:sz w:val="22"/>
          <w:szCs w:val="22"/>
        </w:rPr>
        <w:t xml:space="preserve"> with partners, or </w:t>
      </w:r>
      <w:r>
        <w:rPr>
          <w:rFonts w:ascii="Calibri" w:hAnsi="Calibri" w:cs="Calibri" w:eastAsia="PingFang SC"/>
          <w:b/>
          <w:color w:val="3D3A33"/>
          <w:sz w:val="22"/>
          <w:szCs w:val="22"/>
        </w:rPr>
        <w:t xml:space="preserve">Make</w:t>
      </w:r>
      <w:r>
        <w:rPr>
          <w:rFonts w:ascii="Calibri" w:hAnsi="Calibri" w:cs="Calibri" w:eastAsia="PingFang SC"/>
          <w:color w:val="3D3A33"/>
          <w:sz w:val="22"/>
          <w:szCs w:val="22"/>
        </w:rPr>
        <w:t xml:space="preserve"> using internal capability.</w:t>
      </w:r>
    </w:p>
    <w:p>
      <w:pPr>
        <w:spacing w:before="240" w:after="80" w:line="312" w:lineRule="auto"/>
      </w:pPr>
      <w:r>
        <w:rPr>
          <w:rFonts w:ascii="Calibri" w:hAnsi="Calibri" w:cs="Calibri" w:eastAsia="PingFang SC"/>
          <w:b/>
          <w:color w:val="9E3D34"/>
          <w:sz w:val="26"/>
          <w:szCs w:val="26"/>
        </w:rPr>
        <w:t xml:space="preserve">Estimation Approaches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099"/>
        <w:gridCol w:w="6261"/>
      </w:tblGrid>
      <w:tr>
        <w:trPr>
          <w:tblHeader/>
        </w:trPr>
        <w:tc>
          <w:tcPr>
            <w:tcW w:w="3099" w:type="dxa"/>
            <w:shd w:val="clear" w:color="auto" w:fill="EAE7DD"/>
          </w:tcPr>
          <w:p>
            <w:pPr>
              <w:spacing w:before="0" w:after="0" w:line="312" w:lineRule="auto"/>
            </w:pPr>
            <w:r>
              <w:rPr>
                <w:rFonts w:ascii="Calibri" w:hAnsi="Calibri" w:cs="Calibri" w:eastAsia="PingFang SC"/>
                <w:b/>
                <w:color w:val="3D3A33"/>
                <w:sz w:val="22"/>
                <w:szCs w:val="22"/>
              </w:rPr>
              <w:t xml:space="preserve">Approach</w:t>
            </w:r>
          </w:p>
        </w:tc>
        <w:tc>
          <w:tcPr>
            <w:tcW w:w="6261" w:type="dxa"/>
            <w:shd w:val="clear" w:color="auto" w:fill="EAE7DD"/>
          </w:tcPr>
          <w:p>
            <w:pPr>
              <w:spacing w:before="0" w:after="0" w:line="312" w:lineRule="auto"/>
            </w:pPr>
            <w:r>
              <w:rPr>
                <w:rFonts w:ascii="Calibri" w:hAnsi="Calibri" w:cs="Calibri" w:eastAsia="PingFang SC"/>
                <w:b/>
                <w:color w:val="3D3A33"/>
                <w:sz w:val="22"/>
                <w:szCs w:val="22"/>
              </w:rPr>
              <w:t xml:space="preserve">Meaning and use</w:t>
            </w:r>
          </w:p>
        </w:tc>
      </w:tr>
      <w:tr>
        <w:tc>
          <w:tcPr>
            <w:tcW w:w="3099" w:type="dxa"/>
          </w:tcPr>
          <w:p>
            <w:pPr>
              <w:spacing w:before="0" w:after="0" w:line="312" w:lineRule="auto"/>
            </w:pPr>
            <w:r>
              <w:rPr>
                <w:rFonts w:ascii="Calibri" w:hAnsi="Calibri" w:cs="Calibri" w:eastAsia="PingFang SC"/>
                <w:color w:val="3D3A33"/>
                <w:sz w:val="22"/>
                <w:szCs w:val="22"/>
              </w:rPr>
              <w:t xml:space="preserve">Deterministic estimation</w:t>
            </w:r>
          </w:p>
        </w:tc>
        <w:tc>
          <w:tcPr>
            <w:tcW w:w="6261" w:type="dxa"/>
          </w:tcPr>
          <w:p>
            <w:pPr>
              <w:spacing w:before="0" w:after="0" w:line="312" w:lineRule="auto"/>
            </w:pPr>
            <w:r>
              <w:rPr>
                <w:rFonts w:ascii="Calibri" w:hAnsi="Calibri" w:cs="Calibri" w:eastAsia="PingFang SC"/>
                <w:color w:val="3D3A33"/>
                <w:sz w:val="22"/>
                <w:szCs w:val="22"/>
              </w:rPr>
              <w:t xml:space="preserve">Produces a single estimate from stated assumptions, rates or judgements</w:t>
            </w:r>
          </w:p>
        </w:tc>
      </w:tr>
      <w:tr>
        <w:tc>
          <w:tcPr>
            <w:tcW w:w="3099" w:type="dxa"/>
          </w:tcPr>
          <w:p>
            <w:pPr>
              <w:spacing w:before="0" w:after="0" w:line="312" w:lineRule="auto"/>
            </w:pPr>
            <w:r>
              <w:rPr>
                <w:rFonts w:ascii="Calibri" w:hAnsi="Calibri" w:cs="Calibri" w:eastAsia="PingFang SC"/>
                <w:color w:val="3D3A33"/>
                <w:sz w:val="22"/>
                <w:szCs w:val="22"/>
              </w:rPr>
              <w:t xml:space="preserve">Probabilistic or stochastic estimation</w:t>
            </w:r>
          </w:p>
        </w:tc>
        <w:tc>
          <w:tcPr>
            <w:tcW w:w="6261" w:type="dxa"/>
          </w:tcPr>
          <w:p>
            <w:pPr>
              <w:spacing w:before="0" w:after="0" w:line="312" w:lineRule="auto"/>
            </w:pPr>
            <w:r>
              <w:rPr>
                <w:rFonts w:ascii="Calibri" w:hAnsi="Calibri" w:cs="Calibri" w:eastAsia="PingFang SC"/>
                <w:color w:val="3D3A33"/>
                <w:sz w:val="22"/>
                <w:szCs w:val="22"/>
              </w:rPr>
              <w:t xml:space="preserve">Represents uncertainty through ranges, distributions or simulation</w:t>
            </w:r>
          </w:p>
        </w:tc>
      </w:tr>
      <w:tr>
        <w:tc>
          <w:tcPr>
            <w:tcW w:w="3099" w:type="dxa"/>
          </w:tcPr>
          <w:p>
            <w:pPr>
              <w:spacing w:before="0" w:after="0" w:line="312" w:lineRule="auto"/>
            </w:pPr>
            <w:r>
              <w:rPr>
                <w:rFonts w:ascii="Calibri" w:hAnsi="Calibri" w:cs="Calibri" w:eastAsia="PingFang SC"/>
                <w:color w:val="3D3A33"/>
                <w:sz w:val="22"/>
                <w:szCs w:val="22"/>
              </w:rPr>
              <w:t xml:space="preserve">Parametric estimation</w:t>
            </w:r>
          </w:p>
        </w:tc>
        <w:tc>
          <w:tcPr>
            <w:tcW w:w="6261" w:type="dxa"/>
          </w:tcPr>
          <w:p>
            <w:pPr>
              <w:spacing w:before="0" w:after="0" w:line="312" w:lineRule="auto"/>
            </w:pPr>
            <w:r>
              <w:rPr>
                <w:rFonts w:ascii="Calibri" w:hAnsi="Calibri" w:cs="Calibri" w:eastAsia="PingFang SC"/>
                <w:color w:val="3D3A33"/>
                <w:sz w:val="22"/>
                <w:szCs w:val="22"/>
              </w:rPr>
              <w:t xml:space="preserve">Multiplies a quantity of work by an effort or cost rate, adjusted for context</w:t>
            </w:r>
          </w:p>
        </w:tc>
      </w:tr>
      <w:tr>
        <w:tc>
          <w:tcPr>
            <w:tcW w:w="3099" w:type="dxa"/>
          </w:tcPr>
          <w:p>
            <w:pPr>
              <w:spacing w:before="0" w:after="0" w:line="312" w:lineRule="auto"/>
            </w:pPr>
            <w:r>
              <w:rPr>
                <w:rFonts w:ascii="Calibri" w:hAnsi="Calibri" w:cs="Calibri" w:eastAsia="PingFang SC"/>
                <w:color w:val="3D3A33"/>
                <w:sz w:val="22"/>
                <w:szCs w:val="22"/>
              </w:rPr>
              <w:t xml:space="preserve">Analogous estimation</w:t>
            </w:r>
          </w:p>
        </w:tc>
        <w:tc>
          <w:tcPr>
            <w:tcW w:w="6261" w:type="dxa"/>
          </w:tcPr>
          <w:p>
            <w:pPr>
              <w:spacing w:before="0" w:after="0" w:line="312" w:lineRule="auto"/>
            </w:pPr>
            <w:r>
              <w:rPr>
                <w:rFonts w:ascii="Calibri" w:hAnsi="Calibri" w:cs="Calibri" w:eastAsia="PingFang SC"/>
                <w:color w:val="3D3A33"/>
                <w:sz w:val="22"/>
                <w:szCs w:val="22"/>
              </w:rPr>
              <w:t xml:space="preserve">Starts with comparable previous work and adjusts for differences</w:t>
            </w:r>
          </w:p>
        </w:tc>
      </w:tr>
      <w:tr>
        <w:tc>
          <w:tcPr>
            <w:tcW w:w="3099" w:type="dxa"/>
          </w:tcPr>
          <w:p>
            <w:pPr>
              <w:spacing w:before="0" w:after="0" w:line="312" w:lineRule="auto"/>
            </w:pPr>
            <w:r>
              <w:rPr>
                <w:rFonts w:ascii="Calibri" w:hAnsi="Calibri" w:cs="Calibri" w:eastAsia="PingFang SC"/>
                <w:color w:val="3D3A33"/>
                <w:sz w:val="22"/>
                <w:szCs w:val="22"/>
              </w:rPr>
              <w:t xml:space="preserve">Bottom-up estimation</w:t>
            </w:r>
          </w:p>
        </w:tc>
        <w:tc>
          <w:tcPr>
            <w:tcW w:w="6261" w:type="dxa"/>
          </w:tcPr>
          <w:p>
            <w:pPr>
              <w:spacing w:before="0" w:after="0" w:line="312" w:lineRule="auto"/>
            </w:pPr>
            <w:r>
              <w:rPr>
                <w:rFonts w:ascii="Calibri" w:hAnsi="Calibri" w:cs="Calibri" w:eastAsia="PingFang SC"/>
                <w:color w:val="3D3A33"/>
                <w:sz w:val="22"/>
                <w:szCs w:val="22"/>
              </w:rPr>
              <w:t xml:space="preserve">Estimates detailed tasks or work packages and aggregates the results</w:t>
            </w:r>
          </w:p>
        </w:tc>
      </w:tr>
      <w:tr>
        <w:tc>
          <w:tcPr>
            <w:tcW w:w="3099" w:type="dxa"/>
          </w:tcPr>
          <w:p>
            <w:pPr>
              <w:spacing w:before="0" w:after="0" w:line="312" w:lineRule="auto"/>
            </w:pPr>
            <w:r>
              <w:rPr>
                <w:rFonts w:ascii="Calibri" w:hAnsi="Calibri" w:cs="Calibri" w:eastAsia="PingFang SC"/>
                <w:color w:val="3D3A33"/>
                <w:sz w:val="22"/>
                <w:szCs w:val="22"/>
              </w:rPr>
              <w:t xml:space="preserve">Workload/capacity analysis</w:t>
            </w:r>
          </w:p>
        </w:tc>
        <w:tc>
          <w:tcPr>
            <w:tcW w:w="6261" w:type="dxa"/>
          </w:tcPr>
          <w:p>
            <w:pPr>
              <w:spacing w:before="0" w:after="0" w:line="312" w:lineRule="auto"/>
            </w:pPr>
            <w:r>
              <w:rPr>
                <w:rFonts w:ascii="Calibri" w:hAnsi="Calibri" w:cs="Calibri" w:eastAsia="PingFang SC"/>
                <w:color w:val="3D3A33"/>
                <w:sz w:val="22"/>
                <w:szCs w:val="22"/>
              </w:rPr>
              <w:t xml:space="preserve">Compares required effort with available resource capacity</w:t>
            </w:r>
          </w:p>
        </w:tc>
      </w:tr>
      <w:tr>
        <w:tc>
          <w:tcPr>
            <w:tcW w:w="3099" w:type="dxa"/>
          </w:tcPr>
          <w:p>
            <w:pPr>
              <w:spacing w:before="0" w:after="0" w:line="312" w:lineRule="auto"/>
            </w:pPr>
            <w:r>
              <w:rPr>
                <w:rFonts w:ascii="Calibri" w:hAnsi="Calibri" w:cs="Calibri" w:eastAsia="PingFang SC"/>
                <w:color w:val="3D3A33"/>
                <w:sz w:val="22"/>
                <w:szCs w:val="22"/>
              </w:rPr>
              <w:t xml:space="preserve">Historical data and expert judgement</w:t>
            </w:r>
          </w:p>
        </w:tc>
        <w:tc>
          <w:tcPr>
            <w:tcW w:w="6261" w:type="dxa"/>
          </w:tcPr>
          <w:p>
            <w:pPr>
              <w:spacing w:before="0" w:after="0" w:line="312" w:lineRule="auto"/>
            </w:pPr>
            <w:r>
              <w:rPr>
                <w:rFonts w:ascii="Calibri" w:hAnsi="Calibri" w:cs="Calibri" w:eastAsia="PingFang SC"/>
                <w:color w:val="3D3A33"/>
                <w:sz w:val="22"/>
                <w:szCs w:val="22"/>
              </w:rPr>
              <w:t xml:space="preserve">Use previous observations and experienced assessment to inform estimates</w:t>
            </w:r>
          </w:p>
        </w:tc>
      </w:tr>
    </w:tbl>
    <w:p>
      <w:pPr>
        <w:spacing w:before="0" w:after="160" w:line="312" w:lineRule="auto"/>
      </w:pPr>
      <w:r>
        <w:rPr>
          <w:rFonts w:ascii="Calibri" w:hAnsi="Calibri" w:cs="Calibri" w:eastAsia="PingFang SC"/>
          <w:color w:val="3D3A33"/>
          <w:sz w:val="22"/>
          <w:szCs w:val="22"/>
        </w:rPr>
        <w:t xml:space="preserve">Three-point estimating uses optimistic, most likely and pessimistic estimates. Monte Carlo simulation samples uncertain inputs to explore possible outcomes. Vendor bids and Delphi expert consensus can also inform estimates, but do not automatically produce probability distributions: their uncertainty must be explicitly modelled if a probabilistic estimate is required.</w:t>
      </w:r>
    </w:p>
    <w:p>
      <w:pPr>
        <w:spacing w:before="0" w:after="160" w:line="312" w:lineRule="auto"/>
      </w:pPr>
      <w:r>
        <w:rPr>
          <w:rFonts w:ascii="Calibri" w:hAnsi="Calibri" w:cs="Calibri" w:eastAsia="PingFang SC"/>
          <w:color w:val="3D3A33"/>
          <w:sz w:val="22"/>
          <w:szCs w:val="22"/>
        </w:rPr>
        <w:t xml:space="preserve">Bottom-up estimates can be more detailed and potentially more accurate, but require sufficiently defined tasks and more estimating effort. Method selection depends on available information, uncertainty and the accuracy required.</w:t>
      </w:r>
    </w:p>
    <w:p>
      <w:pPr>
        <w:spacing w:before="240" w:after="80" w:line="312" w:lineRule="auto"/>
      </w:pPr>
      <w:r>
        <w:rPr>
          <w:rFonts w:ascii="Calibri" w:hAnsi="Calibri" w:cs="Calibri" w:eastAsia="PingFang SC"/>
          <w:b/>
          <w:color w:val="9E3D34"/>
          <w:sz w:val="26"/>
          <w:szCs w:val="26"/>
        </w:rPr>
        <w:t xml:space="preserve">Effort, Duration and Resource Units</w:t>
      </w:r>
    </w:p>
    <w:p>
      <w:pPr>
        <w:spacing w:before="0" w:after="160" w:line="312" w:lineRule="auto"/>
      </w:pPr>
      <w:r>
        <w:rPr>
          <w:rFonts w:ascii="Calibri" w:hAnsi="Calibri" w:cs="Calibri" w:eastAsia="PingFang SC"/>
          <w:b/>
          <w:color w:val="3D3A33"/>
          <w:sz w:val="22"/>
          <w:szCs w:val="22"/>
        </w:rPr>
        <w:t xml:space="preserve">Effort</w:t>
      </w:r>
      <w:r>
        <w:rPr>
          <w:rFonts w:ascii="Calibri" w:hAnsi="Calibri" w:cs="Calibri" w:eastAsia="PingFang SC"/>
          <w:color w:val="3D3A33"/>
          <w:sz w:val="22"/>
          <w:szCs w:val="22"/>
        </w:rPr>
        <w:t xml:space="preserve">, or work, is the total resource input, measured in units such as person-hours or person-days. </w:t>
      </w:r>
      <w:r>
        <w:rPr>
          <w:rFonts w:ascii="Calibri" w:hAnsi="Calibri" w:cs="Calibri" w:eastAsia="PingFang SC"/>
          <w:b/>
          <w:color w:val="3D3A33"/>
          <w:sz w:val="22"/>
          <w:szCs w:val="22"/>
        </w:rPr>
        <w:t xml:space="preserve">Duration</w:t>
      </w:r>
      <w:r>
        <w:rPr>
          <w:rFonts w:ascii="Calibri" w:hAnsi="Calibri" w:cs="Calibri" w:eastAsia="PingFang SC"/>
          <w:color w:val="3D3A33"/>
          <w:sz w:val="22"/>
          <w:szCs w:val="22"/>
        </w:rPr>
        <w:t xml:space="preserve"> is elapsed working time. Resource units describe how much capacity is assigned, such as the number of full-time workers.</w:t>
      </w:r>
    </w:p>
    <w:p>
      <w:pPr>
        <w:spacing w:before="0" w:after="160" w:line="312" w:lineRule="auto"/>
      </w:pPr>
      <w:r>
        <w:rPr>
          <w:rFonts w:ascii="Calibri" w:hAnsi="Calibri" w:cs="Calibri" w:eastAsia="PingFang SC"/>
          <w:color w:val="3D3A33"/>
          <w:sz w:val="22"/>
          <w:szCs w:val="22"/>
        </w:rPr>
        <w:t xml:space="preserve">For constant capacity and proportional productivity: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 = Duration × Resource units.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Duration = Work ÷ Resource units.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Adjusted effort per unit = Standard effort per unit ÷ Efficiency factor.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Total effort = Adjusted effort per unit × Quantity.</w:t>
      </w:r>
    </w:p>
    <w:p>
      <w:pPr>
        <w:spacing w:before="0" w:after="160" w:line="312" w:lineRule="auto"/>
      </w:pPr>
      <w:r>
        <w:rPr>
          <w:rFonts w:ascii="Calibri" w:hAnsi="Calibri" w:cs="Calibri" w:eastAsia="PingFang SC"/>
          <w:color w:val="3D3A33"/>
          <w:sz w:val="22"/>
          <w:szCs w:val="22"/>
        </w:rPr>
        <w:t xml:space="preserve">The efficiency factor is a dimensionless multiplier relative to standard productivity. At 80% efficiency, each unit requires 1 ÷ 0.80 times the standard effort. When work is measured in person-hours and units are workers, duration is in working hours; conversion to days requires hours worked per day.</w:t>
      </w:r>
    </w:p>
    <w:p>
      <w:pPr>
        <w:spacing w:before="0" w:after="160" w:line="312" w:lineRule="auto"/>
      </w:pPr>
      <w:r>
        <w:rPr>
          <w:rFonts w:ascii="Calibri" w:hAnsi="Calibri" w:cs="Calibri" w:eastAsia="PingFang SC"/>
          <w:color w:val="3D3A33"/>
          <w:sz w:val="22"/>
          <w:szCs w:val="22"/>
        </w:rPr>
        <w:t xml:space="preserve">These relationships assume that work can be distributed effectively across the assigned resources. Adding people does not always reduce duration proportionally when work is indivisible or coordination requirements increase.</w:t>
      </w:r>
    </w:p>
    <w:p>
      <w:pPr>
        <w:spacing w:before="240" w:after="80" w:line="312" w:lineRule="auto"/>
      </w:pPr>
      <w:r>
        <w:rPr>
          <w:rFonts w:ascii="Calibri" w:hAnsi="Calibri" w:cs="Calibri" w:eastAsia="PingFang SC"/>
          <w:b/>
          <w:color w:val="9E3D34"/>
          <w:sz w:val="26"/>
          <w:szCs w:val="26"/>
        </w:rPr>
        <w:t xml:space="preserve">Worked Example — Turbine Installation in Person-Hours</w:t>
      </w:r>
    </w:p>
    <w:p>
      <w:pPr>
        <w:spacing w:before="0" w:after="160" w:line="312" w:lineRule="auto"/>
      </w:pPr>
      <w:r>
        <w:rPr>
          <w:rFonts w:ascii="Calibri" w:hAnsi="Calibri" w:cs="Calibri" w:eastAsia="PingFang SC"/>
          <w:color w:val="3D3A33"/>
          <w:sz w:val="22"/>
          <w:szCs w:val="22"/>
        </w:rPr>
        <w:t xml:space="preserve">Install 25 turbines. Standard effort is 40 person-hours per turbine; efficiency is 80%. Five labourers work eight hours per day.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965"/>
        <w:gridCol w:w="2056"/>
        <w:gridCol w:w="3340"/>
      </w:tblGrid>
      <w:tr>
        <w:trPr>
          <w:tblHeader/>
        </w:trPr>
        <w:tc>
          <w:tcPr>
            <w:tcW w:w="3965" w:type="dxa"/>
            <w:shd w:val="clear" w:color="auto" w:fill="EAE7DD"/>
          </w:tcPr>
          <w:p>
            <w:pPr>
              <w:spacing w:before="0" w:after="0" w:line="312" w:lineRule="auto"/>
            </w:pPr>
            <w:r>
              <w:rPr>
                <w:rFonts w:ascii="Calibri" w:hAnsi="Calibri" w:cs="Calibri" w:eastAsia="PingFang SC"/>
                <w:b/>
                <w:color w:val="3D3A33"/>
                <w:sz w:val="22"/>
                <w:szCs w:val="22"/>
              </w:rPr>
              <w:t xml:space="preserve">Step</w:t>
            </w:r>
          </w:p>
        </w:tc>
        <w:tc>
          <w:tcPr>
            <w:tcW w:w="2056" w:type="dxa"/>
            <w:shd w:val="clear" w:color="auto" w:fill="EAE7DD"/>
          </w:tcPr>
          <w:p>
            <w:pPr>
              <w:spacing w:before="0" w:after="0" w:line="312" w:lineRule="auto"/>
            </w:pPr>
            <w:r>
              <w:rPr>
                <w:rFonts w:ascii="Calibri" w:hAnsi="Calibri" w:cs="Calibri" w:eastAsia="PingFang SC"/>
                <w:b/>
                <w:color w:val="3D3A33"/>
                <w:sz w:val="22"/>
                <w:szCs w:val="22"/>
              </w:rPr>
              <w:t xml:space="preserve">Calculation</w:t>
            </w:r>
          </w:p>
        </w:tc>
        <w:tc>
          <w:tcPr>
            <w:tcW w:w="3340" w:type="dxa"/>
            <w:shd w:val="clear" w:color="auto" w:fill="EAE7DD"/>
          </w:tcPr>
          <w:p>
            <w:pPr>
              <w:spacing w:before="0" w:after="0" w:line="312" w:lineRule="auto"/>
            </w:pPr>
            <w:r>
              <w:rPr>
                <w:rFonts w:ascii="Calibri" w:hAnsi="Calibri" w:cs="Calibri" w:eastAsia="PingFang SC"/>
                <w:b/>
                <w:color w:val="3D3A33"/>
                <w:sz w:val="22"/>
                <w:szCs w:val="22"/>
              </w:rPr>
              <w:t xml:space="preserve">Result</w:t>
            </w:r>
          </w:p>
        </w:tc>
      </w:tr>
      <w:tr>
        <w:tc>
          <w:tcPr>
            <w:tcW w:w="3965" w:type="dxa"/>
          </w:tcPr>
          <w:p>
            <w:pPr>
              <w:spacing w:before="0" w:after="0" w:line="312" w:lineRule="auto"/>
            </w:pPr>
            <w:r>
              <w:rPr>
                <w:rFonts w:ascii="Calibri" w:hAnsi="Calibri" w:cs="Calibri" w:eastAsia="PingFang SC"/>
                <w:color w:val="3D3A33"/>
                <w:sz w:val="22"/>
                <w:szCs w:val="22"/>
              </w:rPr>
              <w:t xml:space="preserve">Adjust effort per turbine</w:t>
            </w:r>
          </w:p>
        </w:tc>
        <w:tc>
          <w:tcPr>
            <w:tcW w:w="2056" w:type="dxa"/>
          </w:tcPr>
          <w:p>
            <w:pPr>
              <w:spacing w:before="0" w:after="0" w:line="312" w:lineRule="auto"/>
            </w:pPr>
            <w:r>
              <w:rPr>
                <w:rFonts w:ascii="Calibri" w:hAnsi="Calibri" w:cs="Calibri" w:eastAsia="PingFang SC"/>
                <w:color w:val="3D3A33"/>
                <w:sz w:val="22"/>
                <w:szCs w:val="22"/>
              </w:rPr>
              <w:t xml:space="preserve">40 ÷ 0.80</w:t>
            </w:r>
          </w:p>
        </w:tc>
        <w:tc>
          <w:tcPr>
            <w:tcW w:w="3340" w:type="dxa"/>
          </w:tcPr>
          <w:p>
            <w:pPr>
              <w:spacing w:before="0" w:after="0" w:line="312" w:lineRule="auto"/>
            </w:pPr>
            <w:r>
              <w:rPr>
                <w:rFonts w:ascii="Calibri" w:hAnsi="Calibri" w:cs="Calibri" w:eastAsia="PingFang SC"/>
                <w:color w:val="3D3A33"/>
                <w:sz w:val="22"/>
                <w:szCs w:val="22"/>
              </w:rPr>
              <w:t xml:space="preserve">50 person-hours per turbine</w:t>
            </w:r>
          </w:p>
        </w:tc>
      </w:tr>
      <w:tr>
        <w:tc>
          <w:tcPr>
            <w:tcW w:w="3965" w:type="dxa"/>
          </w:tcPr>
          <w:p>
            <w:pPr>
              <w:spacing w:before="0" w:after="0" w:line="312" w:lineRule="auto"/>
            </w:pPr>
            <w:r>
              <w:rPr>
                <w:rFonts w:ascii="Calibri" w:hAnsi="Calibri" w:cs="Calibri" w:eastAsia="PingFang SC"/>
                <w:color w:val="3D3A33"/>
                <w:sz w:val="22"/>
                <w:szCs w:val="22"/>
              </w:rPr>
              <w:t xml:space="preserve">Calculate total effort</w:t>
            </w:r>
          </w:p>
        </w:tc>
        <w:tc>
          <w:tcPr>
            <w:tcW w:w="2056" w:type="dxa"/>
          </w:tcPr>
          <w:p>
            <w:pPr>
              <w:spacing w:before="0" w:after="0" w:line="312" w:lineRule="auto"/>
            </w:pPr>
            <w:r>
              <w:rPr>
                <w:rFonts w:ascii="Calibri" w:hAnsi="Calibri" w:cs="Calibri" w:eastAsia="PingFang SC"/>
                <w:color w:val="3D3A33"/>
                <w:sz w:val="22"/>
                <w:szCs w:val="22"/>
              </w:rPr>
              <w:t xml:space="preserve">25 × 50</w:t>
            </w:r>
          </w:p>
        </w:tc>
        <w:tc>
          <w:tcPr>
            <w:tcW w:w="3340" w:type="dxa"/>
          </w:tcPr>
          <w:p>
            <w:pPr>
              <w:spacing w:before="0" w:after="0" w:line="312" w:lineRule="auto"/>
            </w:pPr>
            <w:r>
              <w:rPr>
                <w:rFonts w:ascii="Calibri" w:hAnsi="Calibri" w:cs="Calibri" w:eastAsia="PingFang SC"/>
                <w:color w:val="3D3A33"/>
                <w:sz w:val="22"/>
                <w:szCs w:val="22"/>
              </w:rPr>
              <w:t xml:space="preserve">1,250 person-hours</w:t>
            </w:r>
          </w:p>
        </w:tc>
      </w:tr>
      <w:tr>
        <w:tc>
          <w:tcPr>
            <w:tcW w:w="3965" w:type="dxa"/>
          </w:tcPr>
          <w:p>
            <w:pPr>
              <w:spacing w:before="0" w:after="0" w:line="312" w:lineRule="auto"/>
            </w:pPr>
            <w:r>
              <w:rPr>
                <w:rFonts w:ascii="Calibri" w:hAnsi="Calibri" w:cs="Calibri" w:eastAsia="PingFang SC"/>
                <w:color w:val="3D3A33"/>
                <w:sz w:val="22"/>
                <w:szCs w:val="22"/>
              </w:rPr>
              <w:t xml:space="preserve">Divide by crew size</w:t>
            </w:r>
          </w:p>
        </w:tc>
        <w:tc>
          <w:tcPr>
            <w:tcW w:w="2056" w:type="dxa"/>
          </w:tcPr>
          <w:p>
            <w:pPr>
              <w:spacing w:before="0" w:after="0" w:line="312" w:lineRule="auto"/>
            </w:pPr>
            <w:r>
              <w:rPr>
                <w:rFonts w:ascii="Calibri" w:hAnsi="Calibri" w:cs="Calibri" w:eastAsia="PingFang SC"/>
                <w:color w:val="3D3A33"/>
                <w:sz w:val="22"/>
                <w:szCs w:val="22"/>
              </w:rPr>
              <w:t xml:space="preserve">1,250 ÷ 5</w:t>
            </w:r>
          </w:p>
        </w:tc>
        <w:tc>
          <w:tcPr>
            <w:tcW w:w="3340" w:type="dxa"/>
          </w:tcPr>
          <w:p>
            <w:pPr>
              <w:spacing w:before="0" w:after="0" w:line="312" w:lineRule="auto"/>
            </w:pPr>
            <w:r>
              <w:rPr>
                <w:rFonts w:ascii="Calibri" w:hAnsi="Calibri" w:cs="Calibri" w:eastAsia="PingFang SC"/>
                <w:color w:val="3D3A33"/>
                <w:sz w:val="22"/>
                <w:szCs w:val="22"/>
              </w:rPr>
              <w:t xml:space="preserve">250 working hours</w:t>
            </w:r>
          </w:p>
        </w:tc>
      </w:tr>
      <w:tr>
        <w:tc>
          <w:tcPr>
            <w:tcW w:w="3965" w:type="dxa"/>
          </w:tcPr>
          <w:p>
            <w:pPr>
              <w:spacing w:before="0" w:after="0" w:line="312" w:lineRule="auto"/>
            </w:pPr>
            <w:r>
              <w:rPr>
                <w:rFonts w:ascii="Calibri" w:hAnsi="Calibri" w:cs="Calibri" w:eastAsia="PingFang SC"/>
                <w:color w:val="3D3A33"/>
                <w:sz w:val="22"/>
                <w:szCs w:val="22"/>
              </w:rPr>
              <w:t xml:space="preserve">Convert to working days</w:t>
            </w:r>
          </w:p>
        </w:tc>
        <w:tc>
          <w:tcPr>
            <w:tcW w:w="2056" w:type="dxa"/>
          </w:tcPr>
          <w:p>
            <w:pPr>
              <w:spacing w:before="0" w:after="0" w:line="312" w:lineRule="auto"/>
            </w:pPr>
            <w:r>
              <w:rPr>
                <w:rFonts w:ascii="Calibri" w:hAnsi="Calibri" w:cs="Calibri" w:eastAsia="PingFang SC"/>
                <w:color w:val="3D3A33"/>
                <w:sz w:val="22"/>
                <w:szCs w:val="22"/>
              </w:rPr>
              <w:t xml:space="preserve">250 ÷ 8</w:t>
            </w:r>
          </w:p>
        </w:tc>
        <w:tc>
          <w:tcPr>
            <w:tcW w:w="3340" w:type="dxa"/>
          </w:tcPr>
          <w:p>
            <w:pPr>
              <w:spacing w:before="0" w:after="0" w:line="312" w:lineRule="auto"/>
            </w:pPr>
            <w:r>
              <w:rPr>
                <w:rFonts w:ascii="Calibri" w:hAnsi="Calibri" w:cs="Calibri" w:eastAsia="PingFang SC"/>
                <w:b/>
                <w:color w:val="3D3A33"/>
                <w:sz w:val="22"/>
                <w:szCs w:val="22"/>
              </w:rPr>
              <w:t xml:space="preserve">31.25 days</w:t>
            </w:r>
          </w:p>
        </w:tc>
      </w:tr>
    </w:tbl>
    <w:p>
      <w:pPr>
        <w:spacing w:before="240" w:after="80" w:line="312" w:lineRule="auto"/>
      </w:pPr>
      <w:r>
        <w:rPr>
          <w:rFonts w:ascii="Calibri" w:hAnsi="Calibri" w:cs="Calibri" w:eastAsia="PingFang SC"/>
          <w:b/>
          <w:color w:val="9E3D34"/>
          <w:sz w:val="26"/>
          <w:szCs w:val="26"/>
        </w:rPr>
        <w:t xml:space="preserve">Worked Example — Turbine Installation in Person-Days</w:t>
      </w:r>
    </w:p>
    <w:p>
      <w:pPr>
        <w:spacing w:before="0" w:after="160" w:line="312" w:lineRule="auto"/>
      </w:pPr>
      <w:r>
        <w:rPr>
          <w:rFonts w:ascii="Calibri" w:hAnsi="Calibri" w:cs="Calibri" w:eastAsia="PingFang SC"/>
          <w:color w:val="3D3A33"/>
          <w:sz w:val="22"/>
          <w:szCs w:val="22"/>
        </w:rPr>
        <w:t xml:space="preserve">Install 25 turbines. Standard effort is 12 person-days per turbine; efficiency is 75%. Ten full-time labourers are assigned.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070"/>
        <w:gridCol w:w="2177"/>
        <w:gridCol w:w="3113"/>
      </w:tblGrid>
      <w:tr>
        <w:trPr>
          <w:tblHeader/>
        </w:trPr>
        <w:tc>
          <w:tcPr>
            <w:tcW w:w="4070" w:type="dxa"/>
            <w:shd w:val="clear" w:color="auto" w:fill="EAE7DD"/>
          </w:tcPr>
          <w:p>
            <w:pPr>
              <w:spacing w:before="0" w:after="0" w:line="312" w:lineRule="auto"/>
            </w:pPr>
            <w:r>
              <w:rPr>
                <w:rFonts w:ascii="Calibri" w:hAnsi="Calibri" w:cs="Calibri" w:eastAsia="PingFang SC"/>
                <w:b/>
                <w:color w:val="3D3A33"/>
                <w:sz w:val="22"/>
                <w:szCs w:val="22"/>
              </w:rPr>
              <w:t xml:space="preserve">Step</w:t>
            </w:r>
          </w:p>
        </w:tc>
        <w:tc>
          <w:tcPr>
            <w:tcW w:w="2177" w:type="dxa"/>
            <w:shd w:val="clear" w:color="auto" w:fill="EAE7DD"/>
          </w:tcPr>
          <w:p>
            <w:pPr>
              <w:spacing w:before="0" w:after="0" w:line="312" w:lineRule="auto"/>
            </w:pPr>
            <w:r>
              <w:rPr>
                <w:rFonts w:ascii="Calibri" w:hAnsi="Calibri" w:cs="Calibri" w:eastAsia="PingFang SC"/>
                <w:b/>
                <w:color w:val="3D3A33"/>
                <w:sz w:val="22"/>
                <w:szCs w:val="22"/>
              </w:rPr>
              <w:t xml:space="preserve">Calculation</w:t>
            </w:r>
          </w:p>
        </w:tc>
        <w:tc>
          <w:tcPr>
            <w:tcW w:w="3113" w:type="dxa"/>
            <w:shd w:val="clear" w:color="auto" w:fill="EAE7DD"/>
          </w:tcPr>
          <w:p>
            <w:pPr>
              <w:spacing w:before="0" w:after="0" w:line="312" w:lineRule="auto"/>
            </w:pPr>
            <w:r>
              <w:rPr>
                <w:rFonts w:ascii="Calibri" w:hAnsi="Calibri" w:cs="Calibri" w:eastAsia="PingFang SC"/>
                <w:b/>
                <w:color w:val="3D3A33"/>
                <w:sz w:val="22"/>
                <w:szCs w:val="22"/>
              </w:rPr>
              <w:t xml:space="preserve">Result</w:t>
            </w:r>
          </w:p>
        </w:tc>
      </w:tr>
      <w:tr>
        <w:tc>
          <w:tcPr>
            <w:tcW w:w="4070" w:type="dxa"/>
          </w:tcPr>
          <w:p>
            <w:pPr>
              <w:spacing w:before="0" w:after="0" w:line="312" w:lineRule="auto"/>
            </w:pPr>
            <w:r>
              <w:rPr>
                <w:rFonts w:ascii="Calibri" w:hAnsi="Calibri" w:cs="Calibri" w:eastAsia="PingFang SC"/>
                <w:color w:val="3D3A33"/>
                <w:sz w:val="22"/>
                <w:szCs w:val="22"/>
              </w:rPr>
              <w:t xml:space="preserve">Adjust effort per turbine</w:t>
            </w:r>
          </w:p>
        </w:tc>
        <w:tc>
          <w:tcPr>
            <w:tcW w:w="2177" w:type="dxa"/>
          </w:tcPr>
          <w:p>
            <w:pPr>
              <w:spacing w:before="0" w:after="0" w:line="312" w:lineRule="auto"/>
            </w:pPr>
            <w:r>
              <w:rPr>
                <w:rFonts w:ascii="Calibri" w:hAnsi="Calibri" w:cs="Calibri" w:eastAsia="PingFang SC"/>
                <w:color w:val="3D3A33"/>
                <w:sz w:val="22"/>
                <w:szCs w:val="22"/>
              </w:rPr>
              <w:t xml:space="preserve">12 ÷ 0.75</w:t>
            </w:r>
          </w:p>
        </w:tc>
        <w:tc>
          <w:tcPr>
            <w:tcW w:w="3113" w:type="dxa"/>
          </w:tcPr>
          <w:p>
            <w:pPr>
              <w:spacing w:before="0" w:after="0" w:line="312" w:lineRule="auto"/>
            </w:pPr>
            <w:r>
              <w:rPr>
                <w:rFonts w:ascii="Calibri" w:hAnsi="Calibri" w:cs="Calibri" w:eastAsia="PingFang SC"/>
                <w:color w:val="3D3A33"/>
                <w:sz w:val="22"/>
                <w:szCs w:val="22"/>
              </w:rPr>
              <w:t xml:space="preserve">16 person-days per turbine</w:t>
            </w:r>
          </w:p>
        </w:tc>
      </w:tr>
      <w:tr>
        <w:tc>
          <w:tcPr>
            <w:tcW w:w="4070" w:type="dxa"/>
          </w:tcPr>
          <w:p>
            <w:pPr>
              <w:spacing w:before="0" w:after="0" w:line="312" w:lineRule="auto"/>
            </w:pPr>
            <w:r>
              <w:rPr>
                <w:rFonts w:ascii="Calibri" w:hAnsi="Calibri" w:cs="Calibri" w:eastAsia="PingFang SC"/>
                <w:color w:val="3D3A33"/>
                <w:sz w:val="22"/>
                <w:szCs w:val="22"/>
              </w:rPr>
              <w:t xml:space="preserve">Calculate total effort</w:t>
            </w:r>
          </w:p>
        </w:tc>
        <w:tc>
          <w:tcPr>
            <w:tcW w:w="2177" w:type="dxa"/>
          </w:tcPr>
          <w:p>
            <w:pPr>
              <w:spacing w:before="0" w:after="0" w:line="312" w:lineRule="auto"/>
            </w:pPr>
            <w:r>
              <w:rPr>
                <w:rFonts w:ascii="Calibri" w:hAnsi="Calibri" w:cs="Calibri" w:eastAsia="PingFang SC"/>
                <w:color w:val="3D3A33"/>
                <w:sz w:val="22"/>
                <w:szCs w:val="22"/>
              </w:rPr>
              <w:t xml:space="preserve">25 × 16</w:t>
            </w:r>
          </w:p>
        </w:tc>
        <w:tc>
          <w:tcPr>
            <w:tcW w:w="3113" w:type="dxa"/>
          </w:tcPr>
          <w:p>
            <w:pPr>
              <w:spacing w:before="0" w:after="0" w:line="312" w:lineRule="auto"/>
            </w:pPr>
            <w:r>
              <w:rPr>
                <w:rFonts w:ascii="Calibri" w:hAnsi="Calibri" w:cs="Calibri" w:eastAsia="PingFang SC"/>
                <w:color w:val="3D3A33"/>
                <w:sz w:val="22"/>
                <w:szCs w:val="22"/>
              </w:rPr>
              <w:t xml:space="preserve">400 person-days</w:t>
            </w:r>
          </w:p>
        </w:tc>
      </w:tr>
      <w:tr>
        <w:tc>
          <w:tcPr>
            <w:tcW w:w="4070" w:type="dxa"/>
          </w:tcPr>
          <w:p>
            <w:pPr>
              <w:spacing w:before="0" w:after="0" w:line="312" w:lineRule="auto"/>
            </w:pPr>
            <w:r>
              <w:rPr>
                <w:rFonts w:ascii="Calibri" w:hAnsi="Calibri" w:cs="Calibri" w:eastAsia="PingFang SC"/>
                <w:color w:val="3D3A33"/>
                <w:sz w:val="22"/>
                <w:szCs w:val="22"/>
              </w:rPr>
              <w:t xml:space="preserve">Calculate duration</w:t>
            </w:r>
          </w:p>
        </w:tc>
        <w:tc>
          <w:tcPr>
            <w:tcW w:w="2177" w:type="dxa"/>
          </w:tcPr>
          <w:p>
            <w:pPr>
              <w:spacing w:before="0" w:after="0" w:line="312" w:lineRule="auto"/>
            </w:pPr>
            <w:r>
              <w:rPr>
                <w:rFonts w:ascii="Calibri" w:hAnsi="Calibri" w:cs="Calibri" w:eastAsia="PingFang SC"/>
                <w:color w:val="3D3A33"/>
                <w:sz w:val="22"/>
                <w:szCs w:val="22"/>
              </w:rPr>
              <w:t xml:space="preserve">400 ÷ 10</w:t>
            </w:r>
          </w:p>
        </w:tc>
        <w:tc>
          <w:tcPr>
            <w:tcW w:w="3113" w:type="dxa"/>
          </w:tcPr>
          <w:p>
            <w:pPr>
              <w:spacing w:before="0" w:after="0" w:line="312" w:lineRule="auto"/>
            </w:pPr>
            <w:r>
              <w:rPr>
                <w:rFonts w:ascii="Calibri" w:hAnsi="Calibri" w:cs="Calibri" w:eastAsia="PingFang SC"/>
                <w:b/>
                <w:color w:val="3D3A33"/>
                <w:sz w:val="22"/>
                <w:szCs w:val="22"/>
              </w:rPr>
              <w:t xml:space="preserve">40 working days</w:t>
            </w:r>
          </w:p>
        </w:tc>
      </w:tr>
    </w:tbl>
    <w:p>
      <w:pPr>
        <w:spacing w:before="240" w:after="80" w:line="312" w:lineRule="auto"/>
      </w:pPr>
      <w:r>
        <w:rPr>
          <w:rFonts w:ascii="Calibri" w:hAnsi="Calibri" w:cs="Calibri" w:eastAsia="PingFang SC"/>
          <w:b/>
          <w:color w:val="9E3D34"/>
          <w:sz w:val="26"/>
          <w:szCs w:val="26"/>
        </w:rPr>
        <w:t xml:space="preserve">Worked Example — Analogous Duration Estimate</w:t>
      </w:r>
    </w:p>
    <w:p>
      <w:pPr>
        <w:spacing w:before="0" w:after="160" w:line="312" w:lineRule="auto"/>
      </w:pPr>
      <w:r>
        <w:rPr>
          <w:rFonts w:ascii="Calibri" w:hAnsi="Calibri" w:cs="Calibri" w:eastAsia="PingFang SC"/>
          <w:color w:val="3D3A33"/>
          <w:sz w:val="22"/>
          <w:szCs w:val="22"/>
        </w:rPr>
        <w:t xml:space="preserve">A comparable activity took 100 days in the United Kingdom. Assume the Australian context requires 15% more time.</w:t>
      </w:r>
    </w:p>
    <w:p>
      <w:pPr>
        <w:numPr>
          <w:ilvl w:val="0"/>
          <w:numId w:val="102"/>
        </w:numPr>
        <w:spacing w:after="80" w:line="312" w:lineRule="auto"/>
      </w:pPr>
      <w:r>
        <w:rPr>
          <w:rFonts w:ascii="Calibri" w:hAnsi="Calibri" w:cs="Calibri" w:eastAsia="PingFang SC"/>
          <w:color w:val="3D3A33"/>
          <w:sz w:val="22"/>
          <w:szCs w:val="22"/>
        </w:rPr>
        <w:t xml:space="preserve">Adjustment = 100 × 0.15 = 15 days.</w:t>
      </w:r>
    </w:p>
    <w:p>
      <w:pPr>
        <w:numPr>
          <w:ilvl w:val="0"/>
          <w:numId w:val="102"/>
        </w:numPr>
        <w:spacing w:after="80" w:line="312" w:lineRule="auto"/>
      </w:pPr>
      <w:r>
        <w:rPr>
          <w:rFonts w:ascii="Calibri" w:hAnsi="Calibri" w:cs="Calibri" w:eastAsia="PingFang SC"/>
          <w:color w:val="3D3A33"/>
          <w:sz w:val="22"/>
          <w:szCs w:val="22"/>
        </w:rPr>
        <w:t xml:space="preserve">Adjusted duration = 100 + 15 = 100 × 1.15 = </w:t>
      </w:r>
      <w:r>
        <w:rPr>
          <w:rFonts w:ascii="Calibri" w:hAnsi="Calibri" w:cs="Calibri" w:eastAsia="PingFang SC"/>
          <w:b/>
          <w:color w:val="3D3A33"/>
          <w:sz w:val="22"/>
          <w:szCs w:val="22"/>
        </w:rPr>
        <w:t xml:space="preserve">115 days</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The adjustment is a stated contextual assumption, not a universal location-based rule.</w:t>
      </w:r>
    </w:p>
    <w:p>
      <w:pPr>
        <w:spacing w:before="240" w:after="80" w:line="312" w:lineRule="auto"/>
      </w:pPr>
      <w:r>
        <w:rPr>
          <w:rFonts w:ascii="Calibri" w:hAnsi="Calibri" w:cs="Calibri" w:eastAsia="PingFang SC"/>
          <w:b/>
          <w:color w:val="9E3D34"/>
          <w:sz w:val="26"/>
          <w:szCs w:val="26"/>
        </w:rPr>
        <w:t xml:space="preserve">Worked Example — Bottom-Up Engineering Effort</w:t>
      </w:r>
    </w:p>
    <w:p>
      <w:pPr>
        <w:spacing w:before="0" w:after="160" w:line="312" w:lineRule="auto"/>
      </w:pPr>
      <w:r>
        <w:rPr>
          <w:rFonts w:ascii="Calibri" w:hAnsi="Calibri" w:cs="Calibri" w:eastAsia="PingFang SC"/>
          <w:color w:val="3D3A33"/>
          <w:sz w:val="22"/>
          <w:szCs w:val="22"/>
        </w:rPr>
        <w:t xml:space="preserve">For each task, multiply its estimated working days by the assigned number of full-time people, then add the task efforts.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Task</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Working days</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People</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Effort in person-days</w:t>
            </w:r>
          </w:p>
        </w:tc>
      </w:tr>
      <w:tr>
        <w:tc>
          <w:tcPr>
            <w:tcW w:w="2340" w:type="dxa"/>
          </w:tcPr>
          <w:p>
            <w:pPr>
              <w:spacing w:before="0" w:after="0" w:line="312" w:lineRule="auto"/>
            </w:pPr>
            <w:r>
              <w:rPr>
                <w:rFonts w:ascii="Calibri" w:hAnsi="Calibri" w:cs="Calibri" w:eastAsia="PingFang SC"/>
                <w:color w:val="3D3A33"/>
                <w:sz w:val="22"/>
                <w:szCs w:val="22"/>
              </w:rPr>
              <w:t xml:space="preserve">1</w:t>
            </w:r>
          </w:p>
        </w:tc>
        <w:tc>
          <w:tcPr>
            <w:tcW w:w="2340" w:type="dxa"/>
          </w:tcPr>
          <w:p>
            <w:pPr>
              <w:spacing w:before="0" w:after="0" w:line="312" w:lineRule="auto"/>
            </w:pPr>
            <w:r>
              <w:rPr>
                <w:rFonts w:ascii="Calibri" w:hAnsi="Calibri" w:cs="Calibri" w:eastAsia="PingFang SC"/>
                <w:color w:val="3D3A33"/>
                <w:sz w:val="22"/>
                <w:szCs w:val="22"/>
              </w:rPr>
              <w:t xml:space="preserve">20</w:t>
            </w:r>
          </w:p>
        </w:tc>
        <w:tc>
          <w:tcPr>
            <w:tcW w:w="2340" w:type="dxa"/>
          </w:tcPr>
          <w:p>
            <w:pPr>
              <w:spacing w:before="0" w:after="0" w:line="312" w:lineRule="auto"/>
            </w:pPr>
            <w:r>
              <w:rPr>
                <w:rFonts w:ascii="Calibri" w:hAnsi="Calibri" w:cs="Calibri" w:eastAsia="PingFang SC"/>
                <w:color w:val="3D3A33"/>
                <w:sz w:val="22"/>
                <w:szCs w:val="22"/>
              </w:rPr>
              <w:t xml:space="preserve">3</w:t>
            </w:r>
          </w:p>
        </w:tc>
        <w:tc>
          <w:tcPr>
            <w:tcW w:w="2340" w:type="dxa"/>
          </w:tcPr>
          <w:p>
            <w:pPr>
              <w:spacing w:before="0" w:after="0" w:line="312" w:lineRule="auto"/>
            </w:pPr>
            <w:r>
              <w:rPr>
                <w:rFonts w:ascii="Calibri" w:hAnsi="Calibri" w:cs="Calibri" w:eastAsia="PingFang SC"/>
                <w:color w:val="3D3A33"/>
                <w:sz w:val="22"/>
                <w:szCs w:val="22"/>
              </w:rPr>
              <w:t xml:space="preserve">20 × 3 = 60</w:t>
            </w:r>
          </w:p>
        </w:tc>
      </w:tr>
      <w:tr>
        <w:tc>
          <w:tcPr>
            <w:tcW w:w="2340" w:type="dxa"/>
          </w:tcPr>
          <w:p>
            <w:pPr>
              <w:spacing w:before="0" w:after="0" w:line="312" w:lineRule="auto"/>
            </w:pPr>
            <w:r>
              <w:rPr>
                <w:rFonts w:ascii="Calibri" w:hAnsi="Calibri" w:cs="Calibri" w:eastAsia="PingFang SC"/>
                <w:color w:val="3D3A33"/>
                <w:sz w:val="22"/>
                <w:szCs w:val="22"/>
              </w:rPr>
              <w:t xml:space="preserve">2</w:t>
            </w:r>
          </w:p>
        </w:tc>
        <w:tc>
          <w:tcPr>
            <w:tcW w:w="2340" w:type="dxa"/>
          </w:tcPr>
          <w:p>
            <w:pPr>
              <w:spacing w:before="0" w:after="0" w:line="312" w:lineRule="auto"/>
            </w:pPr>
            <w:r>
              <w:rPr>
                <w:rFonts w:ascii="Calibri" w:hAnsi="Calibri" w:cs="Calibri" w:eastAsia="PingFang SC"/>
                <w:color w:val="3D3A33"/>
                <w:sz w:val="22"/>
                <w:szCs w:val="22"/>
              </w:rPr>
              <w:t xml:space="preserve">25</w:t>
            </w:r>
          </w:p>
        </w:tc>
        <w:tc>
          <w:tcPr>
            <w:tcW w:w="2340" w:type="dxa"/>
          </w:tcPr>
          <w:p>
            <w:pPr>
              <w:spacing w:before="0" w:after="0" w:line="312" w:lineRule="auto"/>
            </w:pPr>
            <w:r>
              <w:rPr>
                <w:rFonts w:ascii="Calibri" w:hAnsi="Calibri" w:cs="Calibri" w:eastAsia="PingFang SC"/>
                <w:color w:val="3D3A33"/>
                <w:sz w:val="22"/>
                <w:szCs w:val="22"/>
              </w:rPr>
              <w:t xml:space="preserve">4</w:t>
            </w:r>
          </w:p>
        </w:tc>
        <w:tc>
          <w:tcPr>
            <w:tcW w:w="2340" w:type="dxa"/>
          </w:tcPr>
          <w:p>
            <w:pPr>
              <w:spacing w:before="0" w:after="0" w:line="312" w:lineRule="auto"/>
            </w:pPr>
            <w:r>
              <w:rPr>
                <w:rFonts w:ascii="Calibri" w:hAnsi="Calibri" w:cs="Calibri" w:eastAsia="PingFang SC"/>
                <w:color w:val="3D3A33"/>
                <w:sz w:val="22"/>
                <w:szCs w:val="22"/>
              </w:rPr>
              <w:t xml:space="preserve">25 × 4 = 100</w:t>
            </w:r>
          </w:p>
        </w:tc>
      </w:tr>
      <w:tr>
        <w:tc>
          <w:tcPr>
            <w:tcW w:w="2340" w:type="dxa"/>
          </w:tcPr>
          <w:p>
            <w:pPr>
              <w:spacing w:before="0" w:after="0" w:line="312" w:lineRule="auto"/>
            </w:pPr>
            <w:r>
              <w:rPr>
                <w:rFonts w:ascii="Calibri" w:hAnsi="Calibri" w:cs="Calibri" w:eastAsia="PingFang SC"/>
                <w:color w:val="3D3A33"/>
                <w:sz w:val="22"/>
                <w:szCs w:val="22"/>
              </w:rPr>
              <w:t xml:space="preserve">3</w:t>
            </w:r>
          </w:p>
        </w:tc>
        <w:tc>
          <w:tcPr>
            <w:tcW w:w="2340" w:type="dxa"/>
          </w:tcPr>
          <w:p>
            <w:pPr>
              <w:spacing w:before="0" w:after="0" w:line="312" w:lineRule="auto"/>
            </w:pPr>
            <w:r>
              <w:rPr>
                <w:rFonts w:ascii="Calibri" w:hAnsi="Calibri" w:cs="Calibri" w:eastAsia="PingFang SC"/>
                <w:color w:val="3D3A33"/>
                <w:sz w:val="22"/>
                <w:szCs w:val="22"/>
              </w:rPr>
              <w:t xml:space="preserve">15</w:t>
            </w:r>
          </w:p>
        </w:tc>
        <w:tc>
          <w:tcPr>
            <w:tcW w:w="2340" w:type="dxa"/>
          </w:tcPr>
          <w:p>
            <w:pPr>
              <w:spacing w:before="0" w:after="0" w:line="312" w:lineRule="auto"/>
            </w:pPr>
            <w:r>
              <w:rPr>
                <w:rFonts w:ascii="Calibri" w:hAnsi="Calibri" w:cs="Calibri" w:eastAsia="PingFang SC"/>
                <w:color w:val="3D3A33"/>
                <w:sz w:val="22"/>
                <w:szCs w:val="22"/>
              </w:rPr>
              <w:t xml:space="preserve">2</w:t>
            </w:r>
          </w:p>
        </w:tc>
        <w:tc>
          <w:tcPr>
            <w:tcW w:w="2340" w:type="dxa"/>
          </w:tcPr>
          <w:p>
            <w:pPr>
              <w:spacing w:before="0" w:after="0" w:line="312" w:lineRule="auto"/>
            </w:pPr>
            <w:r>
              <w:rPr>
                <w:rFonts w:ascii="Calibri" w:hAnsi="Calibri" w:cs="Calibri" w:eastAsia="PingFang SC"/>
                <w:color w:val="3D3A33"/>
                <w:sz w:val="22"/>
                <w:szCs w:val="22"/>
              </w:rPr>
              <w:t xml:space="preserve">15 × 2 = 30</w:t>
            </w:r>
          </w:p>
        </w:tc>
      </w:tr>
      <w:tr>
        <w:tc>
          <w:tcPr>
            <w:tcW w:w="2340" w:type="dxa"/>
          </w:tcPr>
          <w:p>
            <w:pPr>
              <w:spacing w:before="0" w:after="0" w:line="312" w:lineRule="auto"/>
            </w:pPr>
            <w:r>
              <w:rPr>
                <w:rFonts w:ascii="Calibri" w:hAnsi="Calibri" w:cs="Calibri" w:eastAsia="PingFang SC"/>
                <w:color w:val="3D3A33"/>
                <w:sz w:val="22"/>
                <w:szCs w:val="22"/>
              </w:rPr>
              <w:t xml:space="preserve">4</w:t>
            </w:r>
          </w:p>
        </w:tc>
        <w:tc>
          <w:tcPr>
            <w:tcW w:w="2340" w:type="dxa"/>
          </w:tcPr>
          <w:p>
            <w:pPr>
              <w:spacing w:before="0" w:after="0" w:line="312" w:lineRule="auto"/>
            </w:pPr>
            <w:r>
              <w:rPr>
                <w:rFonts w:ascii="Calibri" w:hAnsi="Calibri" w:cs="Calibri" w:eastAsia="PingFang SC"/>
                <w:color w:val="3D3A33"/>
                <w:sz w:val="22"/>
                <w:szCs w:val="22"/>
              </w:rPr>
              <w:t xml:space="preserve">15</w:t>
            </w:r>
          </w:p>
        </w:tc>
        <w:tc>
          <w:tcPr>
            <w:tcW w:w="2340" w:type="dxa"/>
          </w:tcPr>
          <w:p>
            <w:pPr>
              <w:spacing w:before="0" w:after="0" w:line="312" w:lineRule="auto"/>
            </w:pPr>
            <w:r>
              <w:rPr>
                <w:rFonts w:ascii="Calibri" w:hAnsi="Calibri" w:cs="Calibri" w:eastAsia="PingFang SC"/>
                <w:color w:val="3D3A33"/>
                <w:sz w:val="22"/>
                <w:szCs w:val="22"/>
              </w:rPr>
              <w:t xml:space="preserve">3</w:t>
            </w:r>
          </w:p>
        </w:tc>
        <w:tc>
          <w:tcPr>
            <w:tcW w:w="2340" w:type="dxa"/>
          </w:tcPr>
          <w:p>
            <w:pPr>
              <w:spacing w:before="0" w:after="0" w:line="312" w:lineRule="auto"/>
            </w:pPr>
            <w:r>
              <w:rPr>
                <w:rFonts w:ascii="Calibri" w:hAnsi="Calibri" w:cs="Calibri" w:eastAsia="PingFang SC"/>
                <w:color w:val="3D3A33"/>
                <w:sz w:val="22"/>
                <w:szCs w:val="22"/>
              </w:rPr>
              <w:t xml:space="preserve">15 × 3 = 45</w:t>
            </w:r>
          </w:p>
        </w:tc>
      </w:tr>
      <w:tr>
        <w:tc>
          <w:tcPr>
            <w:tcW w:w="2340" w:type="dxa"/>
          </w:tcPr>
          <w:p>
            <w:pPr>
              <w:spacing w:before="0" w:after="0" w:line="312" w:lineRule="auto"/>
            </w:pPr>
            <w:r>
              <w:rPr>
                <w:rFonts w:ascii="Calibri" w:hAnsi="Calibri" w:cs="Calibri" w:eastAsia="PingFang SC"/>
                <w:color w:val="3D3A33"/>
                <w:sz w:val="22"/>
                <w:szCs w:val="22"/>
              </w:rPr>
              <w:t xml:space="preserve">5</w:t>
            </w:r>
          </w:p>
        </w:tc>
        <w:tc>
          <w:tcPr>
            <w:tcW w:w="2340" w:type="dxa"/>
          </w:tcPr>
          <w:p>
            <w:pPr>
              <w:spacing w:before="0" w:after="0" w:line="312" w:lineRule="auto"/>
            </w:pPr>
            <w:r>
              <w:rPr>
                <w:rFonts w:ascii="Calibri" w:hAnsi="Calibri" w:cs="Calibri" w:eastAsia="PingFang SC"/>
                <w:color w:val="3D3A33"/>
                <w:sz w:val="22"/>
                <w:szCs w:val="22"/>
              </w:rPr>
              <w:t xml:space="preserve">15</w:t>
            </w:r>
          </w:p>
        </w:tc>
        <w:tc>
          <w:tcPr>
            <w:tcW w:w="2340" w:type="dxa"/>
          </w:tcPr>
          <w:p>
            <w:pPr>
              <w:spacing w:before="0" w:after="0" w:line="312" w:lineRule="auto"/>
            </w:pPr>
            <w:r>
              <w:rPr>
                <w:rFonts w:ascii="Calibri" w:hAnsi="Calibri" w:cs="Calibri" w:eastAsia="PingFang SC"/>
                <w:color w:val="3D3A33"/>
                <w:sz w:val="22"/>
                <w:szCs w:val="22"/>
              </w:rPr>
              <w:t xml:space="preserve">2</w:t>
            </w:r>
          </w:p>
        </w:tc>
        <w:tc>
          <w:tcPr>
            <w:tcW w:w="2340" w:type="dxa"/>
          </w:tcPr>
          <w:p>
            <w:pPr>
              <w:spacing w:before="0" w:after="0" w:line="312" w:lineRule="auto"/>
            </w:pPr>
            <w:r>
              <w:rPr>
                <w:rFonts w:ascii="Calibri" w:hAnsi="Calibri" w:cs="Calibri" w:eastAsia="PingFang SC"/>
                <w:color w:val="3D3A33"/>
                <w:sz w:val="22"/>
                <w:szCs w:val="22"/>
              </w:rPr>
              <w:t xml:space="preserve">15 × 2 = 30</w:t>
            </w:r>
          </w:p>
        </w:tc>
      </w:tr>
      <w:tr>
        <w:tc>
          <w:tcPr>
            <w:tcW w:w="2340" w:type="dxa"/>
          </w:tcPr>
          <w:p>
            <w:pPr>
              <w:spacing w:before="0" w:after="0" w:line="312" w:lineRule="auto"/>
            </w:pPr>
            <w:r>
              <w:rPr>
                <w:rFonts w:ascii="Calibri" w:hAnsi="Calibri" w:cs="Calibri" w:eastAsia="PingFang SC"/>
                <w:color w:val="3D3A33"/>
                <w:sz w:val="22"/>
                <w:szCs w:val="22"/>
              </w:rPr>
              <w:t xml:space="preserve">Total</w:t>
            </w:r>
          </w:p>
        </w:tc>
        <w:tc>
          <w:tcPr>
            <w:tcW w:w="2340" w:type="dxa"/>
          </w:tcPr>
          <w:p>
            <w:pPr>
              <w:spacing w:before="0" w:after="0" w:line="312" w:lineRule="auto"/>
            </w:pPr>
            <w:r>
              <w:rPr>
                <w:rFonts w:ascii="Calibri" w:hAnsi="Calibri" w:cs="Calibri" w:eastAsia="PingFang SC"/>
                <w:color w:val="3D3A33"/>
                <w:sz w:val="22"/>
                <w:szCs w:val="22"/>
              </w:rPr>
              <w:t xml:space="preserve">—</w:t>
            </w:r>
          </w:p>
        </w:tc>
        <w:tc>
          <w:tcPr>
            <w:tcW w:w="2340" w:type="dxa"/>
          </w:tcPr>
          <w:p>
            <w:pPr>
              <w:spacing w:before="0" w:after="0" w:line="312" w:lineRule="auto"/>
            </w:pPr>
            <w:r>
              <w:rPr>
                <w:rFonts w:ascii="Calibri" w:hAnsi="Calibri" w:cs="Calibri" w:eastAsia="PingFang SC"/>
                <w:color w:val="3D3A33"/>
                <w:sz w:val="22"/>
                <w:szCs w:val="22"/>
              </w:rPr>
              <w:t xml:space="preserve">—</w:t>
            </w:r>
          </w:p>
        </w:tc>
        <w:tc>
          <w:tcPr>
            <w:tcW w:w="2340" w:type="dxa"/>
          </w:tcPr>
          <w:p>
            <w:pPr>
              <w:spacing w:before="0" w:after="0" w:line="312" w:lineRule="auto"/>
            </w:pPr>
            <w:r>
              <w:rPr>
                <w:rFonts w:ascii="Calibri" w:hAnsi="Calibri" w:cs="Calibri" w:eastAsia="PingFang SC"/>
                <w:b/>
                <w:color w:val="3D3A33"/>
                <w:sz w:val="22"/>
                <w:szCs w:val="22"/>
              </w:rPr>
              <w:t xml:space="preserve">265</w:t>
            </w:r>
          </w:p>
        </w:tc>
      </w:tr>
    </w:tbl>
    <w:p>
      <w:pPr>
        <w:spacing w:before="0" w:after="160" w:line="312" w:lineRule="auto"/>
      </w:pPr>
      <w:r>
        <w:rPr>
          <w:rFonts w:ascii="Calibri" w:hAnsi="Calibri" w:cs="Calibri" w:eastAsia="PingFang SC"/>
          <w:color w:val="3D3A33"/>
          <w:sz w:val="22"/>
          <w:szCs w:val="22"/>
        </w:rPr>
        <w:t xml:space="preserve">Total effort = 60 + 100 + 30 + 45 + 30 = </w:t>
      </w:r>
      <w:r>
        <w:rPr>
          <w:rFonts w:ascii="Calibri" w:hAnsi="Calibri" w:cs="Calibri" w:eastAsia="PingFang SC"/>
          <w:b/>
          <w:color w:val="3D3A33"/>
          <w:sz w:val="22"/>
          <w:szCs w:val="22"/>
        </w:rPr>
        <w:t xml:space="preserve">265 person-days</w:t>
      </w:r>
      <w:r>
        <w:rPr>
          <w:rFonts w:ascii="Calibri" w:hAnsi="Calibri" w:cs="Calibri" w:eastAsia="PingFang SC"/>
          <w:color w:val="3D3A33"/>
          <w:sz w:val="22"/>
          <w:szCs w:val="22"/>
        </w:rPr>
        <w:t xml:space="preserve">. Elapsed project duration cannot be obtained from this total alone; it also depends on dependencies, overlaps and resource availability.</w:t>
      </w:r>
    </w:p>
    <w:p>
      <w:pPr>
        <w:spacing w:before="240" w:after="80" w:line="312" w:lineRule="auto"/>
      </w:pPr>
      <w:r>
        <w:rPr>
          <w:rFonts w:ascii="Calibri" w:hAnsi="Calibri" w:cs="Calibri" w:eastAsia="PingFang SC"/>
          <w:b/>
          <w:color w:val="9E3D34"/>
          <w:sz w:val="26"/>
          <w:szCs w:val="26"/>
        </w:rPr>
        <w:t xml:space="preserve">Resource Loading and Histograms</w:t>
      </w:r>
    </w:p>
    <w:p>
      <w:pPr>
        <w:spacing w:before="0" w:after="160" w:line="312" w:lineRule="auto"/>
      </w:pPr>
      <w:r>
        <w:rPr>
          <w:rFonts w:ascii="Calibri" w:hAnsi="Calibri" w:cs="Calibri" w:eastAsia="PingFang SC"/>
          <w:b/>
          <w:color w:val="3D3A33"/>
          <w:sz w:val="22"/>
          <w:szCs w:val="22"/>
        </w:rPr>
        <w:t xml:space="preserve">Resource loading</w:t>
      </w:r>
      <w:r>
        <w:rPr>
          <w:rFonts w:ascii="Calibri" w:hAnsi="Calibri" w:cs="Calibri" w:eastAsia="PingFang SC"/>
          <w:color w:val="3D3A33"/>
          <w:sz w:val="22"/>
          <w:szCs w:val="22"/>
        </w:rPr>
        <w:t xml:space="preserve"> allocates resource quantities and rates to scheduled activities. A </w:t>
      </w:r>
      <w:r>
        <w:rPr>
          <w:rFonts w:ascii="Calibri" w:hAnsi="Calibri" w:cs="Calibri" w:eastAsia="PingFang SC"/>
          <w:b/>
          <w:color w:val="3D3A33"/>
          <w:sz w:val="22"/>
          <w:szCs w:val="22"/>
        </w:rPr>
        <w:t xml:space="preserve">resource histogram</w:t>
      </w:r>
      <w:r>
        <w:rPr>
          <w:rFonts w:ascii="Calibri" w:hAnsi="Calibri" w:cs="Calibri" w:eastAsia="PingFang SC"/>
          <w:color w:val="3D3A33"/>
          <w:sz w:val="22"/>
          <w:szCs w:val="22"/>
        </w:rPr>
        <w:t xml:space="preserve"> plots the resource demand in each time period, making peaks, troughs and over-allocation visible.</w:t>
      </w:r>
    </w:p>
    <w:p>
      <w:pPr>
        <w:numPr>
          <w:ilvl w:val="0"/>
          <w:numId w:val="103"/>
        </w:numPr>
        <w:spacing w:after="80" w:line="312" w:lineRule="auto"/>
      </w:pPr>
      <w:r>
        <w:rPr>
          <w:rFonts w:ascii="Calibri" w:hAnsi="Calibri" w:cs="Calibri" w:eastAsia="PingFang SC"/>
          <w:color w:val="3D3A33"/>
          <w:sz w:val="22"/>
          <w:szCs w:val="22"/>
        </w:rPr>
        <w:t xml:space="preserve">Prepare a logically valid activity schedule.</w:t>
      </w:r>
    </w:p>
    <w:p>
      <w:pPr>
        <w:numPr>
          <w:ilvl w:val="0"/>
          <w:numId w:val="103"/>
        </w:numPr>
        <w:spacing w:after="80" w:line="312" w:lineRule="auto"/>
      </w:pPr>
      <w:r>
        <w:rPr>
          <w:rFonts w:ascii="Calibri" w:hAnsi="Calibri" w:cs="Calibri" w:eastAsia="PingFang SC"/>
          <w:color w:val="3D3A33"/>
          <w:sz w:val="22"/>
          <w:szCs w:val="22"/>
        </w:rPr>
        <w:t xml:space="preserve">Assign resource types, quantities, calendars and rates to activities.</w:t>
      </w:r>
    </w:p>
    <w:p>
      <w:pPr>
        <w:numPr>
          <w:ilvl w:val="0"/>
          <w:numId w:val="103"/>
        </w:numPr>
        <w:spacing w:after="80" w:line="312" w:lineRule="auto"/>
      </w:pPr>
      <w:r>
        <w:rPr>
          <w:rFonts w:ascii="Calibri" w:hAnsi="Calibri" w:cs="Calibri" w:eastAsia="PingFang SC"/>
          <w:color w:val="3D3A33"/>
          <w:sz w:val="22"/>
          <w:szCs w:val="22"/>
        </w:rPr>
        <w:t xml:space="preserve">Sum each resource's demand for each day or other chosen period.</w:t>
      </w:r>
    </w:p>
    <w:p>
      <w:pPr>
        <w:numPr>
          <w:ilvl w:val="0"/>
          <w:numId w:val="103"/>
        </w:numPr>
        <w:spacing w:after="80" w:line="312" w:lineRule="auto"/>
      </w:pPr>
      <w:r>
        <w:rPr>
          <w:rFonts w:ascii="Calibri" w:hAnsi="Calibri" w:cs="Calibri" w:eastAsia="PingFang SC"/>
          <w:color w:val="3D3A33"/>
          <w:sz w:val="22"/>
          <w:szCs w:val="22"/>
        </w:rPr>
        <w:t xml:space="preserve">Plot a separate histogram for each relevant resource type.</w:t>
      </w:r>
    </w:p>
    <w:p>
      <w:pPr>
        <w:numPr>
          <w:ilvl w:val="0"/>
          <w:numId w:val="103"/>
        </w:numPr>
        <w:spacing w:after="80" w:line="312" w:lineRule="auto"/>
      </w:pPr>
      <w:r>
        <w:rPr>
          <w:rFonts w:ascii="Calibri" w:hAnsi="Calibri" w:cs="Calibri" w:eastAsia="PingFang SC"/>
          <w:color w:val="3D3A33"/>
          <w:sz w:val="22"/>
          <w:szCs w:val="22"/>
        </w:rPr>
        <w:t xml:space="preserve">Compare demand with period-by-period availability.</w:t>
      </w:r>
    </w:p>
    <w:p>
      <w:pPr>
        <w:numPr>
          <w:ilvl w:val="0"/>
          <w:numId w:val="103"/>
        </w:numPr>
        <w:spacing w:after="80" w:line="312" w:lineRule="auto"/>
      </w:pPr>
      <w:r>
        <w:rPr>
          <w:rFonts w:ascii="Calibri" w:hAnsi="Calibri" w:cs="Calibri" w:eastAsia="PingFang SC"/>
          <w:color w:val="3D3A33"/>
          <w:sz w:val="22"/>
          <w:szCs w:val="22"/>
        </w:rPr>
        <w:t xml:space="preserve">Adjust the allocation or schedule and recalculate the demand profile.</w:t>
      </w:r>
    </w:p>
    <w:p>
      <w:pPr>
        <w:spacing w:before="0" w:after="160" w:line="312" w:lineRule="auto"/>
      </w:pPr>
      <w:r>
        <w:rPr>
          <w:rFonts w:ascii="Calibri" w:hAnsi="Calibri" w:cs="Calibri" w:eastAsia="PingFang SC"/>
          <w:b/>
          <w:color w:val="3D3A33"/>
          <w:sz w:val="22"/>
          <w:szCs w:val="22"/>
        </w:rPr>
        <w:t xml:space="preserve">Over-allocation</w:t>
      </w:r>
      <w:r>
        <w:rPr>
          <w:rFonts w:ascii="Calibri" w:hAnsi="Calibri" w:cs="Calibri" w:eastAsia="PingFang SC"/>
          <w:color w:val="3D3A33"/>
          <w:sz w:val="22"/>
          <w:szCs w:val="22"/>
        </w:rPr>
        <w:t xml:space="preserve"> occurs when scheduled demand exceeds available capacity in a period. Resource calendars describe availability, including working hours, non-working days and other commitments.</w:t>
      </w:r>
    </w:p>
    <w:p>
      <w:pPr>
        <w:spacing w:before="240" w:after="80" w:line="312" w:lineRule="auto"/>
      </w:pPr>
      <w:r>
        <w:rPr>
          <w:rFonts w:ascii="Calibri" w:hAnsi="Calibri" w:cs="Calibri" w:eastAsia="PingFang SC"/>
          <w:b/>
          <w:color w:val="9E3D34"/>
          <w:sz w:val="26"/>
          <w:szCs w:val="26"/>
        </w:rPr>
        <w:t xml:space="preserve">Float, Smoothing and Levelling</w:t>
      </w:r>
    </w:p>
    <w:p>
      <w:pPr>
        <w:spacing w:before="0" w:after="160" w:line="312" w:lineRule="auto"/>
      </w:pPr>
      <w:r>
        <w:rPr>
          <w:rFonts w:ascii="Calibri" w:hAnsi="Calibri" w:cs="Calibri" w:eastAsia="PingFang SC"/>
          <w:b/>
          <w:color w:val="3D3A33"/>
          <w:sz w:val="22"/>
          <w:szCs w:val="22"/>
        </w:rPr>
        <w:t xml:space="preserve">Total float</w:t>
      </w:r>
      <w:r>
        <w:rPr>
          <w:rFonts w:ascii="Calibri" w:hAnsi="Calibri" w:cs="Calibri" w:eastAsia="PingFang SC"/>
          <w:color w:val="3D3A33"/>
          <w:sz w:val="22"/>
          <w:szCs w:val="22"/>
        </w:rPr>
        <w:t xml:space="preserve"> is an activity's allowable timing flexibility without delaying the calculated project finish:</w:t>
      </w:r>
    </w:p>
    <w:p>
      <w:pPr>
        <w:spacing w:before="0" w:after="160" w:line="312" w:lineRule="auto"/>
      </w:pPr>
      <w:r>
        <w:rPr>
          <w:rFonts w:ascii="Calibri" w:hAnsi="Calibri" w:cs="Calibri" w:eastAsia="PingFang SC"/>
          <w:color w:val="3D3A33"/>
          <w:sz w:val="22"/>
          <w:szCs w:val="22"/>
        </w:rPr>
        <w:t xml:space="preserve">Total float = LS − ES = LF − EF.</w:t>
      </w:r>
    </w:p>
    <w:p>
      <w:pPr>
        <w:spacing w:before="0" w:after="160" w:line="312" w:lineRule="auto"/>
      </w:pPr>
      <w:r>
        <w:rPr>
          <w:rFonts w:ascii="Calibri" w:hAnsi="Calibri" w:cs="Calibri" w:eastAsia="PingFang SC"/>
          <w:color w:val="3D3A33"/>
          <w:sz w:val="22"/>
          <w:szCs w:val="22"/>
        </w:rPr>
        <w:t xml:space="preserve">ES and EF are early start and early finish; LS and LF are late start and late finish. These are obtained from forward and backward network calculations.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852"/>
        <w:gridCol w:w="5508"/>
      </w:tblGrid>
      <w:tr>
        <w:trPr>
          <w:tblHeader/>
        </w:trPr>
        <w:tc>
          <w:tcPr>
            <w:tcW w:w="3852" w:type="dxa"/>
            <w:shd w:val="clear" w:color="auto" w:fill="EAE7DD"/>
          </w:tcPr>
          <w:p>
            <w:pPr>
              <w:spacing w:before="0" w:after="0" w:line="312" w:lineRule="auto"/>
            </w:pPr>
            <w:r>
              <w:rPr>
                <w:rFonts w:ascii="Calibri" w:hAnsi="Calibri" w:cs="Calibri" w:eastAsia="PingFang SC"/>
                <w:b/>
                <w:color w:val="3D3A33"/>
                <w:sz w:val="22"/>
                <w:szCs w:val="22"/>
              </w:rPr>
              <w:t xml:space="preserve">Technique</w:t>
            </w:r>
          </w:p>
        </w:tc>
        <w:tc>
          <w:tcPr>
            <w:tcW w:w="5508" w:type="dxa"/>
            <w:shd w:val="clear" w:color="auto" w:fill="EAE7DD"/>
          </w:tcPr>
          <w:p>
            <w:pPr>
              <w:spacing w:before="0" w:after="0" w:line="312" w:lineRule="auto"/>
            </w:pPr>
            <w:r>
              <w:rPr>
                <w:rFonts w:ascii="Calibri" w:hAnsi="Calibri" w:cs="Calibri" w:eastAsia="PingFang SC"/>
                <w:b/>
                <w:color w:val="3D3A33"/>
                <w:sz w:val="22"/>
                <w:szCs w:val="22"/>
              </w:rPr>
              <w:t xml:space="preserve">Main objective and implications</w:t>
            </w:r>
          </w:p>
        </w:tc>
      </w:tr>
      <w:tr>
        <w:tc>
          <w:tcPr>
            <w:tcW w:w="3852" w:type="dxa"/>
          </w:tcPr>
          <w:p>
            <w:pPr>
              <w:spacing w:before="0" w:after="0" w:line="312" w:lineRule="auto"/>
            </w:pPr>
            <w:r>
              <w:rPr>
                <w:rFonts w:ascii="Calibri" w:hAnsi="Calibri" w:cs="Calibri" w:eastAsia="PingFang SC"/>
                <w:color w:val="3D3A33"/>
                <w:sz w:val="22"/>
                <w:szCs w:val="22"/>
              </w:rPr>
              <w:t xml:space="preserve">Resource smoothing</w:t>
            </w:r>
          </w:p>
        </w:tc>
        <w:tc>
          <w:tcPr>
            <w:tcW w:w="5508" w:type="dxa"/>
          </w:tcPr>
          <w:p>
            <w:pPr>
              <w:spacing w:before="0" w:after="0" w:line="312" w:lineRule="auto"/>
            </w:pPr>
            <w:r>
              <w:rPr>
                <w:rFonts w:ascii="Calibri" w:hAnsi="Calibri" w:cs="Calibri" w:eastAsia="PingFang SC"/>
                <w:color w:val="3D3A33"/>
                <w:sz w:val="22"/>
                <w:szCs w:val="22"/>
              </w:rPr>
              <w:t xml:space="preserve">Reduce peaks and troughs within available float while preserving the required project finish and logical relationships</w:t>
            </w:r>
          </w:p>
        </w:tc>
      </w:tr>
      <w:tr>
        <w:tc>
          <w:tcPr>
            <w:tcW w:w="3852" w:type="dxa"/>
          </w:tcPr>
          <w:p>
            <w:pPr>
              <w:spacing w:before="0" w:after="0" w:line="312" w:lineRule="auto"/>
            </w:pPr>
            <w:r>
              <w:rPr>
                <w:rFonts w:ascii="Calibri" w:hAnsi="Calibri" w:cs="Calibri" w:eastAsia="PingFang SC"/>
                <w:color w:val="3D3A33"/>
                <w:sz w:val="22"/>
                <w:szCs w:val="22"/>
              </w:rPr>
              <w:t xml:space="preserve">Resource levelling</w:t>
            </w:r>
          </w:p>
        </w:tc>
        <w:tc>
          <w:tcPr>
            <w:tcW w:w="5508" w:type="dxa"/>
          </w:tcPr>
          <w:p>
            <w:pPr>
              <w:spacing w:before="0" w:after="0" w:line="312" w:lineRule="auto"/>
            </w:pPr>
            <w:r>
              <w:rPr>
                <w:rFonts w:ascii="Calibri" w:hAnsi="Calibri" w:cs="Calibri" w:eastAsia="PingFang SC"/>
                <w:color w:val="3D3A33"/>
                <w:sz w:val="22"/>
                <w:szCs w:val="22"/>
              </w:rPr>
              <w:t xml:space="preserve">Reconcile the schedule with resource limits; may delay or split activities and may extend project duration</w:t>
            </w:r>
          </w:p>
        </w:tc>
      </w:tr>
      <w:tr>
        <w:tc>
          <w:tcPr>
            <w:tcW w:w="3852" w:type="dxa"/>
          </w:tcPr>
          <w:p>
            <w:pPr>
              <w:spacing w:before="0" w:after="0" w:line="312" w:lineRule="auto"/>
            </w:pPr>
            <w:r>
              <w:rPr>
                <w:rFonts w:ascii="Calibri" w:hAnsi="Calibri" w:cs="Calibri" w:eastAsia="PingFang SC"/>
                <w:color w:val="3D3A33"/>
                <w:sz w:val="22"/>
                <w:szCs w:val="22"/>
              </w:rPr>
              <w:t xml:space="preserve">Time-constrained or unlimited-resource levelling</w:t>
            </w:r>
          </w:p>
        </w:tc>
        <w:tc>
          <w:tcPr>
            <w:tcW w:w="5508" w:type="dxa"/>
          </w:tcPr>
          <w:p>
            <w:pPr>
              <w:spacing w:before="0" w:after="0" w:line="312" w:lineRule="auto"/>
            </w:pPr>
            <w:r>
              <w:rPr>
                <w:rFonts w:ascii="Calibri" w:hAnsi="Calibri" w:cs="Calibri" w:eastAsia="PingFang SC"/>
                <w:color w:val="3D3A33"/>
                <w:sz w:val="22"/>
                <w:szCs w:val="22"/>
              </w:rPr>
              <w:t xml:space="preserve">Reduce peak resource requirements or associated costs while maintaining the calculated project duration</w:t>
            </w:r>
          </w:p>
        </w:tc>
      </w:tr>
      <w:tr>
        <w:tc>
          <w:tcPr>
            <w:tcW w:w="3852" w:type="dxa"/>
          </w:tcPr>
          <w:p>
            <w:pPr>
              <w:spacing w:before="0" w:after="0" w:line="312" w:lineRule="auto"/>
            </w:pPr>
            <w:r>
              <w:rPr>
                <w:rFonts w:ascii="Calibri" w:hAnsi="Calibri" w:cs="Calibri" w:eastAsia="PingFang SC"/>
                <w:color w:val="3D3A33"/>
                <w:sz w:val="22"/>
                <w:szCs w:val="22"/>
              </w:rPr>
              <w:t xml:space="preserve">Resource-constrained or limited-resource levelling</w:t>
            </w:r>
          </w:p>
        </w:tc>
        <w:tc>
          <w:tcPr>
            <w:tcW w:w="5508" w:type="dxa"/>
          </w:tcPr>
          <w:p>
            <w:pPr>
              <w:spacing w:before="0" w:after="0" w:line="312" w:lineRule="auto"/>
            </w:pPr>
            <w:r>
              <w:rPr>
                <w:rFonts w:ascii="Calibri" w:hAnsi="Calibri" w:cs="Calibri" w:eastAsia="PingFang SC"/>
                <w:color w:val="3D3A33"/>
                <w:sz w:val="22"/>
                <w:szCs w:val="22"/>
              </w:rPr>
              <w:t xml:space="preserve">Hold resource capacity to its limit and seek the shortest feasible duration, potentially extending the schedule</w:t>
            </w:r>
          </w:p>
        </w:tc>
      </w:tr>
    </w:tbl>
    <w:p>
      <w:pPr>
        <w:spacing w:before="0" w:after="160" w:line="312" w:lineRule="auto"/>
      </w:pPr>
      <w:r>
        <w:rPr>
          <w:rFonts w:ascii="Calibri" w:hAnsi="Calibri" w:cs="Calibri" w:eastAsia="PingFang SC"/>
          <w:color w:val="3D3A33"/>
          <w:sz w:val="22"/>
          <w:szCs w:val="22"/>
        </w:rPr>
        <w:t xml:space="preserve">A trial-and-adjustment method starts with the schedule, allocates resources on a bar chart, totals demand, draws a histogram, compares availability and moves selected non-critical activities within float. Every adjustment must preserve dependencies. If available float cannot resolve the overload, investigate revised sequencing, splitting where feasible, reassignment or additional capacity.</w:t>
      </w:r>
    </w:p>
    <w:p>
      <w:pPr>
        <w:spacing w:before="240" w:after="80" w:line="312" w:lineRule="auto"/>
      </w:pPr>
      <w:r>
        <w:rPr>
          <w:rFonts w:ascii="Calibri" w:hAnsi="Calibri" w:cs="Calibri" w:eastAsia="PingFang SC"/>
          <w:b/>
          <w:color w:val="9E3D34"/>
          <w:sz w:val="26"/>
          <w:szCs w:val="26"/>
        </w:rPr>
        <w:t xml:space="preserve">Worked Example — Resource Utilisation Factor</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Resource Utilisation Factor (RUF)</w:t>
      </w:r>
      <w:r>
        <w:rPr>
          <w:rFonts w:ascii="Calibri" w:hAnsi="Calibri" w:cs="Calibri" w:eastAsia="PingFang SC"/>
          <w:color w:val="3D3A33"/>
          <w:sz w:val="22"/>
          <w:szCs w:val="22"/>
        </w:rPr>
        <w:t xml:space="preserve"> compares planned resource work with capacity over a stated time window. For a resource measured in workers, work is measured in worker-days.</w:t>
      </w:r>
    </w:p>
    <w:p>
      <w:pPr>
        <w:spacing w:before="0" w:after="160" w:line="312" w:lineRule="auto"/>
      </w:pPr>
      <w:r>
        <w:rPr>
          <w:rFonts w:ascii="Calibri" w:hAnsi="Calibri" w:cs="Calibri" w:eastAsia="PingFang SC"/>
          <w:color w:val="3D3A33"/>
          <w:sz w:val="22"/>
          <w:szCs w:val="22"/>
        </w:rPr>
        <w:t xml:space="preserve">RUF = Planned resource-days ÷ (Capacity level × Days in the window) × 100%.</w:t>
      </w:r>
    </w:p>
    <w:p>
      <w:pPr>
        <w:spacing w:before="0" w:after="160" w:line="312" w:lineRule="auto"/>
      </w:pPr>
      <w:r>
        <w:rPr>
          <w:rFonts w:ascii="Calibri" w:hAnsi="Calibri" w:cs="Calibri" w:eastAsia="PingFang SC"/>
          <w:color w:val="3D3A33"/>
          <w:sz w:val="22"/>
          <w:szCs w:val="22"/>
        </w:rPr>
        <w:t xml:space="preserve">Here the capacity level is taken to be the </w:t>
      </w:r>
      <w:r>
        <w:rPr>
          <w:rFonts w:ascii="Calibri" w:hAnsi="Calibri" w:cs="Calibri" w:eastAsia="PingFang SC"/>
          <w:b/>
          <w:color w:val="3D3A33"/>
          <w:sz w:val="22"/>
          <w:szCs w:val="22"/>
        </w:rPr>
        <w:t xml:space="preserve">peak scheduled resource level</w:t>
      </w:r>
      <w:r>
        <w:rPr>
          <w:rFonts w:ascii="Calibri" w:hAnsi="Calibri" w:cs="Calibri" w:eastAsia="PingFang SC"/>
          <w:color w:val="3D3A33"/>
          <w:sz w:val="22"/>
          <w:szCs w:val="22"/>
        </w:rPr>
        <w:t xml:space="preserve">, not an independently fixed staffing complement. This measures how fully the rectangular peak-capacity envelope is used. Both cases contain 64 resource-days of work over an 11-day window.</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60"/>
        <w:gridCol w:w="1560"/>
        <w:gridCol w:w="1560"/>
        <w:gridCol w:w="1560"/>
        <w:gridCol w:w="1560"/>
        <w:gridCol w:w="1560"/>
      </w:tblGrid>
      <w:tr>
        <w:trPr>
          <w:tblHeader/>
        </w:trPr>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Case</w:t>
            </w:r>
          </w:p>
        </w:tc>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Planned resource-days</w:t>
            </w:r>
          </w:p>
        </w:tc>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Peak resource level</w:t>
            </w:r>
          </w:p>
        </w:tc>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Window</w:t>
            </w:r>
          </w:p>
        </w:tc>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Calculation</w:t>
            </w:r>
          </w:p>
        </w:tc>
        <w:tc>
          <w:tcPr>
            <w:tcW w:w="1560" w:type="dxa"/>
            <w:shd w:val="clear" w:color="auto" w:fill="EAE7DD"/>
          </w:tcPr>
          <w:p>
            <w:pPr>
              <w:spacing w:before="0" w:after="0" w:line="312" w:lineRule="auto"/>
            </w:pPr>
            <w:r>
              <w:rPr>
                <w:rFonts w:ascii="Calibri" w:hAnsi="Calibri" w:cs="Calibri" w:eastAsia="PingFang SC"/>
                <w:b/>
                <w:color w:val="3D3A33"/>
                <w:sz w:val="22"/>
                <w:szCs w:val="22"/>
              </w:rPr>
              <w:t xml:space="preserve">RUF</w:t>
            </w:r>
          </w:p>
        </w:tc>
      </w:tr>
      <w:tr>
        <w:tc>
          <w:tcPr>
            <w:tcW w:w="1560" w:type="dxa"/>
          </w:tcPr>
          <w:p>
            <w:pPr>
              <w:spacing w:before="0" w:after="0" w:line="312" w:lineRule="auto"/>
            </w:pPr>
            <w:r>
              <w:rPr>
                <w:rFonts w:ascii="Calibri" w:hAnsi="Calibri" w:cs="Calibri" w:eastAsia="PingFang SC"/>
                <w:color w:val="3D3A33"/>
                <w:sz w:val="22"/>
                <w:szCs w:val="22"/>
              </w:rPr>
              <w:t xml:space="preserve">Before levelling</w:t>
            </w:r>
          </w:p>
        </w:tc>
        <w:tc>
          <w:tcPr>
            <w:tcW w:w="1560" w:type="dxa"/>
          </w:tcPr>
          <w:p>
            <w:pPr>
              <w:spacing w:before="0" w:after="0" w:line="312" w:lineRule="auto"/>
            </w:pPr>
            <w:r>
              <w:rPr>
                <w:rFonts w:ascii="Calibri" w:hAnsi="Calibri" w:cs="Calibri" w:eastAsia="PingFang SC"/>
                <w:color w:val="3D3A33"/>
                <w:sz w:val="22"/>
                <w:szCs w:val="22"/>
              </w:rPr>
              <w:t xml:space="preserve">64</w:t>
            </w:r>
          </w:p>
        </w:tc>
        <w:tc>
          <w:tcPr>
            <w:tcW w:w="1560" w:type="dxa"/>
          </w:tcPr>
          <w:p>
            <w:pPr>
              <w:spacing w:before="0" w:after="0" w:line="312" w:lineRule="auto"/>
            </w:pPr>
            <w:r>
              <w:rPr>
                <w:rFonts w:ascii="Calibri" w:hAnsi="Calibri" w:cs="Calibri" w:eastAsia="PingFang SC"/>
                <w:color w:val="3D3A33"/>
                <w:sz w:val="22"/>
                <w:szCs w:val="22"/>
              </w:rPr>
              <w:t xml:space="preserve">11</w:t>
            </w:r>
          </w:p>
        </w:tc>
        <w:tc>
          <w:tcPr>
            <w:tcW w:w="1560" w:type="dxa"/>
          </w:tcPr>
          <w:p>
            <w:pPr>
              <w:spacing w:before="0" w:after="0" w:line="312" w:lineRule="auto"/>
            </w:pPr>
            <w:r>
              <w:rPr>
                <w:rFonts w:ascii="Calibri" w:hAnsi="Calibri" w:cs="Calibri" w:eastAsia="PingFang SC"/>
                <w:color w:val="3D3A33"/>
                <w:sz w:val="22"/>
                <w:szCs w:val="22"/>
              </w:rPr>
              <w:t xml:space="preserve">11 days</w:t>
            </w:r>
          </w:p>
        </w:tc>
        <w:tc>
          <w:tcPr>
            <w:tcW w:w="1560" w:type="dxa"/>
          </w:tcPr>
          <w:p>
            <w:pPr>
              <w:spacing w:before="0" w:after="0" w:line="312" w:lineRule="auto"/>
            </w:pPr>
            <w:r>
              <w:rPr>
                <w:rFonts w:ascii="Calibri" w:hAnsi="Calibri" w:cs="Calibri" w:eastAsia="PingFang SC"/>
                <w:color w:val="3D3A33"/>
                <w:sz w:val="22"/>
                <w:szCs w:val="22"/>
              </w:rPr>
              <w:t xml:space="preserve">64 ÷ (11 × 11) × 100%</w:t>
            </w:r>
          </w:p>
        </w:tc>
        <w:tc>
          <w:tcPr>
            <w:tcW w:w="1560" w:type="dxa"/>
          </w:tcPr>
          <w:p>
            <w:pPr>
              <w:spacing w:before="0" w:after="0" w:line="312" w:lineRule="auto"/>
            </w:pPr>
            <w:r>
              <w:rPr>
                <w:rFonts w:ascii="Calibri" w:hAnsi="Calibri" w:cs="Calibri" w:eastAsia="PingFang SC"/>
                <w:b/>
                <w:color w:val="3D3A33"/>
                <w:sz w:val="22"/>
                <w:szCs w:val="22"/>
              </w:rPr>
              <w:t xml:space="preserve">52.9%</w:t>
            </w:r>
          </w:p>
        </w:tc>
      </w:tr>
      <w:tr>
        <w:tc>
          <w:tcPr>
            <w:tcW w:w="1560" w:type="dxa"/>
          </w:tcPr>
          <w:p>
            <w:pPr>
              <w:spacing w:before="0" w:after="0" w:line="312" w:lineRule="auto"/>
            </w:pPr>
            <w:r>
              <w:rPr>
                <w:rFonts w:ascii="Calibri" w:hAnsi="Calibri" w:cs="Calibri" w:eastAsia="PingFang SC"/>
                <w:color w:val="3D3A33"/>
                <w:sz w:val="22"/>
                <w:szCs w:val="22"/>
              </w:rPr>
              <w:t xml:space="preserve">After levelling</w:t>
            </w:r>
          </w:p>
        </w:tc>
        <w:tc>
          <w:tcPr>
            <w:tcW w:w="1560" w:type="dxa"/>
          </w:tcPr>
          <w:p>
            <w:pPr>
              <w:spacing w:before="0" w:after="0" w:line="312" w:lineRule="auto"/>
            </w:pPr>
            <w:r>
              <w:rPr>
                <w:rFonts w:ascii="Calibri" w:hAnsi="Calibri" w:cs="Calibri" w:eastAsia="PingFang SC"/>
                <w:color w:val="3D3A33"/>
                <w:sz w:val="22"/>
                <w:szCs w:val="22"/>
              </w:rPr>
              <w:t xml:space="preserve">64</w:t>
            </w:r>
          </w:p>
        </w:tc>
        <w:tc>
          <w:tcPr>
            <w:tcW w:w="1560" w:type="dxa"/>
          </w:tcPr>
          <w:p>
            <w:pPr>
              <w:spacing w:before="0" w:after="0" w:line="312" w:lineRule="auto"/>
            </w:pPr>
            <w:r>
              <w:rPr>
                <w:rFonts w:ascii="Calibri" w:hAnsi="Calibri" w:cs="Calibri" w:eastAsia="PingFang SC"/>
                <w:color w:val="3D3A33"/>
                <w:sz w:val="22"/>
                <w:szCs w:val="22"/>
              </w:rPr>
              <w:t xml:space="preserve">7</w:t>
            </w:r>
          </w:p>
        </w:tc>
        <w:tc>
          <w:tcPr>
            <w:tcW w:w="1560" w:type="dxa"/>
          </w:tcPr>
          <w:p>
            <w:pPr>
              <w:spacing w:before="0" w:after="0" w:line="312" w:lineRule="auto"/>
            </w:pPr>
            <w:r>
              <w:rPr>
                <w:rFonts w:ascii="Calibri" w:hAnsi="Calibri" w:cs="Calibri" w:eastAsia="PingFang SC"/>
                <w:color w:val="3D3A33"/>
                <w:sz w:val="22"/>
                <w:szCs w:val="22"/>
              </w:rPr>
              <w:t xml:space="preserve">11 days</w:t>
            </w:r>
          </w:p>
        </w:tc>
        <w:tc>
          <w:tcPr>
            <w:tcW w:w="1560" w:type="dxa"/>
          </w:tcPr>
          <w:p>
            <w:pPr>
              <w:spacing w:before="0" w:after="0" w:line="312" w:lineRule="auto"/>
            </w:pPr>
            <w:r>
              <w:rPr>
                <w:rFonts w:ascii="Calibri" w:hAnsi="Calibri" w:cs="Calibri" w:eastAsia="PingFang SC"/>
                <w:color w:val="3D3A33"/>
                <w:sz w:val="22"/>
                <w:szCs w:val="22"/>
              </w:rPr>
              <w:t xml:space="preserve">64 ÷ (7 × 11) × 100%</w:t>
            </w:r>
          </w:p>
        </w:tc>
        <w:tc>
          <w:tcPr>
            <w:tcW w:w="1560" w:type="dxa"/>
          </w:tcPr>
          <w:p>
            <w:pPr>
              <w:spacing w:before="0" w:after="0" w:line="312" w:lineRule="auto"/>
            </w:pPr>
            <w:r>
              <w:rPr>
                <w:rFonts w:ascii="Calibri" w:hAnsi="Calibri" w:cs="Calibri" w:eastAsia="PingFang SC"/>
                <w:b/>
                <w:color w:val="3D3A33"/>
                <w:sz w:val="22"/>
                <w:szCs w:val="22"/>
              </w:rPr>
              <w:t xml:space="preserve">83.1%</w:t>
            </w:r>
          </w:p>
        </w:tc>
      </w:tr>
    </w:tbl>
    <w:p>
      <w:pPr>
        <w:spacing w:before="0" w:after="160" w:line="312" w:lineRule="auto"/>
      </w:pPr>
      <w:r>
        <w:rPr>
          <w:rFonts w:ascii="Calibri" w:hAnsi="Calibri" w:cs="Calibri" w:eastAsia="PingFang SC"/>
          <w:color w:val="3D3A33"/>
          <w:sz w:val="22"/>
          <w:szCs w:val="22"/>
        </w:rPr>
        <w:t xml:space="preserve">The work and time window remain unchanged, while the peak falls from 11 to 7. The higher RUF indicates a more even demand profile relative to the chosen peak. If actual available capacity is used instead, label it explicitly; it measures utilisation against that capacity rather than against the peak demand.</w:t>
      </w:r>
    </w:p>
    <w:p>
      <w:pPr>
        <w:spacing w:before="240" w:after="80" w:line="312" w:lineRule="auto"/>
      </w:pPr>
      <w:r>
        <w:rPr>
          <w:rFonts w:ascii="Calibri" w:hAnsi="Calibri" w:cs="Calibri" w:eastAsia="PingFang SC"/>
          <w:b/>
          <w:color w:val="9E3D34"/>
          <w:sz w:val="26"/>
          <w:szCs w:val="26"/>
        </w:rPr>
        <w:t xml:space="preserve">Linking Resources to Cost</w:t>
      </w:r>
    </w:p>
    <w:p>
      <w:pPr>
        <w:spacing w:before="0" w:after="160" w:line="312" w:lineRule="auto"/>
      </w:pPr>
      <w:r>
        <w:rPr>
          <w:rFonts w:ascii="Calibri" w:hAnsi="Calibri" w:cs="Calibri" w:eastAsia="PingFang SC"/>
          <w:color w:val="3D3A33"/>
          <w:sz w:val="22"/>
          <w:szCs w:val="22"/>
        </w:rPr>
        <w:t xml:space="preserve">Resource quantities, effort, rates and durations support activity estimates, budgets and a </w:t>
      </w:r>
      <w:r>
        <w:rPr>
          <w:rFonts w:ascii="Calibri" w:hAnsi="Calibri" w:cs="Calibri" w:eastAsia="PingFang SC"/>
          <w:b/>
          <w:color w:val="3D3A33"/>
          <w:sz w:val="22"/>
          <w:szCs w:val="22"/>
        </w:rPr>
        <w:t xml:space="preserve">cost baseline</w:t>
      </w:r>
      <w:r>
        <w:rPr>
          <w:rFonts w:ascii="Calibri" w:hAnsi="Calibri" w:cs="Calibri" w:eastAsia="PingFang SC"/>
          <w:color w:val="3D3A33"/>
          <w:sz w:val="22"/>
          <w:szCs w:val="22"/>
        </w:rPr>
        <w:t xml:space="preserve">, the approved time-phased budget used to compare planned and actual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Labour cost = Effort × Cost per effort unit.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Material cost = Quantity × Unit price.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Time-based equipment cost = Hire duration × Hire rate.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 separately applicable fixed costs and other charges without counting costs already included in rates twice.</w:t>
      </w:r>
    </w:p>
    <w:p>
      <w:pPr>
        <w:spacing w:before="0" w:after="160" w:line="312" w:lineRule="auto"/>
      </w:pPr>
      <w:r>
        <w:rPr>
          <w:rFonts w:ascii="Calibri" w:hAnsi="Calibri" w:cs="Calibri" w:eastAsia="PingFang SC"/>
          <w:color w:val="3D3A33"/>
          <w:sz w:val="22"/>
          <w:szCs w:val="22"/>
        </w:rPr>
        <w:t xml:space="preserve">The estimate should explain whether workers are paid only for productive hours or for complete shifts, and whether rates already include overheads. Resource availability and payment conditions can affect cost even when the technical work quantity is unchanged.</w:t>
      </w:r>
    </w:p>
    <w:p>
      <w:pPr>
        <w:spacing w:before="240" w:after="80" w:line="312" w:lineRule="auto"/>
      </w:pPr>
      <w:r>
        <w:rPr>
          <w:rFonts w:ascii="Calibri" w:hAnsi="Calibri" w:cs="Calibri" w:eastAsia="PingFang SC"/>
          <w:b/>
          <w:color w:val="9E3D34"/>
          <w:sz w:val="26"/>
          <w:szCs w:val="26"/>
        </w:rPr>
        <w:t xml:space="preserve">Worked Example — Welding with a Changing Crew</w:t>
      </w:r>
    </w:p>
    <w:p>
      <w:pPr>
        <w:spacing w:before="0" w:after="160" w:line="312" w:lineRule="auto"/>
      </w:pPr>
      <w:r>
        <w:rPr>
          <w:rFonts w:ascii="Calibri" w:hAnsi="Calibri" w:cs="Calibri" w:eastAsia="PingFang SC"/>
          <w:color w:val="3D3A33"/>
          <w:sz w:val="22"/>
          <w:szCs w:val="22"/>
        </w:rPr>
        <w:t xml:space="preserve">A seam is 150 metres long. Allow 5% additional welding for rework. Standard productivity is 2.5 metres per person-hour, reduced to 85% efficiency. Two welders work eight-hour days for the first four days; three welders are available thereafter. Labour costs $80 per person-hour actually used.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212"/>
        <w:gridCol w:w="2106"/>
        <w:gridCol w:w="3043"/>
      </w:tblGrid>
      <w:tr>
        <w:trPr>
          <w:tblHeader/>
        </w:trPr>
        <w:tc>
          <w:tcPr>
            <w:tcW w:w="4212" w:type="dxa"/>
            <w:shd w:val="clear" w:color="auto" w:fill="EAE7DD"/>
          </w:tcPr>
          <w:p>
            <w:pPr>
              <w:spacing w:before="0" w:after="0" w:line="312" w:lineRule="auto"/>
            </w:pPr>
            <w:r>
              <w:rPr>
                <w:rFonts w:ascii="Calibri" w:hAnsi="Calibri" w:cs="Calibri" w:eastAsia="PingFang SC"/>
                <w:b/>
                <w:color w:val="3D3A33"/>
                <w:sz w:val="22"/>
                <w:szCs w:val="22"/>
              </w:rPr>
              <w:t xml:space="preserve">Step</w:t>
            </w:r>
          </w:p>
        </w:tc>
        <w:tc>
          <w:tcPr>
            <w:tcW w:w="2106" w:type="dxa"/>
            <w:shd w:val="clear" w:color="auto" w:fill="EAE7DD"/>
          </w:tcPr>
          <w:p>
            <w:pPr>
              <w:spacing w:before="0" w:after="0" w:line="312" w:lineRule="auto"/>
            </w:pPr>
            <w:r>
              <w:rPr>
                <w:rFonts w:ascii="Calibri" w:hAnsi="Calibri" w:cs="Calibri" w:eastAsia="PingFang SC"/>
                <w:b/>
                <w:color w:val="3D3A33"/>
                <w:sz w:val="22"/>
                <w:szCs w:val="22"/>
              </w:rPr>
              <w:t xml:space="preserve">Calculation</w:t>
            </w:r>
          </w:p>
        </w:tc>
        <w:tc>
          <w:tcPr>
            <w:tcW w:w="3043" w:type="dxa"/>
            <w:shd w:val="clear" w:color="auto" w:fill="EAE7DD"/>
          </w:tcPr>
          <w:p>
            <w:pPr>
              <w:spacing w:before="0" w:after="0" w:line="312" w:lineRule="auto"/>
            </w:pPr>
            <w:r>
              <w:rPr>
                <w:rFonts w:ascii="Calibri" w:hAnsi="Calibri" w:cs="Calibri" w:eastAsia="PingFang SC"/>
                <w:b/>
                <w:color w:val="3D3A33"/>
                <w:sz w:val="22"/>
                <w:szCs w:val="22"/>
              </w:rPr>
              <w:t xml:space="preserve">Result</w:t>
            </w:r>
          </w:p>
        </w:tc>
      </w:tr>
      <w:tr>
        <w:tc>
          <w:tcPr>
            <w:tcW w:w="4212" w:type="dxa"/>
          </w:tcPr>
          <w:p>
            <w:pPr>
              <w:spacing w:before="0" w:after="0" w:line="312" w:lineRule="auto"/>
            </w:pPr>
            <w:r>
              <w:rPr>
                <w:rFonts w:ascii="Calibri" w:hAnsi="Calibri" w:cs="Calibri" w:eastAsia="PingFang SC"/>
                <w:color w:val="3D3A33"/>
                <w:sz w:val="22"/>
                <w:szCs w:val="22"/>
              </w:rPr>
              <w:t xml:space="preserve">Include rework</w:t>
            </w:r>
          </w:p>
        </w:tc>
        <w:tc>
          <w:tcPr>
            <w:tcW w:w="2106" w:type="dxa"/>
          </w:tcPr>
          <w:p>
            <w:pPr>
              <w:spacing w:before="0" w:after="0" w:line="312" w:lineRule="auto"/>
            </w:pPr>
            <w:r>
              <w:rPr>
                <w:rFonts w:ascii="Calibri" w:hAnsi="Calibri" w:cs="Calibri" w:eastAsia="PingFang SC"/>
                <w:color w:val="3D3A33"/>
                <w:sz w:val="22"/>
                <w:szCs w:val="22"/>
              </w:rPr>
              <w:t xml:space="preserve">150 × 1.05</w:t>
            </w:r>
          </w:p>
        </w:tc>
        <w:tc>
          <w:tcPr>
            <w:tcW w:w="3043" w:type="dxa"/>
          </w:tcPr>
          <w:p>
            <w:pPr>
              <w:spacing w:before="0" w:after="0" w:line="312" w:lineRule="auto"/>
            </w:pPr>
            <w:r>
              <w:rPr>
                <w:rFonts w:ascii="Calibri" w:hAnsi="Calibri" w:cs="Calibri" w:eastAsia="PingFang SC"/>
                <w:color w:val="3D3A33"/>
                <w:sz w:val="22"/>
                <w:szCs w:val="22"/>
              </w:rPr>
              <w:t xml:space="preserve">157.5 metres</w:t>
            </w:r>
          </w:p>
        </w:tc>
      </w:tr>
      <w:tr>
        <w:tc>
          <w:tcPr>
            <w:tcW w:w="4212" w:type="dxa"/>
          </w:tcPr>
          <w:p>
            <w:pPr>
              <w:spacing w:before="0" w:after="0" w:line="312" w:lineRule="auto"/>
            </w:pPr>
            <w:r>
              <w:rPr>
                <w:rFonts w:ascii="Calibri" w:hAnsi="Calibri" w:cs="Calibri" w:eastAsia="PingFang SC"/>
                <w:color w:val="3D3A33"/>
                <w:sz w:val="22"/>
                <w:szCs w:val="22"/>
              </w:rPr>
              <w:t xml:space="preserve">Adjust productivity</w:t>
            </w:r>
          </w:p>
        </w:tc>
        <w:tc>
          <w:tcPr>
            <w:tcW w:w="2106" w:type="dxa"/>
          </w:tcPr>
          <w:p>
            <w:pPr>
              <w:spacing w:before="0" w:after="0" w:line="312" w:lineRule="auto"/>
            </w:pPr>
            <w:r>
              <w:rPr>
                <w:rFonts w:ascii="Calibri" w:hAnsi="Calibri" w:cs="Calibri" w:eastAsia="PingFang SC"/>
                <w:color w:val="3D3A33"/>
                <w:sz w:val="22"/>
                <w:szCs w:val="22"/>
              </w:rPr>
              <w:t xml:space="preserve">2.5 × 0.85</w:t>
            </w:r>
          </w:p>
        </w:tc>
        <w:tc>
          <w:tcPr>
            <w:tcW w:w="3043" w:type="dxa"/>
          </w:tcPr>
          <w:p>
            <w:pPr>
              <w:spacing w:before="0" w:after="0" w:line="312" w:lineRule="auto"/>
            </w:pPr>
            <w:r>
              <w:rPr>
                <w:rFonts w:ascii="Calibri" w:hAnsi="Calibri" w:cs="Calibri" w:eastAsia="PingFang SC"/>
                <w:color w:val="3D3A33"/>
                <w:sz w:val="22"/>
                <w:szCs w:val="22"/>
              </w:rPr>
              <w:t xml:space="preserve">2.125 metres per person-hour</w:t>
            </w:r>
          </w:p>
        </w:tc>
      </w:tr>
      <w:tr>
        <w:tc>
          <w:tcPr>
            <w:tcW w:w="4212" w:type="dxa"/>
          </w:tcPr>
          <w:p>
            <w:pPr>
              <w:spacing w:before="0" w:after="0" w:line="312" w:lineRule="auto"/>
            </w:pPr>
            <w:r>
              <w:rPr>
                <w:rFonts w:ascii="Calibri" w:hAnsi="Calibri" w:cs="Calibri" w:eastAsia="PingFang SC"/>
                <w:color w:val="3D3A33"/>
                <w:sz w:val="22"/>
                <w:szCs w:val="22"/>
              </w:rPr>
              <w:t xml:space="preserve">Calculate total effort</w:t>
            </w:r>
          </w:p>
        </w:tc>
        <w:tc>
          <w:tcPr>
            <w:tcW w:w="2106" w:type="dxa"/>
          </w:tcPr>
          <w:p>
            <w:pPr>
              <w:spacing w:before="0" w:after="0" w:line="312" w:lineRule="auto"/>
            </w:pPr>
            <w:r>
              <w:rPr>
                <w:rFonts w:ascii="Calibri" w:hAnsi="Calibri" w:cs="Calibri" w:eastAsia="PingFang SC"/>
                <w:color w:val="3D3A33"/>
                <w:sz w:val="22"/>
                <w:szCs w:val="22"/>
              </w:rPr>
              <w:t xml:space="preserve">157.5 ÷ 2.125</w:t>
            </w:r>
          </w:p>
        </w:tc>
        <w:tc>
          <w:tcPr>
            <w:tcW w:w="3043" w:type="dxa"/>
          </w:tcPr>
          <w:p>
            <w:pPr>
              <w:spacing w:before="0" w:after="0" w:line="312" w:lineRule="auto"/>
            </w:pPr>
            <w:r>
              <w:rPr>
                <w:rFonts w:ascii="Calibri" w:hAnsi="Calibri" w:cs="Calibri" w:eastAsia="PingFang SC"/>
                <w:color w:val="3D3A33"/>
                <w:sz w:val="22"/>
                <w:szCs w:val="22"/>
              </w:rPr>
              <w:t xml:space="preserve">74.117647 person-hours</w:t>
            </w:r>
          </w:p>
        </w:tc>
      </w:tr>
      <w:tr>
        <w:tc>
          <w:tcPr>
            <w:tcW w:w="4212" w:type="dxa"/>
          </w:tcPr>
          <w:p>
            <w:pPr>
              <w:spacing w:before="0" w:after="0" w:line="312" w:lineRule="auto"/>
            </w:pPr>
            <w:r>
              <w:rPr>
                <w:rFonts w:ascii="Calibri" w:hAnsi="Calibri" w:cs="Calibri" w:eastAsia="PingFang SC"/>
                <w:color w:val="3D3A33"/>
                <w:sz w:val="22"/>
                <w:szCs w:val="22"/>
              </w:rPr>
              <w:t xml:space="preserve">Calculate first four days' effort</w:t>
            </w:r>
          </w:p>
        </w:tc>
        <w:tc>
          <w:tcPr>
            <w:tcW w:w="2106" w:type="dxa"/>
          </w:tcPr>
          <w:p>
            <w:pPr>
              <w:spacing w:before="0" w:after="0" w:line="312" w:lineRule="auto"/>
            </w:pPr>
            <w:r>
              <w:rPr>
                <w:rFonts w:ascii="Calibri" w:hAnsi="Calibri" w:cs="Calibri" w:eastAsia="PingFang SC"/>
                <w:color w:val="3D3A33"/>
                <w:sz w:val="22"/>
                <w:szCs w:val="22"/>
              </w:rPr>
              <w:t xml:space="preserve">2 × 8 × 4</w:t>
            </w:r>
          </w:p>
        </w:tc>
        <w:tc>
          <w:tcPr>
            <w:tcW w:w="3043" w:type="dxa"/>
          </w:tcPr>
          <w:p>
            <w:pPr>
              <w:spacing w:before="0" w:after="0" w:line="312" w:lineRule="auto"/>
            </w:pPr>
            <w:r>
              <w:rPr>
                <w:rFonts w:ascii="Calibri" w:hAnsi="Calibri" w:cs="Calibri" w:eastAsia="PingFang SC"/>
                <w:color w:val="3D3A33"/>
                <w:sz w:val="22"/>
                <w:szCs w:val="22"/>
              </w:rPr>
              <w:t xml:space="preserve">64 person-hours</w:t>
            </w:r>
          </w:p>
        </w:tc>
      </w:tr>
      <w:tr>
        <w:tc>
          <w:tcPr>
            <w:tcW w:w="4212" w:type="dxa"/>
          </w:tcPr>
          <w:p>
            <w:pPr>
              <w:spacing w:before="0" w:after="0" w:line="312" w:lineRule="auto"/>
            </w:pPr>
            <w:r>
              <w:rPr>
                <w:rFonts w:ascii="Calibri" w:hAnsi="Calibri" w:cs="Calibri" w:eastAsia="PingFang SC"/>
                <w:color w:val="3D3A33"/>
                <w:sz w:val="22"/>
                <w:szCs w:val="22"/>
              </w:rPr>
              <w:t xml:space="preserve">Calculate output in first four days</w:t>
            </w:r>
          </w:p>
        </w:tc>
        <w:tc>
          <w:tcPr>
            <w:tcW w:w="2106" w:type="dxa"/>
          </w:tcPr>
          <w:p>
            <w:pPr>
              <w:spacing w:before="0" w:after="0" w:line="312" w:lineRule="auto"/>
            </w:pPr>
            <w:r>
              <w:rPr>
                <w:rFonts w:ascii="Calibri" w:hAnsi="Calibri" w:cs="Calibri" w:eastAsia="PingFang SC"/>
                <w:color w:val="3D3A33"/>
                <w:sz w:val="22"/>
                <w:szCs w:val="22"/>
              </w:rPr>
              <w:t xml:space="preserve">64 × 2.125</w:t>
            </w:r>
          </w:p>
        </w:tc>
        <w:tc>
          <w:tcPr>
            <w:tcW w:w="3043" w:type="dxa"/>
          </w:tcPr>
          <w:p>
            <w:pPr>
              <w:spacing w:before="0" w:after="0" w:line="312" w:lineRule="auto"/>
            </w:pPr>
            <w:r>
              <w:rPr>
                <w:rFonts w:ascii="Calibri" w:hAnsi="Calibri" w:cs="Calibri" w:eastAsia="PingFang SC"/>
                <w:color w:val="3D3A33"/>
                <w:sz w:val="22"/>
                <w:szCs w:val="22"/>
              </w:rPr>
              <w:t xml:space="preserve">136 metres</w:t>
            </w:r>
          </w:p>
        </w:tc>
      </w:tr>
      <w:tr>
        <w:tc>
          <w:tcPr>
            <w:tcW w:w="4212" w:type="dxa"/>
          </w:tcPr>
          <w:p>
            <w:pPr>
              <w:spacing w:before="0" w:after="0" w:line="312" w:lineRule="auto"/>
            </w:pPr>
            <w:r>
              <w:rPr>
                <w:rFonts w:ascii="Calibri" w:hAnsi="Calibri" w:cs="Calibri" w:eastAsia="PingFang SC"/>
                <w:color w:val="3D3A33"/>
                <w:sz w:val="22"/>
                <w:szCs w:val="22"/>
              </w:rPr>
              <w:t xml:space="preserve">Calculate remaining seam</w:t>
            </w:r>
          </w:p>
        </w:tc>
        <w:tc>
          <w:tcPr>
            <w:tcW w:w="2106" w:type="dxa"/>
          </w:tcPr>
          <w:p>
            <w:pPr>
              <w:spacing w:before="0" w:after="0" w:line="312" w:lineRule="auto"/>
            </w:pPr>
            <w:r>
              <w:rPr>
                <w:rFonts w:ascii="Calibri" w:hAnsi="Calibri" w:cs="Calibri" w:eastAsia="PingFang SC"/>
                <w:color w:val="3D3A33"/>
                <w:sz w:val="22"/>
                <w:szCs w:val="22"/>
              </w:rPr>
              <w:t xml:space="preserve">157.5 − 136</w:t>
            </w:r>
          </w:p>
        </w:tc>
        <w:tc>
          <w:tcPr>
            <w:tcW w:w="3043" w:type="dxa"/>
          </w:tcPr>
          <w:p>
            <w:pPr>
              <w:spacing w:before="0" w:after="0" w:line="312" w:lineRule="auto"/>
            </w:pPr>
            <w:r>
              <w:rPr>
                <w:rFonts w:ascii="Calibri" w:hAnsi="Calibri" w:cs="Calibri" w:eastAsia="PingFang SC"/>
                <w:color w:val="3D3A33"/>
                <w:sz w:val="22"/>
                <w:szCs w:val="22"/>
              </w:rPr>
              <w:t xml:space="preserve">21.5 metres</w:t>
            </w:r>
          </w:p>
        </w:tc>
      </w:tr>
      <w:tr>
        <w:tc>
          <w:tcPr>
            <w:tcW w:w="4212" w:type="dxa"/>
          </w:tcPr>
          <w:p>
            <w:pPr>
              <w:spacing w:before="0" w:after="0" w:line="312" w:lineRule="auto"/>
            </w:pPr>
            <w:r>
              <w:rPr>
                <w:rFonts w:ascii="Calibri" w:hAnsi="Calibri" w:cs="Calibri" w:eastAsia="PingFang SC"/>
                <w:color w:val="3D3A33"/>
                <w:sz w:val="22"/>
                <w:szCs w:val="22"/>
              </w:rPr>
              <w:t xml:space="preserve">Calculate remaining effort</w:t>
            </w:r>
          </w:p>
        </w:tc>
        <w:tc>
          <w:tcPr>
            <w:tcW w:w="2106" w:type="dxa"/>
          </w:tcPr>
          <w:p>
            <w:pPr>
              <w:spacing w:before="0" w:after="0" w:line="312" w:lineRule="auto"/>
            </w:pPr>
            <w:r>
              <w:rPr>
                <w:rFonts w:ascii="Calibri" w:hAnsi="Calibri" w:cs="Calibri" w:eastAsia="PingFang SC"/>
                <w:color w:val="3D3A33"/>
                <w:sz w:val="22"/>
                <w:szCs w:val="22"/>
              </w:rPr>
              <w:t xml:space="preserve">21.5 ÷ 2.125</w:t>
            </w:r>
          </w:p>
        </w:tc>
        <w:tc>
          <w:tcPr>
            <w:tcW w:w="3043" w:type="dxa"/>
          </w:tcPr>
          <w:p>
            <w:pPr>
              <w:spacing w:before="0" w:after="0" w:line="312" w:lineRule="auto"/>
            </w:pPr>
            <w:r>
              <w:rPr>
                <w:rFonts w:ascii="Calibri" w:hAnsi="Calibri" w:cs="Calibri" w:eastAsia="PingFang SC"/>
                <w:color w:val="3D3A33"/>
                <w:sz w:val="22"/>
                <w:szCs w:val="22"/>
              </w:rPr>
              <w:t xml:space="preserve">10.117647 person-hours</w:t>
            </w:r>
          </w:p>
        </w:tc>
      </w:tr>
      <w:tr>
        <w:tc>
          <w:tcPr>
            <w:tcW w:w="4212" w:type="dxa"/>
          </w:tcPr>
          <w:p>
            <w:pPr>
              <w:spacing w:before="0" w:after="0" w:line="312" w:lineRule="auto"/>
            </w:pPr>
            <w:r>
              <w:rPr>
                <w:rFonts w:ascii="Calibri" w:hAnsi="Calibri" w:cs="Calibri" w:eastAsia="PingFang SC"/>
                <w:color w:val="3D3A33"/>
                <w:sz w:val="22"/>
                <w:szCs w:val="22"/>
              </w:rPr>
              <w:t xml:space="preserve">Divide remaining effort among three welders</w:t>
            </w:r>
          </w:p>
        </w:tc>
        <w:tc>
          <w:tcPr>
            <w:tcW w:w="2106" w:type="dxa"/>
          </w:tcPr>
          <w:p>
            <w:pPr>
              <w:spacing w:before="0" w:after="0" w:line="312" w:lineRule="auto"/>
            </w:pPr>
            <w:r>
              <w:rPr>
                <w:rFonts w:ascii="Calibri" w:hAnsi="Calibri" w:cs="Calibri" w:eastAsia="PingFang SC"/>
                <w:color w:val="3D3A33"/>
                <w:sz w:val="22"/>
                <w:szCs w:val="22"/>
              </w:rPr>
              <w:t xml:space="preserve">10.117647 ÷ 3</w:t>
            </w:r>
          </w:p>
        </w:tc>
        <w:tc>
          <w:tcPr>
            <w:tcW w:w="3043" w:type="dxa"/>
          </w:tcPr>
          <w:p>
            <w:pPr>
              <w:spacing w:before="0" w:after="0" w:line="312" w:lineRule="auto"/>
            </w:pPr>
            <w:r>
              <w:rPr>
                <w:rFonts w:ascii="Calibri" w:hAnsi="Calibri" w:cs="Calibri" w:eastAsia="PingFang SC"/>
                <w:color w:val="3D3A33"/>
                <w:sz w:val="22"/>
                <w:szCs w:val="22"/>
              </w:rPr>
              <w:t xml:space="preserve">3.372549 working hours</w:t>
            </w:r>
          </w:p>
        </w:tc>
      </w:tr>
      <w:tr>
        <w:tc>
          <w:tcPr>
            <w:tcW w:w="4212" w:type="dxa"/>
          </w:tcPr>
          <w:p>
            <w:pPr>
              <w:spacing w:before="0" w:after="0" w:line="312" w:lineRule="auto"/>
            </w:pPr>
            <w:r>
              <w:rPr>
                <w:rFonts w:ascii="Calibri" w:hAnsi="Calibri" w:cs="Calibri" w:eastAsia="PingFang SC"/>
                <w:color w:val="3D3A33"/>
                <w:sz w:val="22"/>
                <w:szCs w:val="22"/>
              </w:rPr>
              <w:t xml:space="preserve">Convert to total duration</w:t>
            </w:r>
          </w:p>
        </w:tc>
        <w:tc>
          <w:tcPr>
            <w:tcW w:w="2106" w:type="dxa"/>
          </w:tcPr>
          <w:p>
            <w:pPr>
              <w:spacing w:before="0" w:after="0" w:line="312" w:lineRule="auto"/>
            </w:pPr>
            <w:r>
              <w:rPr>
                <w:rFonts w:ascii="Calibri" w:hAnsi="Calibri" w:cs="Calibri" w:eastAsia="PingFang SC"/>
                <w:color w:val="3D3A33"/>
                <w:sz w:val="22"/>
                <w:szCs w:val="22"/>
              </w:rPr>
              <w:t xml:space="preserve">4 + 3.372549 ÷ 8</w:t>
            </w:r>
          </w:p>
        </w:tc>
        <w:tc>
          <w:tcPr>
            <w:tcW w:w="3043" w:type="dxa"/>
          </w:tcPr>
          <w:p>
            <w:pPr>
              <w:spacing w:before="0" w:after="0" w:line="312" w:lineRule="auto"/>
            </w:pPr>
            <w:r>
              <w:rPr>
                <w:rFonts w:ascii="Calibri" w:hAnsi="Calibri" w:cs="Calibri" w:eastAsia="PingFang SC"/>
                <w:b/>
                <w:color w:val="3D3A33"/>
                <w:sz w:val="22"/>
                <w:szCs w:val="22"/>
              </w:rPr>
              <w:t xml:space="preserve">4.42 working days</w:t>
            </w:r>
          </w:p>
        </w:tc>
      </w:tr>
      <w:tr>
        <w:tc>
          <w:tcPr>
            <w:tcW w:w="4212" w:type="dxa"/>
          </w:tcPr>
          <w:p>
            <w:pPr>
              <w:spacing w:before="0" w:after="0" w:line="312" w:lineRule="auto"/>
            </w:pPr>
            <w:r>
              <w:rPr>
                <w:rFonts w:ascii="Calibri" w:hAnsi="Calibri" w:cs="Calibri" w:eastAsia="PingFang SC"/>
                <w:color w:val="3D3A33"/>
                <w:sz w:val="22"/>
                <w:szCs w:val="22"/>
              </w:rPr>
              <w:t xml:space="preserve">Calculate labour cost using unrounded effort</w:t>
            </w:r>
          </w:p>
        </w:tc>
        <w:tc>
          <w:tcPr>
            <w:tcW w:w="2106" w:type="dxa"/>
          </w:tcPr>
          <w:p>
            <w:pPr>
              <w:spacing w:before="0" w:after="0" w:line="312" w:lineRule="auto"/>
            </w:pPr>
            <w:r>
              <w:rPr>
                <w:rFonts w:ascii="Calibri" w:hAnsi="Calibri" w:cs="Calibri" w:eastAsia="PingFang SC"/>
                <w:color w:val="3D3A33"/>
                <w:sz w:val="22"/>
                <w:szCs w:val="22"/>
              </w:rPr>
              <w:t xml:space="preserve">(157.5 ÷ 2.125) × $80</w:t>
            </w:r>
          </w:p>
        </w:tc>
        <w:tc>
          <w:tcPr>
            <w:tcW w:w="3043" w:type="dxa"/>
          </w:tcPr>
          <w:p>
            <w:pPr>
              <w:spacing w:before="0" w:after="0" w:line="312" w:lineRule="auto"/>
            </w:pPr>
            <w:r>
              <w:rPr>
                <w:rFonts w:ascii="Calibri" w:hAnsi="Calibri" w:cs="Calibri" w:eastAsia="PingFang SC"/>
                <w:b/>
                <w:color w:val="3D3A33"/>
                <w:sz w:val="22"/>
                <w:szCs w:val="22"/>
              </w:rPr>
              <w:t xml:space="preserve">$5,929.41</w:t>
            </w:r>
          </w:p>
        </w:tc>
      </w:tr>
    </w:tbl>
    <w:p>
      <w:pPr>
        <w:spacing w:before="0" w:after="160" w:line="312" w:lineRule="auto"/>
      </w:pPr>
      <w:r>
        <w:rPr>
          <w:rFonts w:ascii="Calibri" w:hAnsi="Calibri" w:cs="Calibri" w:eastAsia="PingFang SC"/>
          <w:color w:val="3D3A33"/>
          <w:sz w:val="22"/>
          <w:szCs w:val="22"/>
        </w:rPr>
        <w:t xml:space="preserve">The rounded total effort is </w:t>
      </w:r>
      <w:r>
        <w:rPr>
          <w:rFonts w:ascii="Calibri" w:hAnsi="Calibri" w:cs="Calibri" w:eastAsia="PingFang SC"/>
          <w:b/>
          <w:color w:val="3D3A33"/>
          <w:sz w:val="22"/>
          <w:szCs w:val="22"/>
        </w:rPr>
        <w:t xml:space="preserve">74.12 person-hours</w:t>
      </w:r>
      <w:r>
        <w:rPr>
          <w:rFonts w:ascii="Calibri" w:hAnsi="Calibri" w:cs="Calibri" w:eastAsia="PingFang SC"/>
          <w:color w:val="3D3A33"/>
          <w:sz w:val="22"/>
          <w:szCs w:val="22"/>
        </w:rPr>
        <w:t xml:space="preserve">. The crew finishes approximately </w:t>
      </w:r>
      <w:r>
        <w:rPr>
          <w:rFonts w:ascii="Calibri" w:hAnsi="Calibri" w:cs="Calibri" w:eastAsia="PingFang SC"/>
          <w:b/>
          <w:color w:val="3D3A33"/>
          <w:sz w:val="22"/>
          <w:szCs w:val="22"/>
        </w:rPr>
        <w:t xml:space="preserve">3.37 hours into the fifth working day</w:t>
      </w:r>
      <w:r>
        <w:rPr>
          <w:rFonts w:ascii="Calibri" w:hAnsi="Calibri" w:cs="Calibri" w:eastAsia="PingFang SC"/>
          <w:color w:val="3D3A33"/>
          <w:sz w:val="22"/>
          <w:szCs w:val="22"/>
        </w:rPr>
        <w:t xml:space="preserve">. Duration and cost calculations retain full precision until the final result; multiplying the already-rounded 74.12 by $80 would introduce a rounding difference.</w:t>
      </w:r>
    </w:p>
    <w:p>
      <w:pPr>
        <w:spacing w:before="240" w:after="80" w:line="312" w:lineRule="auto"/>
      </w:pPr>
      <w:r>
        <w:rPr>
          <w:rFonts w:ascii="Calibri" w:hAnsi="Calibri" w:cs="Calibri" w:eastAsia="PingFang SC"/>
          <w:b/>
          <w:color w:val="9E3D34"/>
          <w:sz w:val="26"/>
          <w:szCs w:val="26"/>
        </w:rPr>
        <w:t xml:space="preserve">Human-Resource Planning and Responsibility Structures</w:t>
      </w:r>
    </w:p>
    <w:p>
      <w:pPr>
        <w:spacing w:before="0" w:after="160" w:line="312" w:lineRule="auto"/>
      </w:pPr>
      <w:r>
        <w:rPr>
          <w:rFonts w:ascii="Calibri" w:hAnsi="Calibri" w:cs="Calibri" w:eastAsia="PingFang SC"/>
          <w:color w:val="3D3A33"/>
          <w:sz w:val="22"/>
          <w:szCs w:val="22"/>
        </w:rPr>
        <w:t xml:space="preserve">Human-resource planning covers roles and responsibilities, competencies, reporting relationships, staffing calendars, acquisition, training, transition, performance management, conflict resolution and escalation.</w:t>
      </w:r>
    </w:p>
    <w:p>
      <w:pPr>
        <w:spacing w:before="0" w:after="160" w:line="312" w:lineRule="auto"/>
      </w:pPr>
      <w:r>
        <w:rPr>
          <w:rFonts w:ascii="Calibri" w:hAnsi="Calibri" w:cs="Calibri" w:eastAsia="PingFang SC"/>
          <w:color w:val="3D3A33"/>
          <w:sz w:val="22"/>
          <w:szCs w:val="22"/>
        </w:rPr>
        <w:t xml:space="preserve">An </w:t>
      </w:r>
      <w:r>
        <w:rPr>
          <w:rFonts w:ascii="Calibri" w:hAnsi="Calibri" w:cs="Calibri" w:eastAsia="PingFang SC"/>
          <w:b/>
          <w:color w:val="3D3A33"/>
          <w:sz w:val="22"/>
          <w:szCs w:val="22"/>
        </w:rPr>
        <w:t xml:space="preserve">Organisation Breakdown Structure (OBS)</w:t>
      </w:r>
      <w:r>
        <w:rPr>
          <w:rFonts w:ascii="Calibri" w:hAnsi="Calibri" w:cs="Calibri" w:eastAsia="PingFang SC"/>
          <w:color w:val="3D3A33"/>
          <w:sz w:val="22"/>
          <w:szCs w:val="22"/>
        </w:rPr>
        <w:t xml:space="preserve"> shows organisational units, roles and reporting relationships. A </w:t>
      </w:r>
      <w:r>
        <w:rPr>
          <w:rFonts w:ascii="Calibri" w:hAnsi="Calibri" w:cs="Calibri" w:eastAsia="PingFang SC"/>
          <w:b/>
          <w:color w:val="3D3A33"/>
          <w:sz w:val="22"/>
          <w:szCs w:val="22"/>
        </w:rPr>
        <w:t xml:space="preserve">Work Breakdown Structure (WBS)</w:t>
      </w:r>
      <w:r>
        <w:rPr>
          <w:rFonts w:ascii="Calibri" w:hAnsi="Calibri" w:cs="Calibri" w:eastAsia="PingFang SC"/>
          <w:color w:val="3D3A33"/>
          <w:sz w:val="22"/>
          <w:szCs w:val="22"/>
        </w:rPr>
        <w:t xml:space="preserve"> decomposes project scope into manageable deliverables and work packages.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Responsibility Assignment Matrix (RAM)</w:t>
      </w:r>
      <w:r>
        <w:rPr>
          <w:rFonts w:ascii="Calibri" w:hAnsi="Calibri" w:cs="Calibri" w:eastAsia="PingFang SC"/>
          <w:color w:val="3D3A33"/>
          <w:sz w:val="22"/>
          <w:szCs w:val="22"/>
        </w:rPr>
        <w:t xml:space="preserve"> links WBS items with OBS roles or organisational units. It identifies responsibility for each item of work and the other parties involved.</w:t>
      </w:r>
    </w:p>
    <w:p>
      <w:pPr>
        <w:spacing w:before="0" w:after="160" w:line="312" w:lineRule="auto"/>
      </w:pPr>
      <w:r>
        <w:rPr>
          <w:rFonts w:ascii="Calibri" w:hAnsi="Calibri" w:cs="Calibri" w:eastAsia="PingFang SC"/>
          <w:b/>
          <w:color w:val="3D3A33"/>
          <w:sz w:val="22"/>
          <w:szCs w:val="22"/>
        </w:rPr>
        <w:t xml:space="preserve">RACI</w:t>
      </w:r>
      <w:r>
        <w:rPr>
          <w:rFonts w:ascii="Calibri" w:hAnsi="Calibri" w:cs="Calibri" w:eastAsia="PingFang SC"/>
          <w:color w:val="3D3A33"/>
          <w:sz w:val="22"/>
          <w:szCs w:val="22"/>
        </w:rPr>
        <w:t xml:space="preserve"> is one form of RAM:</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156"/>
        <w:gridCol w:w="2008"/>
        <w:gridCol w:w="6195"/>
      </w:tblGrid>
      <w:tr>
        <w:trPr>
          <w:tblHeader/>
        </w:trPr>
        <w:tc>
          <w:tcPr>
            <w:tcW w:w="1156" w:type="dxa"/>
            <w:shd w:val="clear" w:color="auto" w:fill="EAE7DD"/>
          </w:tcPr>
          <w:p>
            <w:pPr>
              <w:spacing w:before="0" w:after="0" w:line="312" w:lineRule="auto"/>
            </w:pPr>
            <w:r>
              <w:rPr>
                <w:rFonts w:ascii="Calibri" w:hAnsi="Calibri" w:cs="Calibri" w:eastAsia="PingFang SC"/>
                <w:b/>
                <w:color w:val="3D3A33"/>
                <w:sz w:val="22"/>
                <w:szCs w:val="22"/>
              </w:rPr>
              <w:t xml:space="preserve">Letter</w:t>
            </w:r>
          </w:p>
        </w:tc>
        <w:tc>
          <w:tcPr>
            <w:tcW w:w="2008" w:type="dxa"/>
            <w:shd w:val="clear" w:color="auto" w:fill="EAE7DD"/>
          </w:tcPr>
          <w:p>
            <w:pPr>
              <w:spacing w:before="0" w:after="0" w:line="312" w:lineRule="auto"/>
            </w:pPr>
            <w:r>
              <w:rPr>
                <w:rFonts w:ascii="Calibri" w:hAnsi="Calibri" w:cs="Calibri" w:eastAsia="PingFang SC"/>
                <w:b/>
                <w:color w:val="3D3A33"/>
                <w:sz w:val="22"/>
                <w:szCs w:val="22"/>
              </w:rPr>
              <w:t xml:space="preserve">Role</w:t>
            </w:r>
          </w:p>
        </w:tc>
        <w:tc>
          <w:tcPr>
            <w:tcW w:w="6195"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1156" w:type="dxa"/>
          </w:tcPr>
          <w:p>
            <w:pPr>
              <w:spacing w:before="0" w:after="0" w:line="312" w:lineRule="auto"/>
            </w:pPr>
            <w:r>
              <w:rPr>
                <w:rFonts w:ascii="Calibri" w:hAnsi="Calibri" w:cs="Calibri" w:eastAsia="PingFang SC"/>
                <w:color w:val="3D3A33"/>
                <w:sz w:val="22"/>
                <w:szCs w:val="22"/>
              </w:rPr>
              <w:t xml:space="preserve">R</w:t>
            </w:r>
          </w:p>
        </w:tc>
        <w:tc>
          <w:tcPr>
            <w:tcW w:w="2008" w:type="dxa"/>
          </w:tcPr>
          <w:p>
            <w:pPr>
              <w:spacing w:before="0" w:after="0" w:line="312" w:lineRule="auto"/>
            </w:pPr>
            <w:r>
              <w:rPr>
                <w:rFonts w:ascii="Calibri" w:hAnsi="Calibri" w:cs="Calibri" w:eastAsia="PingFang SC"/>
                <w:color w:val="3D3A33"/>
                <w:sz w:val="22"/>
                <w:szCs w:val="22"/>
              </w:rPr>
              <w:t xml:space="preserve">Responsible</w:t>
            </w:r>
          </w:p>
        </w:tc>
        <w:tc>
          <w:tcPr>
            <w:tcW w:w="6195" w:type="dxa"/>
          </w:tcPr>
          <w:p>
            <w:pPr>
              <w:spacing w:before="0" w:after="0" w:line="312" w:lineRule="auto"/>
            </w:pPr>
            <w:r>
              <w:rPr>
                <w:rFonts w:ascii="Calibri" w:hAnsi="Calibri" w:cs="Calibri" w:eastAsia="PingFang SC"/>
                <w:color w:val="3D3A33"/>
                <w:sz w:val="22"/>
                <w:szCs w:val="22"/>
              </w:rPr>
              <w:t xml:space="preserve">Performs the work</w:t>
            </w:r>
          </w:p>
        </w:tc>
      </w:tr>
      <w:tr>
        <w:tc>
          <w:tcPr>
            <w:tcW w:w="1156" w:type="dxa"/>
          </w:tcPr>
          <w:p>
            <w:pPr>
              <w:spacing w:before="0" w:after="0" w:line="312" w:lineRule="auto"/>
            </w:pPr>
            <w:r>
              <w:rPr>
                <w:rFonts w:ascii="Calibri" w:hAnsi="Calibri" w:cs="Calibri" w:eastAsia="PingFang SC"/>
                <w:color w:val="3D3A33"/>
                <w:sz w:val="22"/>
                <w:szCs w:val="22"/>
              </w:rPr>
              <w:t xml:space="preserve">A</w:t>
            </w:r>
          </w:p>
        </w:tc>
        <w:tc>
          <w:tcPr>
            <w:tcW w:w="2008" w:type="dxa"/>
          </w:tcPr>
          <w:p>
            <w:pPr>
              <w:spacing w:before="0" w:after="0" w:line="312" w:lineRule="auto"/>
            </w:pPr>
            <w:r>
              <w:rPr>
                <w:rFonts w:ascii="Calibri" w:hAnsi="Calibri" w:cs="Calibri" w:eastAsia="PingFang SC"/>
                <w:color w:val="3D3A33"/>
                <w:sz w:val="22"/>
                <w:szCs w:val="22"/>
              </w:rPr>
              <w:t xml:space="preserve">Accountable</w:t>
            </w:r>
          </w:p>
        </w:tc>
        <w:tc>
          <w:tcPr>
            <w:tcW w:w="6195" w:type="dxa"/>
          </w:tcPr>
          <w:p>
            <w:pPr>
              <w:spacing w:before="0" w:after="0" w:line="312" w:lineRule="auto"/>
            </w:pPr>
            <w:r>
              <w:rPr>
                <w:rFonts w:ascii="Calibri" w:hAnsi="Calibri" w:cs="Calibri" w:eastAsia="PingFang SC"/>
                <w:color w:val="3D3A33"/>
                <w:sz w:val="22"/>
                <w:szCs w:val="22"/>
              </w:rPr>
              <w:t xml:space="preserve">Owns approval or sign-off and answerability for the result</w:t>
            </w:r>
          </w:p>
        </w:tc>
      </w:tr>
      <w:tr>
        <w:tc>
          <w:tcPr>
            <w:tcW w:w="1156" w:type="dxa"/>
          </w:tcPr>
          <w:p>
            <w:pPr>
              <w:spacing w:before="0" w:after="0" w:line="312" w:lineRule="auto"/>
            </w:pPr>
            <w:r>
              <w:rPr>
                <w:rFonts w:ascii="Calibri" w:hAnsi="Calibri" w:cs="Calibri" w:eastAsia="PingFang SC"/>
                <w:color w:val="3D3A33"/>
                <w:sz w:val="22"/>
                <w:szCs w:val="22"/>
              </w:rPr>
              <w:t xml:space="preserve">C</w:t>
            </w:r>
          </w:p>
        </w:tc>
        <w:tc>
          <w:tcPr>
            <w:tcW w:w="2008" w:type="dxa"/>
          </w:tcPr>
          <w:p>
            <w:pPr>
              <w:spacing w:before="0" w:after="0" w:line="312" w:lineRule="auto"/>
            </w:pPr>
            <w:r>
              <w:rPr>
                <w:rFonts w:ascii="Calibri" w:hAnsi="Calibri" w:cs="Calibri" w:eastAsia="PingFang SC"/>
                <w:color w:val="3D3A33"/>
                <w:sz w:val="22"/>
                <w:szCs w:val="22"/>
              </w:rPr>
              <w:t xml:space="preserve">Consulted</w:t>
            </w:r>
          </w:p>
        </w:tc>
        <w:tc>
          <w:tcPr>
            <w:tcW w:w="6195" w:type="dxa"/>
          </w:tcPr>
          <w:p>
            <w:pPr>
              <w:spacing w:before="0" w:after="0" w:line="312" w:lineRule="auto"/>
            </w:pPr>
            <w:r>
              <w:rPr>
                <w:rFonts w:ascii="Calibri" w:hAnsi="Calibri" w:cs="Calibri" w:eastAsia="PingFang SC"/>
                <w:color w:val="3D3A33"/>
                <w:sz w:val="22"/>
                <w:szCs w:val="22"/>
              </w:rPr>
              <w:t xml:space="preserve">Provides specialist input through two-way communication</w:t>
            </w:r>
          </w:p>
        </w:tc>
      </w:tr>
      <w:tr>
        <w:tc>
          <w:tcPr>
            <w:tcW w:w="1156" w:type="dxa"/>
          </w:tcPr>
          <w:p>
            <w:pPr>
              <w:spacing w:before="0" w:after="0" w:line="312" w:lineRule="auto"/>
            </w:pPr>
            <w:r>
              <w:rPr>
                <w:rFonts w:ascii="Calibri" w:hAnsi="Calibri" w:cs="Calibri" w:eastAsia="PingFang SC"/>
                <w:color w:val="3D3A33"/>
                <w:sz w:val="22"/>
                <w:szCs w:val="22"/>
              </w:rPr>
              <w:t xml:space="preserve">I</w:t>
            </w:r>
          </w:p>
        </w:tc>
        <w:tc>
          <w:tcPr>
            <w:tcW w:w="2008" w:type="dxa"/>
          </w:tcPr>
          <w:p>
            <w:pPr>
              <w:spacing w:before="0" w:after="0" w:line="312" w:lineRule="auto"/>
            </w:pPr>
            <w:r>
              <w:rPr>
                <w:rFonts w:ascii="Calibri" w:hAnsi="Calibri" w:cs="Calibri" w:eastAsia="PingFang SC"/>
                <w:color w:val="3D3A33"/>
                <w:sz w:val="22"/>
                <w:szCs w:val="22"/>
              </w:rPr>
              <w:t xml:space="preserve">Informed</w:t>
            </w:r>
          </w:p>
        </w:tc>
        <w:tc>
          <w:tcPr>
            <w:tcW w:w="6195" w:type="dxa"/>
          </w:tcPr>
          <w:p>
            <w:pPr>
              <w:spacing w:before="0" w:after="0" w:line="312" w:lineRule="auto"/>
            </w:pPr>
            <w:r>
              <w:rPr>
                <w:rFonts w:ascii="Calibri" w:hAnsi="Calibri" w:cs="Calibri" w:eastAsia="PingFang SC"/>
                <w:color w:val="3D3A33"/>
                <w:sz w:val="22"/>
                <w:szCs w:val="22"/>
              </w:rPr>
              <w:t xml:space="preserve">Receives progress or outcome information</w:t>
            </w:r>
          </w:p>
        </w:tc>
      </w:tr>
    </w:tbl>
    <w:p>
      <w:pPr>
        <w:spacing w:before="0" w:after="160" w:line="312" w:lineRule="auto"/>
      </w:pPr>
      <w:r>
        <w:rPr>
          <w:rFonts w:ascii="Calibri" w:hAnsi="Calibri" w:cs="Calibri" w:eastAsia="PingFang SC"/>
          <w:color w:val="3D3A33"/>
          <w:sz w:val="22"/>
          <w:szCs w:val="22"/>
        </w:rPr>
        <w:t xml:space="preserve">Each work item needs at least one Responsible party and normally one clearly identified Accountable party. Use Consulted and Informed selectively so the matrix clarifies communication rather than distributing every role to everyone.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