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08</w:t>
      </w:r>
    </w:p>
    <w:p>
      <w:pPr>
        <w:spacing w:before="240" w:after="80" w:line="312" w:lineRule="auto"/>
      </w:pPr>
      <w:r>
        <w:rPr>
          <w:rFonts w:ascii="Calibri" w:hAnsi="Calibri" w:cs="Calibri" w:eastAsia="PingFang SC"/>
          <w:b/>
          <w:color w:val="33302A"/>
          <w:sz w:val="32"/>
          <w:szCs w:val="32"/>
        </w:rPr>
        <w:t xml:space="preserve">PMGT1865 Week 08 - Project Planning Using MS Project</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is about turning a project plan into a scheduling tool: building the plan in Microsoft Project, assigning resources, checking and fixing resource overloads, saving a baseline, levelling resources, entering non-labour costs and producing a cash-flow report.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project scheduling software does: build the plan, assign resources, track progress, and show budget and workload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worked example used throughout: a research and development project to build a portable pyrolyser for a mass spectrometer (a pyrolyser heats a sample until it breaks into vapour for chemical analysis; "portable" means the device is small enough to take out of the laboratory).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seven-step workflow: start from the template, enter tasks and their identifiers, set durations and dependencies, identify critical tasks, enter and assign resources, find and resolve overallocation, save a baseline, level resources, add fixed non-labour costs, and report cost and cumulative cost over time.</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Gantt chart</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Gantt chart</w:t>
      </w:r>
      <w:r>
        <w:rPr>
          <w:rFonts w:ascii="Calibri" w:hAnsi="Calibri" w:cs="Calibri" w:eastAsia="PingFang SC"/>
          <w:color w:val="3D3A33"/>
          <w:sz w:val="22"/>
          <w:szCs w:val="22"/>
        </w:rPr>
        <w:t xml:space="preserve"> is a bar chart in which each task is a horizontal bar positioned along a time axis, with links showing how tasks depend on each other. It is the main view for entering tasks, reading the schedule and seeing the critical path.</w:t>
      </w:r>
    </w:p>
    <w:p>
      <w:pPr>
        <w:spacing w:before="240" w:after="80" w:line="312" w:lineRule="auto"/>
      </w:pPr>
      <w:r>
        <w:rPr>
          <w:rFonts w:ascii="Calibri" w:hAnsi="Calibri" w:cs="Calibri" w:eastAsia="PingFang SC"/>
          <w:b/>
          <w:color w:val="175244"/>
          <w:sz w:val="22"/>
          <w:szCs w:val="22"/>
        </w:rPr>
        <w:t xml:space="preserve">Task identifiers: ID and WBS columns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ID</w:t>
      </w:r>
      <w:r>
        <w:rPr>
          <w:rFonts w:ascii="Calibri" w:hAnsi="Calibri" w:cs="Calibri" w:eastAsia="PingFang SC"/>
          <w:color w:val="3D3A33"/>
          <w:sz w:val="22"/>
          <w:szCs w:val="22"/>
        </w:rPr>
        <w:t xml:space="preserve"> column numbers rows in the task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WBS</w:t>
      </w:r>
      <w:r>
        <w:rPr>
          <w:rFonts w:ascii="Calibri" w:hAnsi="Calibri" w:cs="Calibri" w:eastAsia="PingFang SC"/>
          <w:color w:val="3D3A33"/>
          <w:sz w:val="22"/>
          <w:szCs w:val="22"/>
        </w:rPr>
        <w:t xml:space="preserve"> column shows the work breakdown structure code, which encodes each task's position in the hierarchy (for example 2.1 is the first task under phase 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are two different identifiers. When tasks are indented under a phase, the WBS codes change to reflect the new hierarchy while the ID values in this example stay as they are. Do not treat ID as a permanent identifier: inserting or deleting rows can cause rows to be renumbered.</w:t>
      </w:r>
    </w:p>
    <w:p>
      <w:pPr>
        <w:spacing w:before="240" w:after="80" w:line="312" w:lineRule="auto"/>
      </w:pPr>
      <w:r>
        <w:rPr>
          <w:rFonts w:ascii="Calibri" w:hAnsi="Calibri" w:cs="Calibri" w:eastAsia="PingFang SC"/>
          <w:b/>
          <w:color w:val="175244"/>
          <w:sz w:val="22"/>
          <w:szCs w:val="22"/>
        </w:rPr>
        <w:t xml:space="preserve">Working calendars and durations</w:t>
      </w:r>
    </w:p>
    <w:p>
      <w:pPr>
        <w:spacing w:before="0" w:after="160" w:line="312" w:lineRule="auto"/>
      </w:pPr>
      <w:r>
        <w:rPr>
          <w:rFonts w:ascii="Calibri" w:hAnsi="Calibri" w:cs="Calibri" w:eastAsia="PingFang SC"/>
          <w:color w:val="3D3A33"/>
          <w:sz w:val="22"/>
          <w:szCs w:val="22"/>
        </w:rPr>
        <w:t xml:space="preserve">Durations are converted into working days using the project's working calendar, not by assuming seven days per week. If a task is described as "two weeks", and the project calendar has five working days per week, its duration is 10 working days. Holidays and non-working days in the calendar also shift task dates.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Duration conversion: working days = planned weeks x working days per week in the project calendar.</w:t>
      </w:r>
    </w:p>
    <w:p>
      <w:pPr>
        <w:spacing w:before="240" w:after="80" w:line="312" w:lineRule="auto"/>
      </w:pPr>
      <w:r>
        <w:rPr>
          <w:rFonts w:ascii="Calibri" w:hAnsi="Calibri" w:cs="Calibri" w:eastAsia="PingFang SC"/>
          <w:b/>
          <w:color w:val="175244"/>
          <w:sz w:val="22"/>
          <w:szCs w:val="22"/>
        </w:rPr>
        <w:t xml:space="preserve">Dependencies and the critical path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dependency (predecessor relationship)</w:t>
      </w:r>
      <w:r>
        <w:rPr>
          <w:rFonts w:ascii="Calibri" w:hAnsi="Calibri" w:cs="Calibri" w:eastAsia="PingFang SC"/>
          <w:color w:val="3D3A33"/>
          <w:sz w:val="22"/>
          <w:szCs w:val="22"/>
        </w:rPr>
        <w:t xml:space="preserve"> links two tasks: the successor cannot start (or finish) until its predecessor has started (or finished). The commonest type is finish-to-start: the successor starts after the predecessor finishes.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critical path</w:t>
      </w:r>
      <w:r>
        <w:rPr>
          <w:rFonts w:ascii="Calibri" w:hAnsi="Calibri" w:cs="Calibri" w:eastAsia="PingFang SC"/>
          <w:color w:val="3D3A33"/>
          <w:sz w:val="22"/>
          <w:szCs w:val="22"/>
        </w:rPr>
        <w:t xml:space="preserve"> is the longest chain of dependent tasks in the network. It determines the shortest possible project duration: any delay to a task on the critical path delays the whole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Scheduling tools can highlight critical tasks (in MS Project, the Critical Tasks option under the Gantt Chart Format tab colours the critical bars). Highlighting is an output, not an input: the coloured bars only mean something after the task logic and the calendar have been checked.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Total float</w:t>
      </w:r>
      <w:r>
        <w:rPr>
          <w:rFonts w:ascii="Calibri" w:hAnsi="Calibri" w:cs="Calibri" w:eastAsia="PingFang SC"/>
          <w:color w:val="3D3A33"/>
          <w:sz w:val="22"/>
          <w:szCs w:val="22"/>
        </w:rPr>
        <w:t xml:space="preserve"> (slack) is the amount of time a task can be delayed without delaying the project finish date. Critical tasks have zero float.</w:t>
      </w:r>
    </w:p>
    <w:p>
      <w:pPr>
        <w:spacing w:before="240" w:after="80" w:line="312" w:lineRule="auto"/>
      </w:pPr>
      <w:r>
        <w:rPr>
          <w:rFonts w:ascii="Calibri" w:hAnsi="Calibri" w:cs="Calibri" w:eastAsia="PingFang SC"/>
          <w:b/>
          <w:color w:val="175244"/>
          <w:sz w:val="22"/>
          <w:szCs w:val="22"/>
        </w:rPr>
        <w:t xml:space="preserve">Resources: the Resource Sheet</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Resource Sheet</w:t>
      </w:r>
      <w:r>
        <w:rPr>
          <w:rFonts w:ascii="Calibri" w:hAnsi="Calibri" w:cs="Calibri" w:eastAsia="PingFang SC"/>
          <w:color w:val="3D3A33"/>
          <w:sz w:val="22"/>
          <w:szCs w:val="22"/>
        </w:rPr>
        <w:t xml:space="preserve"> is the view where resource data is entered before resources are assigned to tasks: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Type</w:t>
      </w:r>
      <w:r>
        <w:rPr>
          <w:rFonts w:ascii="Calibri" w:hAnsi="Calibri" w:cs="Calibri" w:eastAsia="PingFang SC"/>
          <w:color w:val="3D3A33"/>
          <w:sz w:val="22"/>
          <w:szCs w:val="22"/>
        </w:rPr>
        <w:t xml:space="preserve">: Work (people or equipment, driven by time), Material (consumed quantities) or Cost (pure money entries for fixed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Max Units</w:t>
      </w:r>
      <w:r>
        <w:rPr>
          <w:rFonts w:ascii="Calibri" w:hAnsi="Calibri" w:cs="Calibri" w:eastAsia="PingFang SC"/>
          <w:color w:val="3D3A33"/>
          <w:sz w:val="22"/>
          <w:szCs w:val="22"/>
        </w:rPr>
        <w:t xml:space="preserve">: the share of the resource's time available to the project, usually 100% for one full-time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Standard rate</w:t>
      </w:r>
      <w:r>
        <w:rPr>
          <w:rFonts w:ascii="Calibri" w:hAnsi="Calibri" w:cs="Calibri" w:eastAsia="PingFang SC"/>
          <w:color w:val="3D3A33"/>
          <w:sz w:val="22"/>
          <w:szCs w:val="22"/>
        </w:rPr>
        <w:t xml:space="preserve">: the hourly or daily rate; an overtime rate can be set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Cost per use</w:t>
      </w:r>
      <w:r>
        <w:rPr>
          <w:rFonts w:ascii="Calibri" w:hAnsi="Calibri" w:cs="Calibri" w:eastAsia="PingFang SC"/>
          <w:color w:val="3D3A33"/>
          <w:sz w:val="22"/>
          <w:szCs w:val="22"/>
        </w:rPr>
        <w:t xml:space="preserve">: a fixed charge each time the resource is used, regardless of duration.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Accrual</w:t>
      </w:r>
      <w:r>
        <w:rPr>
          <w:rFonts w:ascii="Calibri" w:hAnsi="Calibri" w:cs="Calibri" w:eastAsia="PingFang SC"/>
          <w:color w:val="3D3A33"/>
          <w:sz w:val="22"/>
          <w:szCs w:val="22"/>
        </w:rPr>
        <w:t xml:space="preserve">: when the cost is recognised - at the start of the task, spread (prorated) across its duration, or at the end.</w:t>
      </w:r>
    </w:p>
    <w:p>
      <w:pPr>
        <w:spacing w:before="0" w:after="160" w:line="312" w:lineRule="auto"/>
      </w:pPr>
      <w:r>
        <w:rPr>
          <w:rFonts w:ascii="Calibri" w:hAnsi="Calibri" w:cs="Calibri" w:eastAsia="PingFang SC"/>
          <w:color w:val="3D3A33"/>
          <w:sz w:val="22"/>
          <w:szCs w:val="22"/>
        </w:rPr>
        <w:t xml:space="preserve">Resource cost calculation: resource cost = quantity of time x rate + cost per use. For example, a task using the Engineer for 3 working days of 8 hours each costs 3 x 8 x 160 = 3,840 at a standard rate of 160 per hour (this figure is derived arithmetic, to show the calculation).</w:t>
      </w:r>
    </w:p>
    <w:p>
      <w:pPr>
        <w:spacing w:before="240" w:after="80" w:line="312" w:lineRule="auto"/>
      </w:pPr>
      <w:r>
        <w:rPr>
          <w:rFonts w:ascii="Calibri" w:hAnsi="Calibri" w:cs="Calibri" w:eastAsia="PingFang SC"/>
          <w:b/>
          <w:color w:val="175244"/>
          <w:sz w:val="22"/>
          <w:szCs w:val="22"/>
        </w:rPr>
        <w:t xml:space="preserve">Task Form, overallocation and the Resource Graph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Task Form</w:t>
      </w:r>
      <w:r>
        <w:rPr>
          <w:rFonts w:ascii="Calibri" w:hAnsi="Calibri" w:cs="Calibri" w:eastAsia="PingFang SC"/>
          <w:color w:val="3D3A33"/>
          <w:sz w:val="22"/>
          <w:szCs w:val="22"/>
        </w:rPr>
        <w:t xml:space="preserve"> is the panel below the Gantt chart used to assign resources and costs to the selected task.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Overallocation</w:t>
      </w:r>
      <w:r>
        <w:rPr>
          <w:rFonts w:ascii="Calibri" w:hAnsi="Calibri" w:cs="Calibri" w:eastAsia="PingFang SC"/>
          <w:color w:val="3D3A33"/>
          <w:sz w:val="22"/>
          <w:szCs w:val="22"/>
        </w:rPr>
        <w:t xml:space="preserve"> means a resource has been assigned more work than its capacity in some period - for example two full-time tasks in the same week for one person. It is flagged through an indicator column and can be inspected in the </w:t>
      </w:r>
      <w:r>
        <w:rPr>
          <w:rFonts w:ascii="Calibri" w:hAnsi="Calibri" w:cs="Calibri" w:eastAsia="PingFang SC"/>
          <w:b/>
          <w:color w:val="3D3A33"/>
          <w:sz w:val="22"/>
          <w:szCs w:val="22"/>
        </w:rPr>
        <w:t xml:space="preserve">Resource Graph</w:t>
      </w:r>
      <w:r>
        <w:rPr>
          <w:rFonts w:ascii="Calibri" w:hAnsi="Calibri" w:cs="Calibri" w:eastAsia="PingFang SC"/>
          <w:color w:val="3D3A33"/>
          <w:sz w:val="22"/>
          <w:szCs w:val="22"/>
        </w:rPr>
        <w:t xml:space="preserve">, which shows the resource's load over time beneath the Gantt chart (zoom the timescale to see detail).</w:t>
      </w:r>
    </w:p>
    <w:p>
      <w:pPr>
        <w:spacing w:before="240" w:after="80" w:line="312" w:lineRule="auto"/>
      </w:pPr>
      <w:r>
        <w:rPr>
          <w:rFonts w:ascii="Calibri" w:hAnsi="Calibri" w:cs="Calibri" w:eastAsia="PingFang SC"/>
          <w:b/>
          <w:color w:val="175244"/>
          <w:sz w:val="22"/>
          <w:szCs w:val="22"/>
        </w:rPr>
        <w:t xml:space="preserve">Baseline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baseline</w:t>
      </w:r>
      <w:r>
        <w:rPr>
          <w:rFonts w:ascii="Calibri" w:hAnsi="Calibri" w:cs="Calibri" w:eastAsia="PingFang SC"/>
          <w:color w:val="3D3A33"/>
          <w:sz w:val="22"/>
          <w:szCs w:val="22"/>
        </w:rPr>
        <w:t xml:space="preserve"> is a saved snapshot of the planned schedule, costs and work. It is saved once the plan is realistic (Project menu, Set Baseline) and is used later as the comparison point: what was planned, versus what actually happened. It must be saved before resource levelling, so that the plan before and after levelling can both be compared against it.</w:t>
      </w:r>
    </w:p>
    <w:p>
      <w:pPr>
        <w:spacing w:before="240" w:after="80" w:line="312" w:lineRule="auto"/>
      </w:pPr>
      <w:r>
        <w:rPr>
          <w:rFonts w:ascii="Calibri" w:hAnsi="Calibri" w:cs="Calibri" w:eastAsia="PingFang SC"/>
          <w:b/>
          <w:color w:val="175244"/>
          <w:sz w:val="22"/>
          <w:szCs w:val="22"/>
        </w:rPr>
        <w:t xml:space="preserve">Resource levelling versus resource smoothing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Resource levelling</w:t>
      </w:r>
      <w:r>
        <w:rPr>
          <w:rFonts w:ascii="Calibri" w:hAnsi="Calibri" w:cs="Calibri" w:eastAsia="PingFang SC"/>
          <w:color w:val="3D3A33"/>
          <w:sz w:val="22"/>
          <w:szCs w:val="22"/>
        </w:rPr>
        <w:t xml:space="preserve"> resolves overallocation by delaying tasks or splitting their work until the resource has capacity. Because it moves tasks, it can extend the project finish date.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Resource smoothing</w:t>
      </w:r>
      <w:r>
        <w:rPr>
          <w:rFonts w:ascii="Calibri" w:hAnsi="Calibri" w:cs="Calibri" w:eastAsia="PingFang SC"/>
          <w:color w:val="3D3A33"/>
          <w:sz w:val="22"/>
          <w:szCs w:val="22"/>
        </w:rPr>
        <w:t xml:space="preserve"> resolves overallocation only by using available float, so it does not change the project finish date; it works only where enough float exists.</w:t>
      </w:r>
    </w:p>
    <w:p>
      <w:pPr>
        <w:spacing w:before="0" w:after="160" w:line="312" w:lineRule="auto"/>
      </w:pPr>
      <w:r>
        <w:rPr>
          <w:rFonts w:ascii="Calibri" w:hAnsi="Calibri" w:cs="Calibri" w:eastAsia="PingFang SC"/>
          <w:color w:val="3D3A33"/>
          <w:sz w:val="22"/>
          <w:szCs w:val="22"/>
        </w:rPr>
        <w:t xml:space="preserve">Because levelling can move dates, the levelling options must be read carefully. In the worked settings below, "level only within available slack" is switched off, which means tasks may be pushed beyond their float and the finish date may change. After levelling, re-check the durations, the dependency logic, any work splits and the critical path.</w:t>
      </w:r>
    </w:p>
    <w:p>
      <w:pPr>
        <w:spacing w:before="240" w:after="80" w:line="312" w:lineRule="auto"/>
      </w:pPr>
      <w:r>
        <w:rPr>
          <w:rFonts w:ascii="Calibri" w:hAnsi="Calibri" w:cs="Calibri" w:eastAsia="PingFang SC"/>
          <w:b/>
          <w:color w:val="175244"/>
          <w:sz w:val="22"/>
          <w:szCs w:val="22"/>
        </w:rPr>
        <w:t xml:space="preserve">Tracking Gantt</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Tracking Gantt</w:t>
      </w:r>
      <w:r>
        <w:rPr>
          <w:rFonts w:ascii="Calibri" w:hAnsi="Calibri" w:cs="Calibri" w:eastAsia="PingFang SC"/>
          <w:color w:val="3D3A33"/>
          <w:sz w:val="22"/>
          <w:szCs w:val="22"/>
        </w:rPr>
        <w:t xml:space="preserve"> view draws the current schedule against the saved baseline, so it shows which tasks were pushed later and how much float has been consumed.</w:t>
      </w:r>
    </w:p>
    <w:p>
      <w:pPr>
        <w:spacing w:before="240" w:after="80" w:line="312" w:lineRule="auto"/>
      </w:pPr>
      <w:r>
        <w:rPr>
          <w:rFonts w:ascii="Calibri" w:hAnsi="Calibri" w:cs="Calibri" w:eastAsia="PingFang SC"/>
          <w:b/>
          <w:color w:val="175244"/>
          <w:sz w:val="22"/>
          <w:szCs w:val="22"/>
        </w:rPr>
        <w:t xml:space="preserve">Non-labour (direct, fixed) costs</w:t>
      </w:r>
    </w:p>
    <w:p>
      <w:pPr>
        <w:spacing w:before="0" w:after="160" w:line="312" w:lineRule="auto"/>
      </w:pPr>
      <w:r>
        <w:rPr>
          <w:rFonts w:ascii="Calibri" w:hAnsi="Calibri" w:cs="Calibri" w:eastAsia="PingFang SC"/>
          <w:color w:val="3D3A33"/>
          <w:sz w:val="22"/>
          <w:szCs w:val="22"/>
        </w:rPr>
        <w:t xml:space="preserve">Fixed direct costs that are not labour - licence fees, hire charges, booking fees - are entered in the Resource Sheet as a resource of Type "Cost", with an accrual setting (here: accrual at Start). Each such cost is then assigned to the relevant task through the Cost view of the Task Form. In the worked example there are no material resources.</w:t>
      </w:r>
    </w:p>
    <w:p>
      <w:pPr>
        <w:spacing w:before="240" w:after="80" w:line="312" w:lineRule="auto"/>
      </w:pPr>
      <w:r>
        <w:rPr>
          <w:rFonts w:ascii="Calibri" w:hAnsi="Calibri" w:cs="Calibri" w:eastAsia="PingFang SC"/>
          <w:b/>
          <w:color w:val="175244"/>
          <w:sz w:val="22"/>
          <w:szCs w:val="22"/>
        </w:rPr>
        <w:t xml:space="preserve">Cash Flow report</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Cash Flow report</w:t>
      </w:r>
      <w:r>
        <w:rPr>
          <w:rFonts w:ascii="Calibri" w:hAnsi="Calibri" w:cs="Calibri" w:eastAsia="PingFang SC"/>
          <w:color w:val="3D3A33"/>
          <w:sz w:val="22"/>
          <w:szCs w:val="22"/>
        </w:rPr>
        <w:t xml:space="preserve"> (Report menu, Costs) plots planned costs and cumulative costs over time; its time unit can be set (for example to weeks) through the chart's field list. What it can and cannot show: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shows how budgeted or scheduled cost accumulates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does not, by itself, show incoming funds, payment terms, or bank balances. A cash-flow plan in the cost-management sense allocates costs by the date payments are actually made, adds incoming funds under their terms, and computes closing balances: closing balance = opening balance + receipts - payments. Building that requires payment terms and funding information that the report does not contain.</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seven-step planning workflow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46"/>
        <w:gridCol w:w="5195"/>
        <w:gridCol w:w="3419"/>
      </w:tblGrid>
      <w:tr>
        <w:trPr>
          <w:tblHeader/>
        </w:trPr>
        <w:tc>
          <w:tcPr>
            <w:tcW w:w="746" w:type="dxa"/>
            <w:shd w:val="clear" w:color="auto" w:fill="EAE7DD"/>
          </w:tcPr>
          <w:p>
            <w:pPr>
              <w:spacing w:before="0" w:after="0" w:line="312" w:lineRule="auto"/>
            </w:pPr>
            <w:r>
              <w:rPr>
                <w:rFonts w:ascii="Calibri" w:hAnsi="Calibri" w:cs="Calibri" w:eastAsia="PingFang SC"/>
                <w:b/>
                <w:color w:val="3D3A33"/>
                <w:sz w:val="22"/>
                <w:szCs w:val="22"/>
              </w:rPr>
              <w:t xml:space="preserve">Step</w:t>
            </w:r>
          </w:p>
        </w:tc>
        <w:tc>
          <w:tcPr>
            <w:tcW w:w="5195" w:type="dxa"/>
            <w:shd w:val="clear" w:color="auto" w:fill="EAE7DD"/>
          </w:tcPr>
          <w:p>
            <w:pPr>
              <w:spacing w:before="0" w:after="0" w:line="312" w:lineRule="auto"/>
            </w:pPr>
            <w:r>
              <w:rPr>
                <w:rFonts w:ascii="Calibri" w:hAnsi="Calibri" w:cs="Calibri" w:eastAsia="PingFang SC"/>
                <w:b/>
                <w:color w:val="3D3A33"/>
                <w:sz w:val="22"/>
                <w:szCs w:val="22"/>
              </w:rPr>
              <w:t xml:space="preserve">Action</w:t>
            </w:r>
          </w:p>
        </w:tc>
        <w:tc>
          <w:tcPr>
            <w:tcW w:w="3419" w:type="dxa"/>
            <w:shd w:val="clear" w:color="auto" w:fill="EAE7DD"/>
          </w:tcPr>
          <w:p>
            <w:pPr>
              <w:spacing w:before="0" w:after="0" w:line="312" w:lineRule="auto"/>
            </w:pPr>
            <w:r>
              <w:rPr>
                <w:rFonts w:ascii="Calibri" w:hAnsi="Calibri" w:cs="Calibri" w:eastAsia="PingFang SC"/>
                <w:b/>
                <w:color w:val="3D3A33"/>
                <w:sz w:val="22"/>
                <w:szCs w:val="22"/>
              </w:rPr>
              <w:t xml:space="preserve">Purpose</w:t>
            </w:r>
          </w:p>
        </w:tc>
      </w:tr>
      <w:tr>
        <w:tc>
          <w:tcPr>
            <w:tcW w:w="746" w:type="dxa"/>
          </w:tcPr>
          <w:p>
            <w:pPr>
              <w:spacing w:before="0" w:after="0" w:line="312" w:lineRule="auto"/>
            </w:pPr>
            <w:r>
              <w:rPr>
                <w:rFonts w:ascii="Calibri" w:hAnsi="Calibri" w:cs="Calibri" w:eastAsia="PingFang SC"/>
                <w:color w:val="3D3A33"/>
                <w:sz w:val="22"/>
                <w:szCs w:val="22"/>
              </w:rPr>
              <w:t xml:space="preserve">1</w:t>
            </w:r>
          </w:p>
        </w:tc>
        <w:tc>
          <w:tcPr>
            <w:tcW w:w="5195" w:type="dxa"/>
          </w:tcPr>
          <w:p>
            <w:pPr>
              <w:spacing w:before="0" w:after="0" w:line="312" w:lineRule="auto"/>
            </w:pPr>
            <w:r>
              <w:rPr>
                <w:rFonts w:ascii="Calibri" w:hAnsi="Calibri" w:cs="Calibri" w:eastAsia="PingFang SC"/>
                <w:color w:val="3D3A33"/>
                <w:sz w:val="22"/>
                <w:szCs w:val="22"/>
              </w:rPr>
              <w:t xml:space="preserve">Open the project template and save the project under its own name</w:t>
            </w:r>
          </w:p>
        </w:tc>
        <w:tc>
          <w:tcPr>
            <w:tcW w:w="3419" w:type="dxa"/>
          </w:tcPr>
          <w:p>
            <w:pPr>
              <w:spacing w:before="0" w:after="0" w:line="312" w:lineRule="auto"/>
            </w:pPr>
            <w:r>
              <w:rPr>
                <w:rFonts w:ascii="Calibri" w:hAnsi="Calibri" w:cs="Calibri" w:eastAsia="PingFang SC"/>
                <w:color w:val="3D3A33"/>
                <w:sz w:val="22"/>
                <w:szCs w:val="22"/>
              </w:rPr>
              <w:t xml:space="preserve">Start with the agreed calendar and structure</w:t>
            </w:r>
          </w:p>
        </w:tc>
      </w:tr>
      <w:tr>
        <w:tc>
          <w:tcPr>
            <w:tcW w:w="746" w:type="dxa"/>
          </w:tcPr>
          <w:p>
            <w:pPr>
              <w:spacing w:before="0" w:after="0" w:line="312" w:lineRule="auto"/>
            </w:pPr>
            <w:r>
              <w:rPr>
                <w:rFonts w:ascii="Calibri" w:hAnsi="Calibri" w:cs="Calibri" w:eastAsia="PingFang SC"/>
                <w:color w:val="3D3A33"/>
                <w:sz w:val="22"/>
                <w:szCs w:val="22"/>
              </w:rPr>
              <w:t xml:space="preserve">2</w:t>
            </w:r>
          </w:p>
        </w:tc>
        <w:tc>
          <w:tcPr>
            <w:tcW w:w="5195" w:type="dxa"/>
          </w:tcPr>
          <w:p>
            <w:pPr>
              <w:spacing w:before="0" w:after="0" w:line="312" w:lineRule="auto"/>
            </w:pPr>
            <w:r>
              <w:rPr>
                <w:rFonts w:ascii="Calibri" w:hAnsi="Calibri" w:cs="Calibri" w:eastAsia="PingFang SC"/>
                <w:color w:val="3D3A33"/>
                <w:sz w:val="22"/>
                <w:szCs w:val="22"/>
              </w:rPr>
              <w:t xml:space="preserve">Enter the work breakdown structure tasks; add ID and WBS columns; indent tasks under their phases</w:t>
            </w:r>
          </w:p>
        </w:tc>
        <w:tc>
          <w:tcPr>
            <w:tcW w:w="3419" w:type="dxa"/>
          </w:tcPr>
          <w:p>
            <w:pPr>
              <w:spacing w:before="0" w:after="0" w:line="312" w:lineRule="auto"/>
            </w:pPr>
            <w:r>
              <w:rPr>
                <w:rFonts w:ascii="Calibri" w:hAnsi="Calibri" w:cs="Calibri" w:eastAsia="PingFang SC"/>
                <w:color w:val="3D3A33"/>
                <w:sz w:val="22"/>
                <w:szCs w:val="22"/>
              </w:rPr>
              <w:t xml:space="preserve">Build the hierarchy; keep the two identifiers distinct</w:t>
            </w:r>
          </w:p>
        </w:tc>
      </w:tr>
      <w:tr>
        <w:tc>
          <w:tcPr>
            <w:tcW w:w="746" w:type="dxa"/>
          </w:tcPr>
          <w:p>
            <w:pPr>
              <w:spacing w:before="0" w:after="0" w:line="312" w:lineRule="auto"/>
            </w:pPr>
            <w:r>
              <w:rPr>
                <w:rFonts w:ascii="Calibri" w:hAnsi="Calibri" w:cs="Calibri" w:eastAsia="PingFang SC"/>
                <w:color w:val="3D3A33"/>
                <w:sz w:val="22"/>
                <w:szCs w:val="22"/>
              </w:rPr>
              <w:t xml:space="preserve">3</w:t>
            </w:r>
          </w:p>
        </w:tc>
        <w:tc>
          <w:tcPr>
            <w:tcW w:w="5195" w:type="dxa"/>
          </w:tcPr>
          <w:p>
            <w:pPr>
              <w:spacing w:before="0" w:after="0" w:line="312" w:lineRule="auto"/>
            </w:pPr>
            <w:r>
              <w:rPr>
                <w:rFonts w:ascii="Calibri" w:hAnsi="Calibri" w:cs="Calibri" w:eastAsia="PingFang SC"/>
                <w:color w:val="3D3A33"/>
                <w:sz w:val="22"/>
                <w:szCs w:val="22"/>
              </w:rPr>
              <w:t xml:space="preserve">Convert durations to working days with the project calendar; add predecessor relationships; switch on Critical Tasks highlighting</w:t>
            </w:r>
          </w:p>
        </w:tc>
        <w:tc>
          <w:tcPr>
            <w:tcW w:w="3419" w:type="dxa"/>
          </w:tcPr>
          <w:p>
            <w:pPr>
              <w:spacing w:before="0" w:after="0" w:line="312" w:lineRule="auto"/>
            </w:pPr>
            <w:r>
              <w:rPr>
                <w:rFonts w:ascii="Calibri" w:hAnsi="Calibri" w:cs="Calibri" w:eastAsia="PingFang SC"/>
                <w:color w:val="3D3A33"/>
                <w:sz w:val="22"/>
                <w:szCs w:val="22"/>
              </w:rPr>
              <w:t xml:space="preserve">Make the schedule logic visible</w:t>
            </w:r>
          </w:p>
        </w:tc>
      </w:tr>
      <w:tr>
        <w:tc>
          <w:tcPr>
            <w:tcW w:w="746" w:type="dxa"/>
          </w:tcPr>
          <w:p>
            <w:pPr>
              <w:spacing w:before="0" w:after="0" w:line="312" w:lineRule="auto"/>
            </w:pPr>
            <w:r>
              <w:rPr>
                <w:rFonts w:ascii="Calibri" w:hAnsi="Calibri" w:cs="Calibri" w:eastAsia="PingFang SC"/>
                <w:color w:val="3D3A33"/>
                <w:sz w:val="22"/>
                <w:szCs w:val="22"/>
              </w:rPr>
              <w:t xml:space="preserve">4</w:t>
            </w:r>
          </w:p>
        </w:tc>
        <w:tc>
          <w:tcPr>
            <w:tcW w:w="5195" w:type="dxa"/>
          </w:tcPr>
          <w:p>
            <w:pPr>
              <w:spacing w:before="0" w:after="0" w:line="312" w:lineRule="auto"/>
            </w:pPr>
            <w:r>
              <w:rPr>
                <w:rFonts w:ascii="Calibri" w:hAnsi="Calibri" w:cs="Calibri" w:eastAsia="PingFang SC"/>
                <w:color w:val="3D3A33"/>
                <w:sz w:val="22"/>
                <w:szCs w:val="22"/>
              </w:rPr>
              <w:t xml:space="preserve">Enter resources in the Resource Sheet; assign them to tasks in the Task Form; find overallocation via the indicator column and the Resource Graph</w:t>
            </w:r>
          </w:p>
        </w:tc>
        <w:tc>
          <w:tcPr>
            <w:tcW w:w="3419" w:type="dxa"/>
          </w:tcPr>
          <w:p>
            <w:pPr>
              <w:spacing w:before="0" w:after="0" w:line="312" w:lineRule="auto"/>
            </w:pPr>
            <w:r>
              <w:rPr>
                <w:rFonts w:ascii="Calibri" w:hAnsi="Calibri" w:cs="Calibri" w:eastAsia="PingFang SC"/>
                <w:color w:val="3D3A33"/>
                <w:sz w:val="22"/>
                <w:szCs w:val="22"/>
              </w:rPr>
              <w:t xml:space="preserve">See who is overloaded and where</w:t>
            </w:r>
          </w:p>
        </w:tc>
      </w:tr>
      <w:tr>
        <w:tc>
          <w:tcPr>
            <w:tcW w:w="746" w:type="dxa"/>
          </w:tcPr>
          <w:p>
            <w:pPr>
              <w:spacing w:before="0" w:after="0" w:line="312" w:lineRule="auto"/>
            </w:pPr>
            <w:r>
              <w:rPr>
                <w:rFonts w:ascii="Calibri" w:hAnsi="Calibri" w:cs="Calibri" w:eastAsia="PingFang SC"/>
                <w:color w:val="3D3A33"/>
                <w:sz w:val="22"/>
                <w:szCs w:val="22"/>
              </w:rPr>
              <w:t xml:space="preserve">5</w:t>
            </w:r>
          </w:p>
        </w:tc>
        <w:tc>
          <w:tcPr>
            <w:tcW w:w="5195" w:type="dxa"/>
          </w:tcPr>
          <w:p>
            <w:pPr>
              <w:spacing w:before="0" w:after="0" w:line="312" w:lineRule="auto"/>
            </w:pPr>
            <w:r>
              <w:rPr>
                <w:rFonts w:ascii="Calibri" w:hAnsi="Calibri" w:cs="Calibri" w:eastAsia="PingFang SC"/>
                <w:color w:val="3D3A33"/>
                <w:sz w:val="22"/>
                <w:szCs w:val="22"/>
              </w:rPr>
              <w:t xml:space="preserve">Set the baseline (before levelling); open Leveling Options; level; compare against the baseline in the Tracking Gantt</w:t>
            </w:r>
          </w:p>
        </w:tc>
        <w:tc>
          <w:tcPr>
            <w:tcW w:w="3419" w:type="dxa"/>
          </w:tcPr>
          <w:p>
            <w:pPr>
              <w:spacing w:before="0" w:after="0" w:line="312" w:lineRule="auto"/>
            </w:pPr>
            <w:r>
              <w:rPr>
                <w:rFonts w:ascii="Calibri" w:hAnsi="Calibri" w:cs="Calibri" w:eastAsia="PingFang SC"/>
                <w:color w:val="3D3A33"/>
                <w:sz w:val="22"/>
                <w:szCs w:val="22"/>
              </w:rPr>
              <w:t xml:space="preserve">Keep a clean before/after comparison and see which tasks moved</w:t>
            </w:r>
          </w:p>
        </w:tc>
      </w:tr>
      <w:tr>
        <w:tc>
          <w:tcPr>
            <w:tcW w:w="746" w:type="dxa"/>
          </w:tcPr>
          <w:p>
            <w:pPr>
              <w:spacing w:before="0" w:after="0" w:line="312" w:lineRule="auto"/>
            </w:pPr>
            <w:r>
              <w:rPr>
                <w:rFonts w:ascii="Calibri" w:hAnsi="Calibri" w:cs="Calibri" w:eastAsia="PingFang SC"/>
                <w:color w:val="3D3A33"/>
                <w:sz w:val="22"/>
                <w:szCs w:val="22"/>
              </w:rPr>
              <w:t xml:space="preserve">6</w:t>
            </w:r>
          </w:p>
        </w:tc>
        <w:tc>
          <w:tcPr>
            <w:tcW w:w="5195" w:type="dxa"/>
          </w:tcPr>
          <w:p>
            <w:pPr>
              <w:spacing w:before="0" w:after="0" w:line="312" w:lineRule="auto"/>
            </w:pPr>
            <w:r>
              <w:rPr>
                <w:rFonts w:ascii="Calibri" w:hAnsi="Calibri" w:cs="Calibri" w:eastAsia="PingFang SC"/>
                <w:color w:val="3D3A33"/>
                <w:sz w:val="22"/>
                <w:szCs w:val="22"/>
              </w:rPr>
              <w:t xml:space="preserve">Add fixed non-labour cost resources (Type Cost) and assign them to tasks in the Cost view</w:t>
            </w:r>
          </w:p>
        </w:tc>
        <w:tc>
          <w:tcPr>
            <w:tcW w:w="3419" w:type="dxa"/>
          </w:tcPr>
          <w:p>
            <w:pPr>
              <w:spacing w:before="0" w:after="0" w:line="312" w:lineRule="auto"/>
            </w:pPr>
            <w:r>
              <w:rPr>
                <w:rFonts w:ascii="Calibri" w:hAnsi="Calibri" w:cs="Calibri" w:eastAsia="PingFang SC"/>
                <w:color w:val="3D3A33"/>
                <w:sz w:val="22"/>
                <w:szCs w:val="22"/>
              </w:rPr>
              <w:t xml:space="preserve">Capture all direct costs</w:t>
            </w:r>
          </w:p>
        </w:tc>
      </w:tr>
      <w:tr>
        <w:tc>
          <w:tcPr>
            <w:tcW w:w="746" w:type="dxa"/>
          </w:tcPr>
          <w:p>
            <w:pPr>
              <w:spacing w:before="0" w:after="0" w:line="312" w:lineRule="auto"/>
            </w:pPr>
            <w:r>
              <w:rPr>
                <w:rFonts w:ascii="Calibri" w:hAnsi="Calibri" w:cs="Calibri" w:eastAsia="PingFang SC"/>
                <w:color w:val="3D3A33"/>
                <w:sz w:val="22"/>
                <w:szCs w:val="22"/>
              </w:rPr>
              <w:t xml:space="preserve">7</w:t>
            </w:r>
          </w:p>
        </w:tc>
        <w:tc>
          <w:tcPr>
            <w:tcW w:w="5195" w:type="dxa"/>
          </w:tcPr>
          <w:p>
            <w:pPr>
              <w:spacing w:before="0" w:after="0" w:line="312" w:lineRule="auto"/>
            </w:pPr>
            <w:r>
              <w:rPr>
                <w:rFonts w:ascii="Calibri" w:hAnsi="Calibri" w:cs="Calibri" w:eastAsia="PingFang SC"/>
                <w:color w:val="3D3A33"/>
                <w:sz w:val="22"/>
                <w:szCs w:val="22"/>
              </w:rPr>
              <w:t xml:space="preserve">Produce the Cash Flow report, set the time unit (weeks), and compare its cost and cumulative-cost curves with a spreadsheet time-phased budget</w:t>
            </w:r>
          </w:p>
        </w:tc>
        <w:tc>
          <w:tcPr>
            <w:tcW w:w="3419" w:type="dxa"/>
          </w:tcPr>
          <w:p>
            <w:pPr>
              <w:spacing w:before="0" w:after="0" w:line="312" w:lineRule="auto"/>
            </w:pPr>
            <w:r>
              <w:rPr>
                <w:rFonts w:ascii="Calibri" w:hAnsi="Calibri" w:cs="Calibri" w:eastAsia="PingFang SC"/>
                <w:color w:val="3D3A33"/>
                <w:sz w:val="22"/>
                <w:szCs w:val="22"/>
              </w:rPr>
              <w:t xml:space="preserve">Cross-check the cost profile</w:t>
            </w:r>
          </w:p>
        </w:tc>
      </w:tr>
    </w:tbl>
    <w:p>
      <w:pPr>
        <w:spacing w:before="240" w:after="80" w:line="312" w:lineRule="auto"/>
      </w:pPr>
      <w:r>
        <w:rPr>
          <w:rFonts w:ascii="Calibri" w:hAnsi="Calibri" w:cs="Calibri" w:eastAsia="PingFang SC"/>
          <w:b/>
          <w:color w:val="175244"/>
          <w:sz w:val="22"/>
          <w:szCs w:val="22"/>
        </w:rPr>
        <w:t xml:space="preserve">Formulas used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40"/>
        <w:gridCol w:w="3612"/>
        <w:gridCol w:w="3708"/>
      </w:tblGrid>
      <w:tr>
        <w:trPr>
          <w:tblHeader/>
        </w:trPr>
        <w:tc>
          <w:tcPr>
            <w:tcW w:w="2040" w:type="dxa"/>
            <w:shd w:val="clear" w:color="auto" w:fill="EAE7DD"/>
          </w:tcPr>
          <w:p>
            <w:pPr>
              <w:spacing w:before="0" w:after="0" w:line="312" w:lineRule="auto"/>
            </w:pPr>
            <w:r>
              <w:rPr>
                <w:rFonts w:ascii="Calibri" w:hAnsi="Calibri" w:cs="Calibri" w:eastAsia="PingFang SC"/>
                <w:b/>
                <w:color w:val="3D3A33"/>
                <w:sz w:val="22"/>
                <w:szCs w:val="22"/>
              </w:rPr>
              <w:t xml:space="preserve">Quantity</w:t>
            </w:r>
          </w:p>
        </w:tc>
        <w:tc>
          <w:tcPr>
            <w:tcW w:w="3612"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3708" w:type="dxa"/>
            <w:shd w:val="clear" w:color="auto" w:fill="EAE7DD"/>
          </w:tcPr>
          <w:p>
            <w:pPr>
              <w:spacing w:before="0" w:after="0" w:line="312" w:lineRule="auto"/>
            </w:pPr>
            <w:r>
              <w:rPr>
                <w:rFonts w:ascii="Calibri" w:hAnsi="Calibri" w:cs="Calibri" w:eastAsia="PingFang SC"/>
                <w:b/>
                <w:color w:val="3D3A33"/>
                <w:sz w:val="22"/>
                <w:szCs w:val="22"/>
              </w:rPr>
              <w:t xml:space="preserve">Note</w:t>
            </w:r>
          </w:p>
        </w:tc>
      </w:tr>
      <w:tr>
        <w:tc>
          <w:tcPr>
            <w:tcW w:w="2040" w:type="dxa"/>
          </w:tcPr>
          <w:p>
            <w:pPr>
              <w:spacing w:before="0" w:after="0" w:line="312" w:lineRule="auto"/>
            </w:pPr>
            <w:r>
              <w:rPr>
                <w:rFonts w:ascii="Calibri" w:hAnsi="Calibri" w:cs="Calibri" w:eastAsia="PingFang SC"/>
                <w:color w:val="3D3A33"/>
                <w:sz w:val="22"/>
                <w:szCs w:val="22"/>
              </w:rPr>
              <w:t xml:space="preserve">Working days for a task</w:t>
            </w:r>
          </w:p>
        </w:tc>
        <w:tc>
          <w:tcPr>
            <w:tcW w:w="3612" w:type="dxa"/>
          </w:tcPr>
          <w:p>
            <w:pPr>
              <w:spacing w:before="0" w:after="0" w:line="312" w:lineRule="auto"/>
            </w:pPr>
            <w:r>
              <w:rPr>
                <w:rFonts w:ascii="Calibri" w:hAnsi="Calibri" w:cs="Calibri" w:eastAsia="PingFang SC"/>
                <w:color w:val="3D3A33"/>
                <w:sz w:val="22"/>
                <w:szCs w:val="22"/>
              </w:rPr>
              <w:t xml:space="preserve">planned weeks x working days per week in the project calendar</w:t>
            </w:r>
          </w:p>
        </w:tc>
        <w:tc>
          <w:tcPr>
            <w:tcW w:w="3708" w:type="dxa"/>
          </w:tcPr>
          <w:p>
            <w:pPr>
              <w:spacing w:before="0" w:after="0" w:line="312" w:lineRule="auto"/>
            </w:pPr>
            <w:r>
              <w:rPr>
                <w:rFonts w:ascii="Calibri" w:hAnsi="Calibri" w:cs="Calibri" w:eastAsia="PingFang SC"/>
                <w:color w:val="3D3A33"/>
                <w:sz w:val="22"/>
                <w:szCs w:val="22"/>
              </w:rPr>
              <w:t xml:space="preserve">Never assume 7 working days per week</w:t>
            </w:r>
          </w:p>
        </w:tc>
      </w:tr>
      <w:tr>
        <w:tc>
          <w:tcPr>
            <w:tcW w:w="2040" w:type="dxa"/>
          </w:tcPr>
          <w:p>
            <w:pPr>
              <w:spacing w:before="0" w:after="0" w:line="312" w:lineRule="auto"/>
            </w:pPr>
            <w:r>
              <w:rPr>
                <w:rFonts w:ascii="Calibri" w:hAnsi="Calibri" w:cs="Calibri" w:eastAsia="PingFang SC"/>
                <w:color w:val="3D3A33"/>
                <w:sz w:val="22"/>
                <w:szCs w:val="22"/>
              </w:rPr>
              <w:t xml:space="preserve">Resource cost</w:t>
            </w:r>
          </w:p>
        </w:tc>
        <w:tc>
          <w:tcPr>
            <w:tcW w:w="3612" w:type="dxa"/>
          </w:tcPr>
          <w:p>
            <w:pPr>
              <w:spacing w:before="0" w:after="0" w:line="312" w:lineRule="auto"/>
            </w:pPr>
            <w:r>
              <w:rPr>
                <w:rFonts w:ascii="Calibri" w:hAnsi="Calibri" w:cs="Calibri" w:eastAsia="PingFang SC"/>
                <w:color w:val="3D3A33"/>
                <w:sz w:val="22"/>
                <w:szCs w:val="22"/>
              </w:rPr>
              <w:t xml:space="preserve">time x rate + cost per use</w:t>
            </w:r>
          </w:p>
        </w:tc>
        <w:tc>
          <w:tcPr>
            <w:tcW w:w="3708" w:type="dxa"/>
          </w:tcPr>
          <w:p>
            <w:pPr>
              <w:spacing w:before="0" w:after="0" w:line="312" w:lineRule="auto"/>
            </w:pPr>
            <w:r>
              <w:rPr>
                <w:rFonts w:ascii="Calibri" w:hAnsi="Calibri" w:cs="Calibri" w:eastAsia="PingFang SC"/>
                <w:color w:val="3D3A33"/>
                <w:sz w:val="22"/>
                <w:szCs w:val="22"/>
              </w:rPr>
              <w:t xml:space="preserve">Rates may be hourly or daily</w:t>
            </w:r>
          </w:p>
        </w:tc>
      </w:tr>
      <w:tr>
        <w:tc>
          <w:tcPr>
            <w:tcW w:w="2040" w:type="dxa"/>
          </w:tcPr>
          <w:p>
            <w:pPr>
              <w:spacing w:before="0" w:after="0" w:line="312" w:lineRule="auto"/>
            </w:pPr>
            <w:r>
              <w:rPr>
                <w:rFonts w:ascii="Calibri" w:hAnsi="Calibri" w:cs="Calibri" w:eastAsia="PingFang SC"/>
                <w:color w:val="3D3A33"/>
                <w:sz w:val="22"/>
                <w:szCs w:val="22"/>
              </w:rPr>
              <w:t xml:space="preserve">Cumulative cost at t</w:t>
            </w:r>
          </w:p>
        </w:tc>
        <w:tc>
          <w:tcPr>
            <w:tcW w:w="3612" w:type="dxa"/>
          </w:tcPr>
          <w:p>
            <w:pPr>
              <w:spacing w:before="0" w:after="0" w:line="312" w:lineRule="auto"/>
            </w:pPr>
            <w:r>
              <w:rPr>
                <w:rFonts w:ascii="Calibri" w:hAnsi="Calibri" w:cs="Calibri" w:eastAsia="PingFang SC"/>
                <w:color w:val="3D3A33"/>
                <w:sz w:val="22"/>
                <w:szCs w:val="22"/>
              </w:rPr>
              <w:t xml:space="preserve">cumulative cost at (t-1) + cost at t</w:t>
            </w:r>
          </w:p>
        </w:tc>
        <w:tc>
          <w:tcPr>
            <w:tcW w:w="3708" w:type="dxa"/>
          </w:tcPr>
          <w:p>
            <w:pPr>
              <w:spacing w:before="0" w:after="0" w:line="312" w:lineRule="auto"/>
            </w:pPr>
            <w:r>
              <w:rPr>
                <w:rFonts w:ascii="Calibri" w:hAnsi="Calibri" w:cs="Calibri" w:eastAsia="PingFang SC"/>
                <w:color w:val="3D3A33"/>
                <w:sz w:val="22"/>
                <w:szCs w:val="22"/>
              </w:rPr>
              <w:t xml:space="preserve">The Cash Flow report plots exactly this pair of curves</w:t>
            </w:r>
          </w:p>
        </w:tc>
      </w:tr>
      <w:tr>
        <w:tc>
          <w:tcPr>
            <w:tcW w:w="2040" w:type="dxa"/>
          </w:tcPr>
          <w:p>
            <w:pPr>
              <w:spacing w:before="0" w:after="0" w:line="312" w:lineRule="auto"/>
            </w:pPr>
            <w:r>
              <w:rPr>
                <w:rFonts w:ascii="Calibri" w:hAnsi="Calibri" w:cs="Calibri" w:eastAsia="PingFang SC"/>
                <w:color w:val="3D3A33"/>
                <w:sz w:val="22"/>
                <w:szCs w:val="22"/>
              </w:rPr>
              <w:t xml:space="preserve">Closing cash balance at t</w:t>
            </w:r>
          </w:p>
        </w:tc>
        <w:tc>
          <w:tcPr>
            <w:tcW w:w="3612" w:type="dxa"/>
          </w:tcPr>
          <w:p>
            <w:pPr>
              <w:spacing w:before="0" w:after="0" w:line="312" w:lineRule="auto"/>
            </w:pPr>
            <w:r>
              <w:rPr>
                <w:rFonts w:ascii="Calibri" w:hAnsi="Calibri" w:cs="Calibri" w:eastAsia="PingFang SC"/>
                <w:color w:val="3D3A33"/>
                <w:sz w:val="22"/>
                <w:szCs w:val="22"/>
              </w:rPr>
              <w:t xml:space="preserve">opening balance at t + receipts at t - payments at t</w:t>
            </w:r>
          </w:p>
        </w:tc>
        <w:tc>
          <w:tcPr>
            <w:tcW w:w="3708" w:type="dxa"/>
          </w:tcPr>
          <w:p>
            <w:pPr>
              <w:spacing w:before="0" w:after="0" w:line="312" w:lineRule="auto"/>
            </w:pPr>
            <w:r>
              <w:rPr>
                <w:rFonts w:ascii="Calibri" w:hAnsi="Calibri" w:cs="Calibri" w:eastAsia="PingFang SC"/>
                <w:color w:val="3D3A33"/>
                <w:sz w:val="22"/>
                <w:szCs w:val="22"/>
              </w:rPr>
              <w:t xml:space="preserve">Needs payment terms and funding data beyond the report</w:t>
            </w:r>
          </w:p>
        </w:tc>
      </w:tr>
    </w:tbl>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resource data and what it means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Resource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Max Units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Standard rate</w:t>
            </w:r>
          </w:p>
        </w:tc>
      </w:tr>
      <w:tr>
        <w:tc>
          <w:tcPr>
            <w:tcW w:w="2340" w:type="dxa"/>
          </w:tcPr>
          <w:p>
            <w:pPr>
              <w:spacing w:before="0" w:after="0" w:line="312" w:lineRule="auto"/>
            </w:pPr>
            <w:r>
              <w:rPr>
                <w:rFonts w:ascii="Calibri" w:hAnsi="Calibri" w:cs="Calibri" w:eastAsia="PingFang SC"/>
                <w:color w:val="3D3A33"/>
                <w:sz w:val="22"/>
                <w:szCs w:val="22"/>
              </w:rPr>
              <w:t xml:space="preserve">Principal Researcher</w:t>
            </w:r>
          </w:p>
        </w:tc>
        <w:tc>
          <w:tcPr>
            <w:tcW w:w="2340" w:type="dxa"/>
          </w:tcPr>
          <w:p>
            <w:pPr>
              <w:spacing w:before="0" w:after="0" w:line="312" w:lineRule="auto"/>
            </w:pPr>
            <w:r>
              <w:rPr>
                <w:rFonts w:ascii="Calibri" w:hAnsi="Calibri" w:cs="Calibri" w:eastAsia="PingFang SC"/>
                <w:color w:val="3D3A33"/>
                <w:sz w:val="22"/>
                <w:szCs w:val="22"/>
              </w:rPr>
              <w:t xml:space="preserve">Work</w:t>
            </w:r>
          </w:p>
        </w:tc>
        <w:tc>
          <w:tcPr>
            <w:tcW w:w="2340" w:type="dxa"/>
          </w:tcPr>
          <w:p>
            <w:pPr>
              <w:spacing w:before="0" w:after="0" w:line="312" w:lineRule="auto"/>
            </w:pPr>
            <w:r>
              <w:rPr>
                <w:rFonts w:ascii="Calibri" w:hAnsi="Calibri" w:cs="Calibri" w:eastAsia="PingFang SC"/>
                <w:color w:val="3D3A33"/>
                <w:sz w:val="22"/>
                <w:szCs w:val="22"/>
              </w:rPr>
              <w:t xml:space="preserve">100%</w:t>
            </w:r>
          </w:p>
        </w:tc>
        <w:tc>
          <w:tcPr>
            <w:tcW w:w="2340" w:type="dxa"/>
          </w:tcPr>
          <w:p>
            <w:pPr>
              <w:spacing w:before="0" w:after="0" w:line="312" w:lineRule="auto"/>
            </w:pPr>
            <w:r>
              <w:rPr>
                <w:rFonts w:ascii="Calibri" w:hAnsi="Calibri" w:cs="Calibri" w:eastAsia="PingFang SC"/>
                <w:color w:val="3D3A33"/>
                <w:sz w:val="22"/>
                <w:szCs w:val="22"/>
              </w:rPr>
              <w:t xml:space="preserve">133 per hour</w:t>
            </w:r>
          </w:p>
        </w:tc>
      </w:tr>
      <w:tr>
        <w:tc>
          <w:tcPr>
            <w:tcW w:w="2340" w:type="dxa"/>
          </w:tcPr>
          <w:p>
            <w:pPr>
              <w:spacing w:before="0" w:after="0" w:line="312" w:lineRule="auto"/>
            </w:pPr>
            <w:r>
              <w:rPr>
                <w:rFonts w:ascii="Calibri" w:hAnsi="Calibri" w:cs="Calibri" w:eastAsia="PingFang SC"/>
                <w:color w:val="3D3A33"/>
                <w:sz w:val="22"/>
                <w:szCs w:val="22"/>
              </w:rPr>
              <w:t xml:space="preserve">Research Assistant</w:t>
            </w:r>
          </w:p>
        </w:tc>
        <w:tc>
          <w:tcPr>
            <w:tcW w:w="2340" w:type="dxa"/>
          </w:tcPr>
          <w:p>
            <w:pPr>
              <w:spacing w:before="0" w:after="0" w:line="312" w:lineRule="auto"/>
            </w:pPr>
            <w:r>
              <w:rPr>
                <w:rFonts w:ascii="Calibri" w:hAnsi="Calibri" w:cs="Calibri" w:eastAsia="PingFang SC"/>
                <w:color w:val="3D3A33"/>
                <w:sz w:val="22"/>
                <w:szCs w:val="22"/>
              </w:rPr>
              <w:t xml:space="preserve">Work</w:t>
            </w:r>
          </w:p>
        </w:tc>
        <w:tc>
          <w:tcPr>
            <w:tcW w:w="2340" w:type="dxa"/>
          </w:tcPr>
          <w:p>
            <w:pPr>
              <w:spacing w:before="0" w:after="0" w:line="312" w:lineRule="auto"/>
            </w:pPr>
            <w:r>
              <w:rPr>
                <w:rFonts w:ascii="Calibri" w:hAnsi="Calibri" w:cs="Calibri" w:eastAsia="PingFang SC"/>
                <w:color w:val="3D3A33"/>
                <w:sz w:val="22"/>
                <w:szCs w:val="22"/>
              </w:rPr>
              <w:t xml:space="preserve">100%</w:t>
            </w:r>
          </w:p>
        </w:tc>
        <w:tc>
          <w:tcPr>
            <w:tcW w:w="2340" w:type="dxa"/>
          </w:tcPr>
          <w:p>
            <w:pPr>
              <w:spacing w:before="0" w:after="0" w:line="312" w:lineRule="auto"/>
            </w:pPr>
            <w:r>
              <w:rPr>
                <w:rFonts w:ascii="Calibri" w:hAnsi="Calibri" w:cs="Calibri" w:eastAsia="PingFang SC"/>
                <w:color w:val="3D3A33"/>
                <w:sz w:val="22"/>
                <w:szCs w:val="22"/>
              </w:rPr>
              <w:t xml:space="preserve">67 per hour</w:t>
            </w:r>
          </w:p>
        </w:tc>
      </w:tr>
      <w:tr>
        <w:tc>
          <w:tcPr>
            <w:tcW w:w="2340" w:type="dxa"/>
          </w:tcPr>
          <w:p>
            <w:pPr>
              <w:spacing w:before="0" w:after="0" w:line="312" w:lineRule="auto"/>
            </w:pPr>
            <w:r>
              <w:rPr>
                <w:rFonts w:ascii="Calibri" w:hAnsi="Calibri" w:cs="Calibri" w:eastAsia="PingFang SC"/>
                <w:color w:val="3D3A33"/>
                <w:sz w:val="22"/>
                <w:szCs w:val="22"/>
              </w:rPr>
              <w:t xml:space="preserve">Engineer</w:t>
            </w:r>
          </w:p>
        </w:tc>
        <w:tc>
          <w:tcPr>
            <w:tcW w:w="2340" w:type="dxa"/>
          </w:tcPr>
          <w:p>
            <w:pPr>
              <w:spacing w:before="0" w:after="0" w:line="312" w:lineRule="auto"/>
            </w:pPr>
            <w:r>
              <w:rPr>
                <w:rFonts w:ascii="Calibri" w:hAnsi="Calibri" w:cs="Calibri" w:eastAsia="PingFang SC"/>
                <w:color w:val="3D3A33"/>
                <w:sz w:val="22"/>
                <w:szCs w:val="22"/>
              </w:rPr>
              <w:t xml:space="preserve">Work</w:t>
            </w:r>
          </w:p>
        </w:tc>
        <w:tc>
          <w:tcPr>
            <w:tcW w:w="2340" w:type="dxa"/>
          </w:tcPr>
          <w:p>
            <w:pPr>
              <w:spacing w:before="0" w:after="0" w:line="312" w:lineRule="auto"/>
            </w:pPr>
            <w:r>
              <w:rPr>
                <w:rFonts w:ascii="Calibri" w:hAnsi="Calibri" w:cs="Calibri" w:eastAsia="PingFang SC"/>
                <w:color w:val="3D3A33"/>
                <w:sz w:val="22"/>
                <w:szCs w:val="22"/>
              </w:rPr>
              <w:t xml:space="preserve">100%</w:t>
            </w:r>
          </w:p>
        </w:tc>
        <w:tc>
          <w:tcPr>
            <w:tcW w:w="2340" w:type="dxa"/>
          </w:tcPr>
          <w:p>
            <w:pPr>
              <w:spacing w:before="0" w:after="0" w:line="312" w:lineRule="auto"/>
            </w:pPr>
            <w:r>
              <w:rPr>
                <w:rFonts w:ascii="Calibri" w:hAnsi="Calibri" w:cs="Calibri" w:eastAsia="PingFang SC"/>
                <w:color w:val="3D3A33"/>
                <w:sz w:val="22"/>
                <w:szCs w:val="22"/>
              </w:rPr>
              <w:t xml:space="preserve">160 per hour</w:t>
            </w:r>
          </w:p>
        </w:tc>
      </w:tr>
    </w:tbl>
    <w:p>
      <w:pPr>
        <w:spacing w:before="0" w:after="160" w:line="312" w:lineRule="auto"/>
      </w:pPr>
      <w:r>
        <w:rPr>
          <w:rFonts w:ascii="Calibri" w:hAnsi="Calibri" w:cs="Calibri" w:eastAsia="PingFang SC"/>
          <w:color w:val="3D3A33"/>
          <w:sz w:val="22"/>
          <w:szCs w:val="22"/>
        </w:rPr>
        <w:t xml:space="preserve">All three are work resources on the standard calendar, with zero overtime rate and zero cost per use, and prorated accrual (their costs are recognised across each task's duration). Reading the table: each person is available full time (100% Max Units), so assigning one of them to two simultaneous full-time tasks creates an overallocation of 100%.</w:t>
      </w:r>
    </w:p>
    <w:p>
      <w:pPr>
        <w:spacing w:before="240" w:after="80" w:line="312" w:lineRule="auto"/>
      </w:pPr>
      <w:r>
        <w:rPr>
          <w:rFonts w:ascii="Calibri" w:hAnsi="Calibri" w:cs="Calibri" w:eastAsia="PingFang SC"/>
          <w:b/>
          <w:color w:val="175244"/>
          <w:sz w:val="22"/>
          <w:szCs w:val="22"/>
        </w:rPr>
        <w:t xml:space="preserve">Example 2: leveling options and their consequences</w:t>
      </w:r>
    </w:p>
    <w:p>
      <w:pPr>
        <w:spacing w:before="0" w:after="160" w:line="312" w:lineRule="auto"/>
      </w:pPr>
      <w:r>
        <w:rPr>
          <w:rFonts w:ascii="Calibri" w:hAnsi="Calibri" w:cs="Calibri" w:eastAsia="PingFang SC"/>
          <w:color w:val="3D3A33"/>
          <w:sz w:val="22"/>
          <w:szCs w:val="22"/>
        </w:rPr>
        <w:t xml:space="preserve">Settings used in the worked example: automatic calculation on; level day by day; clear previous leveling values; level the entire project; leveling order: standard. "Level only within available slack" is not selected, while adjustments for individual resource assignments and remaining-work splits are selected.</w:t>
      </w:r>
    </w:p>
    <w:p>
      <w:pPr>
        <w:spacing w:before="0" w:after="160" w:line="312" w:lineRule="auto"/>
      </w:pPr>
      <w:r>
        <w:rPr>
          <w:rFonts w:ascii="Calibri" w:hAnsi="Calibri" w:cs="Calibri" w:eastAsia="PingFang SC"/>
          <w:color w:val="3D3A33"/>
          <w:sz w:val="22"/>
          <w:szCs w:val="22"/>
        </w:rPr>
        <w:t xml:space="preserve">Interpretation: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Because leveling is not restricted to available slack, tasks may be delayed past their float and the project finish date may move. Do not assume leveling preserves the finish date.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Clearing previous leveling values each run means each leveling result stands alone; repeated leveling does not accumulate tiny adjustments.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Leveling can split remaining work, which changes how work is distributed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leveling, check the duration of the project, the dependency logic, any splits that were introduced, and the position of the critical path - and compare the levelled schedule with the pre-leveling baseline in the Tracking Gantt to see which tasks were pushed and how much float they used.</w:t>
      </w:r>
    </w:p>
    <w:p>
      <w:pPr>
        <w:spacing w:before="240" w:after="80" w:line="312" w:lineRule="auto"/>
      </w:pPr>
      <w:r>
        <w:rPr>
          <w:rFonts w:ascii="Calibri" w:hAnsi="Calibri" w:cs="Calibri" w:eastAsia="PingFang SC"/>
          <w:b/>
          <w:color w:val="175244"/>
          <w:sz w:val="22"/>
          <w:szCs w:val="22"/>
        </w:rPr>
        <w:t xml:space="preserve">Example 3: adding a fixed non-labour cost and reporting cost</w:t>
      </w:r>
    </w:p>
    <w:p>
      <w:pPr>
        <w:spacing w:before="0" w:after="160" w:line="312" w:lineRule="auto"/>
      </w:pPr>
      <w:r>
        <w:rPr>
          <w:rFonts w:ascii="Calibri" w:hAnsi="Calibri" w:cs="Calibri" w:eastAsia="PingFang SC"/>
          <w:color w:val="3D3A33"/>
          <w:sz w:val="22"/>
          <w:szCs w:val="22"/>
        </w:rPr>
        <w:t xml:space="preserve">Procedure: add a resource in the Resource Sheet with Type "Cost" (for example an initials code like NL, accrual Start). In the Gantt view, open the Task Form, switch it to the Cost view, select the task, assign the non-labour resource, confirm, enter the amount, and confirm again. The amount is now part of that task's budgeted cost. Generating the Cash Flow report then shows this cost in the period set by its accrual setting (accrual Start places it at the task's start).</w:t>
      </w:r>
    </w:p>
    <w:p>
      <w:pPr>
        <w:spacing w:before="240" w:after="80" w:line="312" w:lineRule="auto"/>
      </w:pPr>
      <w:r>
        <w:rPr>
          <w:rFonts w:ascii="Calibri" w:hAnsi="Calibri" w:cs="Calibri" w:eastAsia="PingFang SC"/>
          <w:b/>
          <w:color w:val="175244"/>
          <w:sz w:val="22"/>
          <w:szCs w:val="22"/>
        </w:rPr>
        <w:t xml:space="preserve">Example 4: what the Cash Flow report does and does not prove</w:t>
      </w:r>
    </w:p>
    <w:p>
      <w:pPr>
        <w:spacing w:before="0" w:after="160" w:line="312" w:lineRule="auto"/>
      </w:pPr>
      <w:r>
        <w:rPr>
          <w:rFonts w:ascii="Calibri" w:hAnsi="Calibri" w:cs="Calibri" w:eastAsia="PingFang SC"/>
          <w:color w:val="3D3A33"/>
          <w:sz w:val="22"/>
          <w:szCs w:val="22"/>
        </w:rPr>
        <w:t xml:space="preserve">Two comparisons make the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report's cost and cumulative-cost curves can be compared with a spreadsheet time-phased budget (budgeted cost spread over the periods in which the work happens). If they disagree, the calendar, durations, resource assignments or cost entries need checking.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report's schedule picture can be compared with the spreadsheet's bar chart of the same work.</w:t>
      </w:r>
    </w:p>
    <w:p>
      <w:pPr>
        <w:spacing w:before="0" w:after="160" w:line="312" w:lineRule="auto"/>
      </w:pPr>
      <w:r>
        <w:rPr>
          <w:rFonts w:ascii="Calibri" w:hAnsi="Calibri" w:cs="Calibri" w:eastAsia="PingFang SC"/>
          <w:color w:val="3D3A33"/>
          <w:sz w:val="22"/>
          <w:szCs w:val="22"/>
        </w:rPr>
        <w:t xml:space="preserve">But the report alone cannot answer "can we pay the bills?" A cost curve is not a cash-flow plan: cash flow depends on when payments are made under contract terms and when funds are received. Closing balances require receipts and payment timing, which live outside the scheduling tool.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